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rPr>
          <w:rFonts w:hint="eastAsia"/>
        </w:rPr>
      </w:pPr>
      <w:r>
        <w:rPr>
          <w:rFonts w:hint="eastAsia"/>
        </w:rPr>
        <w:t>《连</w:t>
      </w:r>
      <w:bookmarkStart w:id="0" w:name="_GoBack"/>
      <w:bookmarkEnd w:id="0"/>
      <w:r>
        <w:rPr>
          <w:rFonts w:hint="eastAsia"/>
        </w:rPr>
        <w:t>云</w:t>
      </w:r>
      <w:r>
        <w:rPr>
          <w:rFonts w:hint="eastAsia"/>
          <w:lang w:eastAsia="zh-CN"/>
        </w:rPr>
        <w:t>区</w:t>
      </w:r>
      <w:r>
        <w:rPr>
          <w:rFonts w:hint="eastAsia"/>
        </w:rPr>
        <w:t>企业开办“一件事一次办”实施方案》政策解读</w:t>
      </w:r>
    </w:p>
    <w:p>
      <w:pPr>
        <w:rPr>
          <w:rFonts w:hint="eastAsia"/>
        </w:rPr>
      </w:pPr>
    </w:p>
    <w:p>
      <w:pPr>
        <w:keepNext w:val="0"/>
        <w:keepLines w:val="0"/>
        <w:pageBreakBefore w:val="0"/>
        <w:widowControl w:val="0"/>
        <w:kinsoku/>
        <w:wordWrap/>
        <w:overflowPunct/>
        <w:topLinePunct w:val="0"/>
        <w:autoSpaceDE/>
        <w:autoSpaceDN/>
        <w:bidi w:val="0"/>
        <w:adjustRightInd w:val="0"/>
        <w:snapToGrid w:val="0"/>
        <w:spacing w:line="560" w:lineRule="exact"/>
        <w:ind w:firstLine="420" w:firstLineChars="200"/>
        <w:textAlignment w:val="auto"/>
        <w:rPr>
          <w:rFonts w:hint="eastAsia"/>
        </w:rPr>
      </w:pPr>
      <w:r>
        <w:rPr>
          <w:rFonts w:hint="eastAsia"/>
        </w:rPr>
        <w:t>一、出台背景</w:t>
      </w:r>
    </w:p>
    <w:p>
      <w:pPr>
        <w:keepNext w:val="0"/>
        <w:keepLines w:val="0"/>
        <w:pageBreakBefore w:val="0"/>
        <w:widowControl w:val="0"/>
        <w:kinsoku/>
        <w:wordWrap/>
        <w:overflowPunct/>
        <w:topLinePunct w:val="0"/>
        <w:autoSpaceDE/>
        <w:autoSpaceDN/>
        <w:bidi w:val="0"/>
        <w:adjustRightInd w:val="0"/>
        <w:snapToGrid w:val="0"/>
        <w:spacing w:line="560" w:lineRule="exact"/>
        <w:ind w:firstLine="420" w:firstLineChars="200"/>
        <w:textAlignment w:val="auto"/>
        <w:rPr>
          <w:rFonts w:hint="eastAsia"/>
        </w:rPr>
      </w:pPr>
      <w:r>
        <w:rPr>
          <w:rFonts w:hint="eastAsia"/>
        </w:rPr>
        <w:t>近年来，我区紧紧围绕区委、区政府的决策部署，深化“放管服”改革，一批堵点难点问题得到初步解决，政务服务效能显著提升。但同时也应看到，群众办事创业的便利度还有待进一步提升。全面推行“一件事一次办”，把与群众生产生活密切相关的重点领域和办件量较大的高频事项经过梳理整合、流程再造后，实现从部门审批一个事项向服务企业群众“一件事”“最多跑一次”转变，是倒逼部门改进服务、提升效率的务实举措，通过流程再造、材料精简，客观上将助推我区进一步提升审批服务效能，让群众更有获得感。</w:t>
      </w:r>
    </w:p>
    <w:p>
      <w:pPr>
        <w:keepNext w:val="0"/>
        <w:keepLines w:val="0"/>
        <w:pageBreakBefore w:val="0"/>
        <w:widowControl w:val="0"/>
        <w:numPr>
          <w:ilvl w:val="0"/>
          <w:numId w:val="1"/>
        </w:numPr>
        <w:kinsoku/>
        <w:wordWrap/>
        <w:overflowPunct/>
        <w:topLinePunct w:val="0"/>
        <w:autoSpaceDE/>
        <w:autoSpaceDN/>
        <w:bidi w:val="0"/>
        <w:adjustRightInd w:val="0"/>
        <w:snapToGrid w:val="0"/>
        <w:spacing w:line="560" w:lineRule="exact"/>
        <w:ind w:firstLine="420" w:firstLineChars="200"/>
        <w:textAlignment w:val="auto"/>
        <w:rPr>
          <w:rFonts w:hint="eastAsia"/>
        </w:rPr>
      </w:pPr>
      <w:r>
        <w:rPr>
          <w:rFonts w:hint="eastAsia"/>
        </w:rPr>
        <w:t>制定依据</w:t>
      </w:r>
    </w:p>
    <w:p>
      <w:pPr>
        <w:keepNext w:val="0"/>
        <w:keepLines w:val="0"/>
        <w:pageBreakBefore w:val="0"/>
        <w:widowControl w:val="0"/>
        <w:numPr>
          <w:numId w:val="0"/>
        </w:numPr>
        <w:kinsoku/>
        <w:wordWrap/>
        <w:overflowPunct/>
        <w:topLinePunct w:val="0"/>
        <w:autoSpaceDE/>
        <w:autoSpaceDN/>
        <w:bidi w:val="0"/>
        <w:adjustRightInd w:val="0"/>
        <w:snapToGrid w:val="0"/>
        <w:spacing w:line="560" w:lineRule="exact"/>
        <w:ind w:firstLine="420" w:firstLineChars="200"/>
        <w:textAlignment w:val="auto"/>
        <w:rPr>
          <w:rFonts w:hint="eastAsia" w:asciiTheme="minorHAnsi" w:hAnsiTheme="minorHAnsi" w:eastAsiaTheme="minorEastAsia" w:cstheme="minorBidi"/>
          <w:kern w:val="2"/>
          <w:sz w:val="21"/>
          <w:szCs w:val="24"/>
          <w:lang w:val="en-US" w:eastAsia="zh-CN" w:bidi="ar-SA"/>
        </w:rPr>
      </w:pPr>
      <w:r>
        <w:rPr>
          <w:rFonts w:hint="eastAsia" w:asciiTheme="minorHAnsi" w:hAnsiTheme="minorHAnsi" w:eastAsiaTheme="minorEastAsia" w:cstheme="minorBidi"/>
          <w:kern w:val="2"/>
          <w:sz w:val="21"/>
          <w:szCs w:val="24"/>
          <w:lang w:val="en-US" w:eastAsia="zh-CN" w:bidi="ar-SA"/>
        </w:rPr>
        <w:t>根据《国务院办公厅关于进一步优化营商环境更好服务市场主体的实施意见》(国办发〔2020〕24号)、《江苏省市场监督管理局等八部门关于进一步优化企业开办服务的通知》(苏市监〔2020〕316号)、《省政府办公厅关于深化商事制度改革进一步为企业松绑减负激发企业活力的通知》（苏政办发〔2020〕87号）等文件精神，</w:t>
      </w:r>
      <w:r>
        <w:rPr>
          <w:rFonts w:hint="eastAsia" w:cstheme="minorBidi"/>
          <w:kern w:val="2"/>
          <w:sz w:val="21"/>
          <w:szCs w:val="24"/>
          <w:lang w:val="en-US" w:eastAsia="zh-CN" w:bidi="ar-SA"/>
        </w:rPr>
        <w:t>区</w:t>
      </w:r>
      <w:r>
        <w:rPr>
          <w:rFonts w:hint="eastAsia" w:asciiTheme="minorHAnsi" w:hAnsiTheme="minorHAnsi" w:eastAsiaTheme="minorEastAsia" w:cstheme="minorBidi"/>
          <w:kern w:val="2"/>
          <w:sz w:val="21"/>
          <w:szCs w:val="24"/>
          <w:lang w:val="en-US" w:eastAsia="zh-CN" w:bidi="ar-SA"/>
        </w:rPr>
        <w:t>协调办、</w:t>
      </w:r>
      <w:r>
        <w:rPr>
          <w:rFonts w:hint="eastAsia" w:cstheme="minorBidi"/>
          <w:kern w:val="2"/>
          <w:sz w:val="21"/>
          <w:szCs w:val="24"/>
          <w:lang w:val="en-US" w:eastAsia="zh-CN" w:bidi="ar-SA"/>
        </w:rPr>
        <w:t>区</w:t>
      </w:r>
      <w:r>
        <w:rPr>
          <w:rFonts w:hint="eastAsia" w:asciiTheme="minorHAnsi" w:hAnsiTheme="minorHAnsi" w:eastAsiaTheme="minorEastAsia" w:cstheme="minorBidi"/>
          <w:kern w:val="2"/>
          <w:sz w:val="21"/>
          <w:szCs w:val="24"/>
          <w:lang w:val="en-US" w:eastAsia="zh-CN" w:bidi="ar-SA"/>
        </w:rPr>
        <w:t>市场监管局联合起草制定了《连云</w:t>
      </w:r>
      <w:r>
        <w:rPr>
          <w:rFonts w:hint="eastAsia" w:cstheme="minorBidi"/>
          <w:kern w:val="2"/>
          <w:sz w:val="21"/>
          <w:szCs w:val="24"/>
          <w:lang w:val="en-US" w:eastAsia="zh-CN" w:bidi="ar-SA"/>
        </w:rPr>
        <w:t>区</w:t>
      </w:r>
      <w:r>
        <w:rPr>
          <w:rFonts w:hint="eastAsia" w:asciiTheme="minorHAnsi" w:hAnsiTheme="minorHAnsi" w:eastAsiaTheme="minorEastAsia" w:cstheme="minorBidi"/>
          <w:kern w:val="2"/>
          <w:sz w:val="21"/>
          <w:szCs w:val="24"/>
          <w:lang w:val="en-US" w:eastAsia="zh-CN" w:bidi="ar-SA"/>
        </w:rPr>
        <w:t>企业开办“一件事一次办”实施方案》</w:t>
      </w:r>
      <w:r>
        <w:rPr>
          <w:rFonts w:hint="eastAsia" w:cstheme="minorBidi"/>
          <w:kern w:val="2"/>
          <w:sz w:val="21"/>
          <w:szCs w:val="24"/>
          <w:lang w:val="en-US" w:eastAsia="zh-CN" w:bidi="ar-SA"/>
        </w:rPr>
        <w:t>。</w:t>
      </w:r>
    </w:p>
    <w:p>
      <w:pPr>
        <w:keepNext w:val="0"/>
        <w:keepLines w:val="0"/>
        <w:pageBreakBefore w:val="0"/>
        <w:widowControl w:val="0"/>
        <w:numPr>
          <w:numId w:val="0"/>
        </w:numPr>
        <w:kinsoku/>
        <w:wordWrap/>
        <w:overflowPunct/>
        <w:topLinePunct w:val="0"/>
        <w:autoSpaceDE/>
        <w:autoSpaceDN/>
        <w:bidi w:val="0"/>
        <w:adjustRightInd w:val="0"/>
        <w:snapToGrid w:val="0"/>
        <w:spacing w:line="560" w:lineRule="exact"/>
        <w:ind w:firstLine="420" w:firstLineChars="200"/>
        <w:textAlignment w:val="auto"/>
        <w:rPr>
          <w:rFonts w:hint="eastAsia" w:asciiTheme="minorHAnsi" w:hAnsiTheme="minorHAnsi" w:eastAsiaTheme="minorEastAsia" w:cstheme="minorBidi"/>
          <w:kern w:val="2"/>
          <w:sz w:val="21"/>
          <w:szCs w:val="24"/>
          <w:lang w:val="en-US" w:eastAsia="zh-CN" w:bidi="ar-SA"/>
        </w:rPr>
      </w:pPr>
      <w:r>
        <w:rPr>
          <w:rFonts w:hint="eastAsia" w:cstheme="minorBidi"/>
          <w:kern w:val="2"/>
          <w:sz w:val="21"/>
          <w:szCs w:val="24"/>
          <w:lang w:val="en-US" w:eastAsia="zh-CN" w:bidi="ar-SA"/>
        </w:rPr>
        <w:t>三、</w:t>
      </w:r>
      <w:r>
        <w:rPr>
          <w:rFonts w:hint="eastAsia" w:asciiTheme="minorHAnsi" w:hAnsiTheme="minorHAnsi" w:eastAsiaTheme="minorEastAsia" w:cstheme="minorBidi"/>
          <w:kern w:val="2"/>
          <w:sz w:val="21"/>
          <w:szCs w:val="24"/>
          <w:lang w:val="en-US" w:eastAsia="zh-CN" w:bidi="ar-SA"/>
        </w:rPr>
        <w:t>主要内容：</w:t>
      </w:r>
    </w:p>
    <w:p>
      <w:pPr>
        <w:keepNext w:val="0"/>
        <w:keepLines w:val="0"/>
        <w:pageBreakBefore w:val="0"/>
        <w:widowControl w:val="0"/>
        <w:numPr>
          <w:numId w:val="0"/>
        </w:numPr>
        <w:kinsoku/>
        <w:wordWrap/>
        <w:overflowPunct/>
        <w:topLinePunct w:val="0"/>
        <w:autoSpaceDE/>
        <w:autoSpaceDN/>
        <w:bidi w:val="0"/>
        <w:adjustRightInd w:val="0"/>
        <w:snapToGrid w:val="0"/>
        <w:spacing w:line="560" w:lineRule="exact"/>
        <w:ind w:firstLine="420" w:firstLineChars="200"/>
        <w:textAlignment w:val="auto"/>
        <w:rPr>
          <w:rFonts w:hint="eastAsia" w:asciiTheme="minorHAnsi" w:hAnsiTheme="minorHAnsi" w:eastAsiaTheme="minorEastAsia" w:cstheme="minorBidi"/>
          <w:kern w:val="2"/>
          <w:sz w:val="21"/>
          <w:szCs w:val="24"/>
          <w:lang w:val="en-US" w:eastAsia="zh-CN" w:bidi="ar-SA"/>
        </w:rPr>
      </w:pPr>
      <w:r>
        <w:rPr>
          <w:rFonts w:hint="eastAsia" w:asciiTheme="minorHAnsi" w:hAnsiTheme="minorHAnsi" w:eastAsiaTheme="minorEastAsia" w:cstheme="minorBidi"/>
          <w:kern w:val="2"/>
          <w:sz w:val="21"/>
          <w:szCs w:val="24"/>
          <w:lang w:val="en-US" w:eastAsia="zh-CN" w:bidi="ar-SA"/>
        </w:rPr>
        <w:t>文件明确了改革目标。将连云港市政务服务网作为企业开办总入口，实现一次登录，全网通办。建立企业开办“一窗受理、一套材料、一次采集、一网通办、一窗领取”服务模式，推进企业开办线上、线下融合办理，实现企业登记、刻制公章、银行开户、领取发票（获得申领资格）、社保登记和住房公积金缴存登记等全生命周期“一件事一次办”，为新开办企业免费刻制印章、免除银行账户开户费用，实现企业开办全免费、0.5天办结。</w:t>
      </w:r>
    </w:p>
    <w:p>
      <w:pPr>
        <w:keepNext w:val="0"/>
        <w:keepLines w:val="0"/>
        <w:pageBreakBefore w:val="0"/>
        <w:widowControl w:val="0"/>
        <w:numPr>
          <w:numId w:val="0"/>
        </w:numPr>
        <w:kinsoku/>
        <w:wordWrap/>
        <w:overflowPunct/>
        <w:topLinePunct w:val="0"/>
        <w:autoSpaceDE/>
        <w:autoSpaceDN/>
        <w:bidi w:val="0"/>
        <w:adjustRightInd w:val="0"/>
        <w:snapToGrid w:val="0"/>
        <w:spacing w:line="560" w:lineRule="exact"/>
        <w:ind w:firstLine="420" w:firstLineChars="200"/>
        <w:textAlignment w:val="auto"/>
        <w:rPr>
          <w:rFonts w:hint="eastAsia" w:asciiTheme="minorHAnsi" w:hAnsiTheme="minorHAnsi" w:eastAsiaTheme="minorEastAsia" w:cstheme="minorBidi"/>
          <w:kern w:val="2"/>
          <w:sz w:val="21"/>
          <w:szCs w:val="24"/>
          <w:lang w:val="en-US" w:eastAsia="zh-CN" w:bidi="ar-SA"/>
        </w:rPr>
      </w:pPr>
      <w:r>
        <w:rPr>
          <w:rFonts w:hint="eastAsia" w:asciiTheme="minorHAnsi" w:hAnsiTheme="minorHAnsi" w:eastAsiaTheme="minorEastAsia" w:cstheme="minorBidi"/>
          <w:kern w:val="2"/>
          <w:sz w:val="21"/>
          <w:szCs w:val="24"/>
          <w:lang w:val="en-US" w:eastAsia="zh-CN" w:bidi="ar-SA"/>
        </w:rPr>
        <w:t>文件明确了改革路径。减环节，将企业登记、公章刻制、银行开户、领取发票四个环节统一为一个完整的闭环流程。减材料，形成“一窗受理、综合进件”流程。减时间，压缩各环节办理时长，实现企业开办全流程0.5天办结。免费用，全面实现企业开办全流程免费。</w:t>
      </w:r>
    </w:p>
    <w:p>
      <w:pPr>
        <w:keepNext w:val="0"/>
        <w:keepLines w:val="0"/>
        <w:pageBreakBefore w:val="0"/>
        <w:widowControl w:val="0"/>
        <w:numPr>
          <w:numId w:val="0"/>
        </w:numPr>
        <w:kinsoku/>
        <w:wordWrap/>
        <w:overflowPunct/>
        <w:topLinePunct w:val="0"/>
        <w:autoSpaceDE/>
        <w:autoSpaceDN/>
        <w:bidi w:val="0"/>
        <w:adjustRightInd w:val="0"/>
        <w:snapToGrid w:val="0"/>
        <w:spacing w:line="560" w:lineRule="exact"/>
        <w:ind w:firstLine="420" w:firstLineChars="200"/>
        <w:textAlignment w:val="auto"/>
        <w:rPr>
          <w:rFonts w:hint="eastAsia" w:asciiTheme="minorHAnsi" w:hAnsiTheme="minorHAnsi" w:eastAsiaTheme="minorEastAsia" w:cstheme="minorBidi"/>
          <w:kern w:val="2"/>
          <w:sz w:val="21"/>
          <w:szCs w:val="24"/>
          <w:lang w:val="en-US" w:eastAsia="zh-CN" w:bidi="ar-SA"/>
        </w:rPr>
      </w:pPr>
      <w:r>
        <w:rPr>
          <w:rFonts w:hint="eastAsia" w:asciiTheme="minorHAnsi" w:hAnsiTheme="minorHAnsi" w:eastAsiaTheme="minorEastAsia" w:cstheme="minorBidi"/>
          <w:kern w:val="2"/>
          <w:sz w:val="21"/>
          <w:szCs w:val="24"/>
          <w:lang w:val="en-US" w:eastAsia="zh-CN" w:bidi="ar-SA"/>
        </w:rPr>
        <w:t>文件细化了工作任务。一是全面实现企业开办 “一窗受理、集成服务”。二是全面推广企业开办“一网通办”。三是全面实现企业开办“一套材料”。四是全面实现企业开办“一次采集”。</w:t>
      </w:r>
    </w:p>
    <w:p>
      <w:pPr>
        <w:keepNext w:val="0"/>
        <w:keepLines w:val="0"/>
        <w:pageBreakBefore w:val="0"/>
        <w:widowControl w:val="0"/>
        <w:numPr>
          <w:numId w:val="0"/>
        </w:numPr>
        <w:kinsoku/>
        <w:wordWrap/>
        <w:overflowPunct/>
        <w:topLinePunct w:val="0"/>
        <w:autoSpaceDE/>
        <w:autoSpaceDN/>
        <w:bidi w:val="0"/>
        <w:adjustRightInd w:val="0"/>
        <w:snapToGrid w:val="0"/>
        <w:spacing w:line="560" w:lineRule="exact"/>
        <w:ind w:firstLine="420" w:firstLineChars="200"/>
        <w:textAlignment w:val="auto"/>
        <w:rPr>
          <w:rFonts w:hint="eastAsia" w:asciiTheme="minorHAnsi" w:hAnsiTheme="minorHAnsi" w:eastAsiaTheme="minorEastAsia" w:cstheme="minorBidi"/>
          <w:kern w:val="2"/>
          <w:sz w:val="21"/>
          <w:szCs w:val="24"/>
          <w:lang w:val="en-US" w:eastAsia="zh-CN" w:bidi="ar-SA"/>
        </w:rPr>
      </w:pPr>
      <w:r>
        <w:rPr>
          <w:rFonts w:hint="eastAsia" w:asciiTheme="minorHAnsi" w:hAnsiTheme="minorHAnsi" w:eastAsiaTheme="minorEastAsia" w:cstheme="minorBidi"/>
          <w:kern w:val="2"/>
          <w:sz w:val="21"/>
          <w:szCs w:val="24"/>
          <w:lang w:val="en-US" w:eastAsia="zh-CN" w:bidi="ar-SA"/>
        </w:rPr>
        <w:t>文件明确了责任分工。逐一明确了</w:t>
      </w:r>
      <w:r>
        <w:rPr>
          <w:rFonts w:hint="eastAsia" w:cstheme="minorBidi"/>
          <w:kern w:val="2"/>
          <w:sz w:val="21"/>
          <w:szCs w:val="24"/>
          <w:lang w:val="en-US" w:eastAsia="zh-CN" w:bidi="ar-SA"/>
        </w:rPr>
        <w:t>区</w:t>
      </w:r>
      <w:r>
        <w:rPr>
          <w:rFonts w:hint="eastAsia" w:asciiTheme="minorHAnsi" w:hAnsiTheme="minorHAnsi" w:eastAsiaTheme="minorEastAsia" w:cstheme="minorBidi"/>
          <w:kern w:val="2"/>
          <w:sz w:val="21"/>
          <w:szCs w:val="24"/>
          <w:lang w:val="en-US" w:eastAsia="zh-CN" w:bidi="ar-SA"/>
        </w:rPr>
        <w:t>市场监管局、</w:t>
      </w:r>
      <w:r>
        <w:rPr>
          <w:rFonts w:hint="eastAsia" w:cstheme="minorBidi"/>
          <w:kern w:val="2"/>
          <w:sz w:val="21"/>
          <w:szCs w:val="24"/>
          <w:lang w:val="en-US" w:eastAsia="zh-CN" w:bidi="ar-SA"/>
        </w:rPr>
        <w:t>区行政审批局</w:t>
      </w:r>
      <w:r>
        <w:rPr>
          <w:rFonts w:hint="eastAsia" w:asciiTheme="minorHAnsi" w:hAnsiTheme="minorHAnsi" w:eastAsiaTheme="minorEastAsia" w:cstheme="minorBidi"/>
          <w:kern w:val="2"/>
          <w:sz w:val="21"/>
          <w:szCs w:val="24"/>
          <w:lang w:val="en-US" w:eastAsia="zh-CN" w:bidi="ar-SA"/>
        </w:rPr>
        <w:t>、</w:t>
      </w:r>
      <w:r>
        <w:rPr>
          <w:rFonts w:hint="eastAsia" w:cstheme="minorBidi"/>
          <w:kern w:val="2"/>
          <w:sz w:val="21"/>
          <w:szCs w:val="24"/>
          <w:lang w:val="en-US" w:eastAsia="zh-CN" w:bidi="ar-SA"/>
        </w:rPr>
        <w:t>连云</w:t>
      </w:r>
      <w:r>
        <w:rPr>
          <w:rFonts w:hint="eastAsia" w:asciiTheme="minorHAnsi" w:hAnsiTheme="minorHAnsi" w:eastAsiaTheme="minorEastAsia" w:cstheme="minorBidi"/>
          <w:kern w:val="2"/>
          <w:sz w:val="21"/>
          <w:szCs w:val="24"/>
          <w:lang w:val="en-US" w:eastAsia="zh-CN" w:bidi="ar-SA"/>
        </w:rPr>
        <w:t>公安</w:t>
      </w:r>
      <w:r>
        <w:rPr>
          <w:rFonts w:hint="eastAsia" w:cstheme="minorBidi"/>
          <w:kern w:val="2"/>
          <w:sz w:val="21"/>
          <w:szCs w:val="24"/>
          <w:lang w:val="en-US" w:eastAsia="zh-CN" w:bidi="ar-SA"/>
        </w:rPr>
        <w:t>分</w:t>
      </w:r>
      <w:r>
        <w:rPr>
          <w:rFonts w:hint="eastAsia" w:asciiTheme="minorHAnsi" w:hAnsiTheme="minorHAnsi" w:eastAsiaTheme="minorEastAsia" w:cstheme="minorBidi"/>
          <w:kern w:val="2"/>
          <w:sz w:val="21"/>
          <w:szCs w:val="24"/>
          <w:lang w:val="en-US" w:eastAsia="zh-CN" w:bidi="ar-SA"/>
        </w:rPr>
        <w:t>局、</w:t>
      </w:r>
      <w:r>
        <w:rPr>
          <w:rFonts w:hint="eastAsia" w:cstheme="minorBidi"/>
          <w:kern w:val="2"/>
          <w:sz w:val="21"/>
          <w:szCs w:val="24"/>
          <w:lang w:val="en-US" w:eastAsia="zh-CN" w:bidi="ar-SA"/>
        </w:rPr>
        <w:t>连云区税务局</w:t>
      </w:r>
      <w:r>
        <w:rPr>
          <w:rFonts w:hint="eastAsia" w:asciiTheme="minorHAnsi" w:hAnsiTheme="minorHAnsi" w:eastAsiaTheme="minorEastAsia" w:cstheme="minorBidi"/>
          <w:kern w:val="2"/>
          <w:sz w:val="21"/>
          <w:szCs w:val="24"/>
          <w:lang w:val="en-US" w:eastAsia="zh-CN" w:bidi="ar-SA"/>
        </w:rPr>
        <w:t>、各商业银行、</w:t>
      </w:r>
      <w:r>
        <w:rPr>
          <w:rFonts w:hint="eastAsia" w:cstheme="minorBidi"/>
          <w:kern w:val="2"/>
          <w:sz w:val="21"/>
          <w:szCs w:val="24"/>
          <w:lang w:val="en-US" w:eastAsia="zh-CN" w:bidi="ar-SA"/>
        </w:rPr>
        <w:t>区</w:t>
      </w:r>
      <w:r>
        <w:rPr>
          <w:rFonts w:hint="eastAsia" w:asciiTheme="minorHAnsi" w:hAnsiTheme="minorHAnsi" w:eastAsiaTheme="minorEastAsia" w:cstheme="minorBidi"/>
          <w:kern w:val="2"/>
          <w:sz w:val="21"/>
          <w:szCs w:val="24"/>
          <w:lang w:val="en-US" w:eastAsia="zh-CN" w:bidi="ar-SA"/>
        </w:rPr>
        <w:t>人社局、市公积金中心</w:t>
      </w:r>
      <w:r>
        <w:rPr>
          <w:rFonts w:hint="eastAsia" w:cstheme="minorBidi"/>
          <w:kern w:val="2"/>
          <w:sz w:val="21"/>
          <w:szCs w:val="24"/>
          <w:lang w:val="en-US" w:eastAsia="zh-CN" w:bidi="ar-SA"/>
        </w:rPr>
        <w:t>连云分中心</w:t>
      </w:r>
      <w:r>
        <w:rPr>
          <w:rFonts w:hint="eastAsia" w:asciiTheme="minorHAnsi" w:hAnsiTheme="minorHAnsi" w:eastAsiaTheme="minorEastAsia" w:cstheme="minorBidi"/>
          <w:kern w:val="2"/>
          <w:sz w:val="21"/>
          <w:szCs w:val="24"/>
          <w:lang w:val="en-US" w:eastAsia="zh-CN" w:bidi="ar-SA"/>
        </w:rPr>
        <w:t>的具体职责和工作任务，压实责任。并从加强组织领导和部门协作、加强事中事后监管、强化考核监督三个角度细化了保障措施。</w:t>
      </w:r>
    </w:p>
    <w:p>
      <w:pPr>
        <w:numPr>
          <w:numId w:val="0"/>
        </w:numPr>
        <w:rPr>
          <w:rFonts w:hint="eastAsia" w:asciiTheme="minorHAnsi" w:hAnsiTheme="minorHAnsi" w:eastAsiaTheme="minorEastAsia" w:cstheme="minorBidi"/>
          <w:kern w:val="2"/>
          <w:sz w:val="21"/>
          <w:szCs w:val="24"/>
          <w:lang w:val="en-US" w:eastAsia="zh-CN" w:bidi="ar-SA"/>
        </w:rPr>
      </w:pPr>
    </w:p>
    <w:p>
      <w:pPr>
        <w:numPr>
          <w:numId w:val="0"/>
        </w:numPr>
        <w:rPr>
          <w:rFonts w:hint="eastAsia" w:asciiTheme="minorHAnsi" w:hAnsiTheme="minorHAnsi" w:eastAsiaTheme="minorEastAsia" w:cstheme="minorBidi"/>
          <w:kern w:val="2"/>
          <w:sz w:val="21"/>
          <w:szCs w:val="24"/>
          <w:lang w:val="en-US" w:eastAsia="zh-CN" w:bidi="ar-SA"/>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Arial">
    <w:panose1 w:val="020B0604020202020204"/>
    <w:charset w:val="00"/>
    <w:family w:val="auto"/>
    <w:pitch w:val="default"/>
    <w:sig w:usb0="E0002AFF" w:usb1="C0007843" w:usb2="00000009" w:usb3="00000000" w:csb0="400001FF" w:csb1="FFFF0000"/>
  </w:font>
  <w:font w:name="Courier New">
    <w:panose1 w:val="02070309020205020404"/>
    <w:charset w:val="00"/>
    <w:family w:val="auto"/>
    <w:pitch w:val="default"/>
    <w:sig w:usb0="E0002AFF" w:usb1="C0007843" w:usb2="00000009" w:usb3="00000000" w:csb0="400001FF" w:csb1="FFFF0000"/>
  </w:font>
  <w:font w:name="微软雅黑">
    <w:panose1 w:val="020B0503020204020204"/>
    <w:charset w:val="86"/>
    <w:family w:val="auto"/>
    <w:pitch w:val="default"/>
    <w:sig w:usb0="80000287" w:usb1="280F3C52" w:usb2="00000016" w:usb3="00000000" w:csb0="0004001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FB69A0C5"/>
    <w:multiLevelType w:val="singleLevel"/>
    <w:tmpl w:val="FB69A0C5"/>
    <w:lvl w:ilvl="0" w:tentative="0">
      <w:start w:val="2"/>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23193CE7"/>
    <w:rsid w:val="23193CE7"/>
    <w:rsid w:val="35E8711A"/>
    <w:rsid w:val="4CCD484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4">
    <w:name w:val="Default Paragraph Font"/>
    <w:semiHidden/>
    <w:uiPriority w:val="0"/>
  </w:style>
  <w:style w:type="table" w:default="1" w:styleId="3">
    <w:name w:val="Normal Table"/>
    <w:semiHidden/>
    <w:uiPriority w:val="0"/>
    <w:tblPr>
      <w:tblCellMar>
        <w:top w:w="0" w:type="dxa"/>
        <w:left w:w="108" w:type="dxa"/>
        <w:bottom w:w="0" w:type="dxa"/>
        <w:right w:w="108" w:type="dxa"/>
      </w:tblCellMar>
    </w:tblPr>
  </w:style>
  <w:style w:type="paragraph" w:styleId="2">
    <w:name w:val="Normal (Web)"/>
    <w:basedOn w:val="1"/>
    <w:uiPriority w:val="0"/>
    <w:pPr>
      <w:pBdr>
        <w:top w:val="none" w:color="auto" w:sz="0" w:space="0"/>
        <w:left w:val="none" w:color="auto" w:sz="0" w:space="0"/>
        <w:bottom w:val="none" w:color="auto" w:sz="0" w:space="0"/>
        <w:right w:val="none" w:color="auto" w:sz="0" w:space="0"/>
      </w:pBdr>
      <w:spacing w:before="0" w:beforeAutospacing="0" w:after="0" w:afterAutospacing="0" w:line="270" w:lineRule="atLeast"/>
      <w:ind w:left="0" w:right="0"/>
      <w:jc w:val="left"/>
    </w:pPr>
    <w:rPr>
      <w:rFonts w:hint="eastAsia" w:ascii="Arial" w:hAnsi="Arial" w:cs="Arial"/>
      <w:kern w:val="0"/>
      <w:sz w:val="18"/>
      <w:szCs w:val="18"/>
      <w:lang w:val="en-US" w:eastAsia="zh-CN" w:bidi="ar"/>
    </w:rPr>
  </w:style>
  <w:style w:type="character" w:styleId="5">
    <w:name w:val="FollowedHyperlink"/>
    <w:basedOn w:val="4"/>
    <w:uiPriority w:val="0"/>
    <w:rPr>
      <w:color w:val="000000"/>
      <w:u w:val="none"/>
    </w:rPr>
  </w:style>
  <w:style w:type="character" w:styleId="6">
    <w:name w:val="Emphasis"/>
    <w:basedOn w:val="4"/>
    <w:qFormat/>
    <w:uiPriority w:val="0"/>
  </w:style>
  <w:style w:type="character" w:styleId="7">
    <w:name w:val="HTML Definition"/>
    <w:basedOn w:val="4"/>
    <w:uiPriority w:val="0"/>
  </w:style>
  <w:style w:type="character" w:styleId="8">
    <w:name w:val="HTML Variable"/>
    <w:basedOn w:val="4"/>
    <w:uiPriority w:val="0"/>
  </w:style>
  <w:style w:type="character" w:styleId="9">
    <w:name w:val="Hyperlink"/>
    <w:basedOn w:val="4"/>
    <w:uiPriority w:val="0"/>
    <w:rPr>
      <w:color w:val="000000"/>
      <w:u w:val="none"/>
    </w:rPr>
  </w:style>
  <w:style w:type="character" w:styleId="10">
    <w:name w:val="HTML Code"/>
    <w:basedOn w:val="4"/>
    <w:uiPriority w:val="0"/>
    <w:rPr>
      <w:rFonts w:hint="default" w:ascii="Courier New" w:hAnsi="Courier New" w:eastAsia="Courier New" w:cs="Courier New"/>
      <w:sz w:val="20"/>
    </w:rPr>
  </w:style>
  <w:style w:type="character" w:styleId="11">
    <w:name w:val="HTML Cite"/>
    <w:basedOn w:val="4"/>
    <w:uiPriority w:val="0"/>
  </w:style>
  <w:style w:type="character" w:styleId="12">
    <w:name w:val="HTML Keyboard"/>
    <w:basedOn w:val="4"/>
    <w:uiPriority w:val="0"/>
    <w:rPr>
      <w:rFonts w:ascii="Courier New" w:hAnsi="Courier New" w:eastAsia="Courier New" w:cs="Courier New"/>
      <w:sz w:val="20"/>
    </w:rPr>
  </w:style>
  <w:style w:type="character" w:styleId="13">
    <w:name w:val="HTML Sample"/>
    <w:basedOn w:val="4"/>
    <w:uiPriority w:val="0"/>
    <w:rPr>
      <w:rFonts w:hint="default" w:ascii="Courier New" w:hAnsi="Courier New" w:eastAsia="Courier New" w:cs="Courier New"/>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6</TotalTime>
  <ScaleCrop>false</ScaleCrop>
  <LinksUpToDate>false</LinksUpToDate>
  <CharactersWithSpaces>0</CharactersWithSpaces>
  <Application>WPS Office_11.1.0.10938_F1E327BC-269C-435d-A152-05C5408002CA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2021-10-29T01:27:00Z</dcterms:created>
  <dc:creator>admin</dc:creator>
  <cp:lastModifiedBy>admin</cp:lastModifiedBy>
  <dcterms:modified xsi:type="dcterms:W3CDTF">2021-10-29T01:33:40Z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2052-11.1.0.10938</vt:lpwstr>
  </property>
  <property fmtid="{D5CDD505-2E9C-101B-9397-08002B2CF9AE}" pid="3" name="ICV">
    <vt:lpwstr>61B89F77DA504C4BAF0FB26E09F4F6F4</vt:lpwstr>
  </property>
</Properties>
</file>