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2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</w:p>
    <w:p>
      <w:pPr>
        <w:spacing w:line="572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2026年省级现代农业发展补助专项</w:t>
      </w:r>
    </w:p>
    <w:p>
      <w:pPr>
        <w:spacing w:line="572" w:lineRule="exact"/>
        <w:jc w:val="center"/>
        <w:rPr>
          <w:rFonts w:hint="eastAsia" w:ascii="方正小标宋_GBK" w:hAnsi="Times New Roman" w:eastAsia="方正小标宋_GBK" w:cs="Times New Roman"/>
          <w:sz w:val="44"/>
          <w:szCs w:val="44"/>
          <w:highlight w:val="none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农产品</w:t>
      </w:r>
      <w:r>
        <w:rPr>
          <w:rFonts w:hint="eastAsia" w:ascii="方正小标宋_GBK" w:hAnsi="Times New Roman" w:eastAsia="方正小标宋_GBK" w:cs="Times New Roman"/>
          <w:sz w:val="44"/>
          <w:szCs w:val="44"/>
          <w:highlight w:val="none"/>
        </w:rPr>
        <w:t>加工能力提升政策项目储备要求</w:t>
      </w:r>
    </w:p>
    <w:p>
      <w:pPr>
        <w:spacing w:line="572" w:lineRule="exact"/>
        <w:jc w:val="center"/>
        <w:rPr>
          <w:rFonts w:ascii="Times New Roman" w:hAnsi="Times New Roman" w:eastAsia="方正小标宋简体" w:cs="Times New Roman"/>
          <w:sz w:val="32"/>
          <w:szCs w:val="32"/>
          <w:highlight w:val="none"/>
        </w:rPr>
      </w:pPr>
    </w:p>
    <w:p>
      <w:pPr>
        <w:spacing w:line="572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黑体" w:eastAsia="黑体" w:cs="Times New Roman"/>
          <w:sz w:val="32"/>
          <w:szCs w:val="32"/>
          <w:highlight w:val="none"/>
        </w:rPr>
        <w:t>一、支持对象</w:t>
      </w:r>
      <w:bookmarkStart w:id="0" w:name="_GoBack"/>
      <w:bookmarkEnd w:id="0"/>
    </w:p>
    <w:p>
      <w:pPr>
        <w:spacing w:line="572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县级及以上农业龙头企业，且在省内有自建或稳定的合作共建生产基地，与省内农户建立订单农业、服务或技术带动、保底收购、二次返利等紧密的利益联结机制。已承担2023、 2024年度省级现代农业发展专项农业全产业链项目（2024年农产品加工项目）或生猪产业集群2024年度项目但尚未通过验收的主体，不得参与2026年农产品加工提升项目储备入库。</w:t>
      </w:r>
    </w:p>
    <w:p>
      <w:pPr>
        <w:spacing w:line="572" w:lineRule="exact"/>
        <w:ind w:firstLine="640" w:firstLineChars="200"/>
        <w:rPr>
          <w:rFonts w:ascii="Times New Roman" w:hAnsi="黑体" w:eastAsia="黑体" w:cs="Times New Roman"/>
          <w:sz w:val="32"/>
          <w:szCs w:val="32"/>
          <w:highlight w:val="none"/>
        </w:rPr>
      </w:pPr>
      <w:r>
        <w:rPr>
          <w:rFonts w:ascii="Times New Roman" w:hAnsi="黑体" w:eastAsia="黑体" w:cs="Times New Roman"/>
          <w:sz w:val="32"/>
          <w:szCs w:val="32"/>
          <w:highlight w:val="none"/>
        </w:rPr>
        <w:t>二、支持内容</w:t>
      </w:r>
    </w:p>
    <w:p>
      <w:pPr>
        <w:spacing w:line="572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支持农产品加工能力提升和转型升级，加快生物、数字、信息等技术在农产品加工的集成应用。重点支持引领型、带动型农业龙头企业在以新质生产力为引领的保健食品、休闲食品、冻干食品、海洋食品、宠物产业以及功能物提取、副产物利用等新兴产业领域发展高附加值、深层次、全方位利用的精深加工和产品、技术创新研发。具体支持农产品加工设备和技术、产品研发设备的购置、升级以及“智改数转网联”。</w:t>
      </w:r>
    </w:p>
    <w:p>
      <w:pPr>
        <w:spacing w:line="572" w:lineRule="exact"/>
        <w:ind w:firstLine="640" w:firstLineChars="200"/>
        <w:rPr>
          <w:rFonts w:ascii="Times New Roman" w:hAnsi="黑体" w:eastAsia="黑体" w:cs="Times New Roman"/>
          <w:sz w:val="32"/>
          <w:szCs w:val="32"/>
          <w:highlight w:val="none"/>
        </w:rPr>
      </w:pPr>
      <w:r>
        <w:rPr>
          <w:rFonts w:ascii="Times New Roman" w:hAnsi="黑体" w:eastAsia="黑体" w:cs="Times New Roman"/>
          <w:sz w:val="32"/>
          <w:szCs w:val="32"/>
          <w:highlight w:val="none"/>
        </w:rPr>
        <w:t>三、补助标准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单个项目总投资不低于200万元、省级财政资金补助不超过总投资30%、各级财政累计补助比例不超过总投资50%。单个项目省级财政补助资金最高不超400万元。</w:t>
      </w:r>
    </w:p>
    <w:p>
      <w:pPr>
        <w:spacing w:line="572" w:lineRule="exact"/>
        <w:ind w:firstLine="640" w:firstLineChars="200"/>
        <w:rPr>
          <w:rFonts w:ascii="Times New Roman" w:hAnsi="黑体" w:eastAsia="黑体" w:cs="Times New Roman"/>
          <w:sz w:val="32"/>
          <w:szCs w:val="32"/>
          <w:highlight w:val="none"/>
        </w:rPr>
      </w:pPr>
      <w:r>
        <w:rPr>
          <w:rFonts w:hint="eastAsia" w:ascii="Times New Roman" w:hAnsi="黑体" w:eastAsia="黑体" w:cs="Times New Roman"/>
          <w:sz w:val="32"/>
          <w:szCs w:val="32"/>
          <w:highlight w:val="none"/>
        </w:rPr>
        <w:t>四、</w:t>
      </w:r>
      <w:r>
        <w:rPr>
          <w:rFonts w:ascii="Times New Roman" w:hAnsi="黑体" w:eastAsia="黑体" w:cs="Times New Roman"/>
          <w:sz w:val="32"/>
          <w:szCs w:val="32"/>
          <w:highlight w:val="none"/>
        </w:rPr>
        <w:t>储备要求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(一)各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县区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要做好项目储备政策信息公开，充分摸排符合条件的投资需求，并做好项目主体资质和建设内容审核把关，提高入库项目质量。2026年度项目实施期原则上为2026年起至2027年上半年，请在项目储备时充分考虑项目实施期限，包括按时取得项目建设所需各类资质并及时开工，以及按期完成项目建设、验收和资金拨付的时限要求等。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(二)项目遴选储备要符合当地产业发展规划，鼓励各地围绕“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6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+N”农业全产业链发展体系，针对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</w:rPr>
        <w:t>优质粮食、绿色蔬菜、食用菌菇、特色林果、规模畜禽、海淡水产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6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个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市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重点产业链和各地重点建设的县域产业链，遴选储备符合条件的农产品加工项目，进一步推进各类农业全产业链发展。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 xml:space="preserve"> (三)省级财政资金不得用于楼堂馆所、市政道路、农村公路、厂房车间等各类基建支出，不得用于第三方项目咨询服务费用、人员工资等及其他一般性支出，不得用于一次性物料或耗材支出、不得用于弥补预算支出缺口等。项目同一建设内容不得与其他省级及以上财政资金重复支持。财政资金支持内容与配套资金建设内容应紧密关联、有机统一，不得为满足配套要求，在项目方案中增加无关内容。</w:t>
      </w:r>
    </w:p>
    <w:p>
      <w:pPr>
        <w:spacing w:line="572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(四)项目储备时，上传项目内容简介，并附龙头企业认定文件及其他所需佐证材料。立项时，各地应参照所遴选的项目简介内容，制定完整的项目实施方案，并经地方审核批复后实施。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66043"/>
    <w:rsid w:val="00243F29"/>
    <w:rsid w:val="00AE21A0"/>
    <w:rsid w:val="00CE4C0D"/>
    <w:rsid w:val="00EC08D7"/>
    <w:rsid w:val="00EE6D31"/>
    <w:rsid w:val="00EF6304"/>
    <w:rsid w:val="5EB66043"/>
    <w:rsid w:val="77AF8A03"/>
    <w:rsid w:val="FFE7FC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156</Words>
  <Characters>893</Characters>
  <Lines>7</Lines>
  <Paragraphs>2</Paragraphs>
  <TotalTime>25</TotalTime>
  <ScaleCrop>false</ScaleCrop>
  <LinksUpToDate>false</LinksUpToDate>
  <CharactersWithSpaces>1047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2025-11-11T01:27:00Z</dcterms:created>
  <dc:creator>huawei</dc:creator>
  <cp:lastModifiedBy>huawei</cp:lastModifiedBy>
  <dcterms:modified xsi:type="dcterms:W3CDTF">2025-11-11T09:14:30Z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