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533AD">
      <w:pPr>
        <w:pStyle w:val="29"/>
        <w:keepNext w:val="0"/>
        <w:keepLines w:val="0"/>
        <w:pageBreakBefore w:val="0"/>
        <w:widowControl w:val="0"/>
        <w:kinsoku/>
        <w:wordWrap/>
        <w:overflowPunct/>
        <w:topLinePunct w:val="0"/>
        <w:bidi w:val="0"/>
        <w:snapToGrid/>
        <w:spacing w:before="1652" w:beforeLines="280" w:after="472" w:afterLines="80" w:line="240" w:lineRule="auto"/>
        <w:rPr>
          <w:rFonts w:hint="default" w:ascii="Times New Roman" w:hAnsi="Times New Roman" w:cs="Times New Roman"/>
          <w:b/>
          <w:color w:val="FF0000"/>
          <w:w w:val="50"/>
          <w:sz w:val="104"/>
          <w:szCs w:val="104"/>
        </w:rPr>
      </w:pPr>
      <w:r>
        <w:rPr>
          <w:rFonts w:hint="default" w:ascii="Times New Roman" w:hAnsi="Times New Roman" w:cs="Times New Roman"/>
          <w:b/>
          <w:color w:val="FF0000"/>
          <w:w w:val="50"/>
          <w:sz w:val="104"/>
          <w:szCs w:val="104"/>
        </w:rPr>
        <w:t>连云港市连云区人民政府办公室文件</w:t>
      </w:r>
    </w:p>
    <w:p w14:paraId="19584B86">
      <w:pPr>
        <w:pStyle w:val="29"/>
        <w:keepNext w:val="0"/>
        <w:keepLines w:val="0"/>
        <w:pageBreakBefore w:val="0"/>
        <w:widowControl w:val="0"/>
        <w:kinsoku/>
        <w:wordWrap/>
        <w:overflowPunct/>
        <w:topLinePunct w:val="0"/>
        <w:bidi w:val="0"/>
        <w:snapToGrid/>
        <w:spacing w:line="560" w:lineRule="exac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连区政办发〔202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w:t>
      </w:r>
      <w:r>
        <w:rPr>
          <w:rFonts w:hint="eastAsia" w:eastAsia="方正仿宋_GBK" w:cs="Times New Roman"/>
          <w:sz w:val="32"/>
          <w:szCs w:val="32"/>
          <w:lang w:val="en-US" w:eastAsia="zh-CN"/>
        </w:rPr>
        <w:t>70</w:t>
      </w:r>
      <w:r>
        <w:rPr>
          <w:rFonts w:hint="default" w:ascii="Times New Roman" w:hAnsi="Times New Roman" w:eastAsia="方正仿宋_GBK" w:cs="Times New Roman"/>
          <w:sz w:val="32"/>
          <w:szCs w:val="32"/>
        </w:rPr>
        <w:t>号</w:t>
      </w:r>
    </w:p>
    <w:p w14:paraId="1E6D1448">
      <w:pPr>
        <w:keepNext w:val="0"/>
        <w:keepLines w:val="0"/>
        <w:pageBreakBefore w:val="0"/>
        <w:widowControl w:val="0"/>
        <w:kinsoku/>
        <w:wordWrap/>
        <w:overflowPunct/>
        <w:topLinePunct w:val="0"/>
        <w:bidi w:val="0"/>
        <w:spacing w:line="320" w:lineRule="exact"/>
        <w:ind w:firstLine="0"/>
        <w:rPr>
          <w:rFonts w:hint="default" w:ascii="Times New Roman" w:hAnsi="Times New Roman" w:cs="Times New Roman"/>
        </w:rPr>
      </w:pPr>
      <w:bookmarkStart w:id="0" w:name="_1597687441"/>
      <w:bookmarkEnd w:id="0"/>
      <w:bookmarkStart w:id="1" w:name="_1085810142"/>
      <w:bookmarkEnd w:id="1"/>
      <w:bookmarkStart w:id="2" w:name="_988455673"/>
      <w:bookmarkEnd w:id="2"/>
      <w:bookmarkStart w:id="3" w:name="_988455575"/>
      <w:bookmarkEnd w:id="3"/>
      <w:bookmarkStart w:id="4" w:name="_988455645"/>
      <w:bookmarkEnd w:id="4"/>
      <w:bookmarkStart w:id="5" w:name="_988455157"/>
      <w:bookmarkEnd w:id="5"/>
      <w:bookmarkStart w:id="6" w:name="_1402823391"/>
      <w:bookmarkEnd w:id="6"/>
      <w:bookmarkStart w:id="7" w:name="_1597686662"/>
      <w:bookmarkEnd w:id="7"/>
      <w:bookmarkStart w:id="8" w:name="_988455626"/>
      <w:bookmarkEnd w:id="8"/>
      <w:bookmarkStart w:id="9" w:name="_988456248"/>
      <w:bookmarkEnd w:id="9"/>
      <w:bookmarkStart w:id="10" w:name="_1085810014"/>
      <w:bookmarkEnd w:id="10"/>
      <w:bookmarkStart w:id="11" w:name="_1402823385"/>
      <w:bookmarkEnd w:id="11"/>
      <w:bookmarkStart w:id="12" w:name="_1597687161"/>
      <w:bookmarkEnd w:id="12"/>
      <w:bookmarkStart w:id="13" w:name="_988455233"/>
      <w:bookmarkEnd w:id="13"/>
      <w:bookmarkStart w:id="14" w:name="_988455599"/>
      <w:bookmarkEnd w:id="14"/>
      <w:bookmarkStart w:id="15" w:name="_1597686304"/>
      <w:bookmarkEnd w:id="15"/>
      <w:bookmarkStart w:id="16" w:name="_988455526"/>
      <w:bookmarkEnd w:id="16"/>
      <w:bookmarkStart w:id="17" w:name="_988455212"/>
      <w:bookmarkEnd w:id="17"/>
      <w:bookmarkStart w:id="18" w:name="_1597686543"/>
      <w:bookmarkEnd w:id="18"/>
      <w:bookmarkStart w:id="19" w:name="_1082439055"/>
      <w:bookmarkEnd w:id="19"/>
      <w:bookmarkStart w:id="20" w:name="_1082439050"/>
      <w:bookmarkEnd w:id="20"/>
      <w:bookmarkStart w:id="21" w:name="_1541610516"/>
      <w:bookmarkEnd w:id="21"/>
      <w:r>
        <w:rPr>
          <w:rFonts w:hint="default" w:ascii="Times New Roman" w:hAnsi="Times New Roman" w:cs="Times New Roman"/>
        </w:rPr>
        <w:object>
          <v:shape id="_x0000_i1025" o:spt="75" type="#_x0000_t75" style="height:6.45pt;width:442.4pt;" o:ole="t" filled="f" o:preferrelative="t" stroked="f" coordsize="21600,21600">
            <v:path/>
            <v:fill on="f" focussize="0,0"/>
            <v:stroke on="f"/>
            <v:imagedata r:id="rId22" o:title=""/>
            <o:lock v:ext="edit" aspectratio="t"/>
            <w10:wrap type="none"/>
            <w10:anchorlock/>
          </v:shape>
          <o:OLEObject Type="Embed" ProgID="Word.Picture.8" ShapeID="_x0000_i1025" DrawAspect="Content" ObjectID="_1468075725" r:id="rId21">
            <o:LockedField>false</o:LockedField>
          </o:OLEObject>
        </w:object>
      </w:r>
    </w:p>
    <w:p w14:paraId="6E4B5AA6">
      <w:pPr>
        <w:keepNext w:val="0"/>
        <w:keepLines w:val="0"/>
        <w:pageBreakBefore w:val="0"/>
        <w:widowControl w:val="0"/>
        <w:kinsoku/>
        <w:wordWrap/>
        <w:overflowPunct/>
        <w:topLinePunct w:val="0"/>
        <w:bidi w:val="0"/>
        <w:snapToGrid/>
        <w:spacing w:line="560" w:lineRule="exact"/>
        <w:ind w:firstLine="0"/>
        <w:rPr>
          <w:rFonts w:hint="default" w:ascii="Times New Roman" w:hAnsi="Times New Roman" w:cs="Times New Roman"/>
        </w:rPr>
      </w:pPr>
    </w:p>
    <w:p w14:paraId="2639AE2A">
      <w:pPr>
        <w:spacing w:line="560" w:lineRule="exact"/>
        <w:ind w:left="0" w:leftChars="0" w:firstLine="0" w:firstLineChars="0"/>
        <w:jc w:val="center"/>
        <w:rPr>
          <w:rFonts w:hint="default" w:ascii="Times New Roman" w:hAnsi="Times New Roman" w:eastAsia="方正小标宋_GBK" w:cs="Times New Roman"/>
          <w:b w:val="0"/>
          <w:bCs w:val="0"/>
          <w:color w:val="auto"/>
          <w:kern w:val="21"/>
          <w:sz w:val="44"/>
          <w:szCs w:val="44"/>
          <w:lang w:val="en-US" w:eastAsia="zh-CN"/>
        </w:rPr>
      </w:pPr>
      <w:r>
        <w:rPr>
          <w:rFonts w:hint="default" w:ascii="Times New Roman" w:hAnsi="Times New Roman" w:eastAsia="方正小标宋_GBK" w:cs="Times New Roman"/>
          <w:color w:val="000000"/>
          <w:sz w:val="44"/>
          <w:szCs w:val="44"/>
          <w:lang w:eastAsia="zh-CN"/>
        </w:rPr>
        <w:t>区</w:t>
      </w:r>
      <w:r>
        <w:rPr>
          <w:rFonts w:hint="default" w:ascii="Times New Roman" w:hAnsi="Times New Roman" w:eastAsia="方正小标宋_GBK" w:cs="Times New Roman"/>
          <w:color w:val="000000"/>
          <w:sz w:val="44"/>
          <w:szCs w:val="44"/>
        </w:rPr>
        <w:t>政府办公室</w:t>
      </w:r>
      <w:r>
        <w:rPr>
          <w:rFonts w:hint="default" w:ascii="Times New Roman" w:hAnsi="Times New Roman" w:eastAsia="方正小标宋_GBK" w:cs="Times New Roman"/>
          <w:b w:val="0"/>
          <w:bCs w:val="0"/>
          <w:color w:val="auto"/>
          <w:kern w:val="21"/>
          <w:sz w:val="44"/>
          <w:szCs w:val="44"/>
          <w:lang w:val="en-US" w:eastAsia="zh-CN"/>
        </w:rPr>
        <w:t>关于印发</w:t>
      </w:r>
    </w:p>
    <w:p w14:paraId="79BBFB0A">
      <w:pPr>
        <w:spacing w:line="560" w:lineRule="exact"/>
        <w:ind w:left="0" w:leftChars="0" w:firstLine="0" w:firstLineChars="0"/>
        <w:jc w:val="center"/>
        <w:rPr>
          <w:rFonts w:hint="default" w:ascii="Times New Roman" w:hAnsi="Times New Roman" w:eastAsia="方正小标宋_GBK" w:cs="Times New Roman"/>
          <w:color w:val="000000"/>
          <w:sz w:val="44"/>
          <w:szCs w:val="44"/>
        </w:rPr>
      </w:pPr>
      <w:r>
        <w:rPr>
          <w:rFonts w:hint="default" w:ascii="Times New Roman" w:hAnsi="Times New Roman" w:eastAsia="方正小标宋_GBK" w:cs="Times New Roman"/>
          <w:b w:val="0"/>
          <w:bCs w:val="0"/>
          <w:color w:val="auto"/>
          <w:kern w:val="21"/>
          <w:sz w:val="44"/>
          <w:szCs w:val="44"/>
          <w:lang w:val="en-US" w:eastAsia="zh-CN"/>
        </w:rPr>
        <w:t>《</w:t>
      </w:r>
      <w:r>
        <w:rPr>
          <w:rFonts w:hint="default" w:ascii="Times New Roman" w:hAnsi="Times New Roman" w:eastAsia="方正小标宋_GBK" w:cs="Times New Roman"/>
          <w:color w:val="000000"/>
          <w:sz w:val="44"/>
          <w:szCs w:val="44"/>
        </w:rPr>
        <w:t>连云区突发环境事件</w:t>
      </w:r>
      <w:r>
        <w:rPr>
          <w:rFonts w:hint="default" w:ascii="Times New Roman" w:hAnsi="Times New Roman" w:eastAsia="方正小标宋_GBK" w:cs="Times New Roman"/>
          <w:color w:val="000000"/>
          <w:sz w:val="44"/>
          <w:szCs w:val="44"/>
          <w:lang w:eastAsia="zh-CN"/>
        </w:rPr>
        <w:t>应急预案</w:t>
      </w:r>
      <w:r>
        <w:rPr>
          <w:rFonts w:hint="default" w:ascii="Times New Roman" w:hAnsi="Times New Roman" w:eastAsia="方正小标宋_GBK" w:cs="Times New Roman"/>
          <w:b w:val="0"/>
          <w:bCs w:val="0"/>
          <w:color w:val="auto"/>
          <w:kern w:val="21"/>
          <w:sz w:val="44"/>
          <w:szCs w:val="44"/>
          <w:lang w:val="en-US" w:eastAsia="zh-CN"/>
        </w:rPr>
        <w:t>》的通知</w:t>
      </w:r>
    </w:p>
    <w:p w14:paraId="35D44D05">
      <w:pPr>
        <w:keepNext w:val="0"/>
        <w:keepLines w:val="0"/>
        <w:pageBreakBefore w:val="0"/>
        <w:widowControl w:val="0"/>
        <w:kinsoku/>
        <w:wordWrap/>
        <w:overflowPunct/>
        <w:topLinePunct w:val="0"/>
        <w:bidi w:val="0"/>
        <w:spacing w:line="560" w:lineRule="exact"/>
        <w:ind w:left="0" w:leftChars="0" w:firstLine="0" w:firstLineChars="0"/>
        <w:jc w:val="center"/>
        <w:textAlignment w:val="auto"/>
        <w:rPr>
          <w:rFonts w:hint="default" w:ascii="Times New Roman" w:hAnsi="Times New Roman" w:eastAsia="宋体" w:cs="Times New Roman"/>
          <w:b/>
          <w:bCs/>
          <w:color w:val="auto"/>
          <w:sz w:val="44"/>
          <w:szCs w:val="44"/>
        </w:rPr>
      </w:pPr>
    </w:p>
    <w:p w14:paraId="5D333347">
      <w:pPr>
        <w:keepNext w:val="0"/>
        <w:keepLines w:val="0"/>
        <w:pageBreakBefore w:val="0"/>
        <w:widowControl w:val="0"/>
        <w:kinsoku/>
        <w:wordWrap/>
        <w:overflowPunct/>
        <w:topLinePunct w:val="0"/>
        <w:autoSpaceDE/>
        <w:autoSpaceDN/>
        <w:bidi w:val="0"/>
        <w:snapToGrid w:val="0"/>
        <w:spacing w:line="540" w:lineRule="exact"/>
        <w:ind w:left="0" w:leftChars="0" w:firstLine="0" w:firstLine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各街道办事处、前三岛乡人民政府，各功能板块，区各委办局，区各直属单位：</w:t>
      </w:r>
    </w:p>
    <w:p w14:paraId="2379A14B">
      <w:pPr>
        <w:keepNext w:val="0"/>
        <w:keepLines w:val="0"/>
        <w:pageBreakBefore w:val="0"/>
        <w:widowControl w:val="0"/>
        <w:kinsoku/>
        <w:wordWrap/>
        <w:overflowPunct/>
        <w:topLinePunct w:val="0"/>
        <w:bidi w:val="0"/>
        <w:adjustRightInd w:val="0"/>
        <w:snapToGrid w:val="0"/>
        <w:spacing w:line="56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《连云区突发环境事件应急预案》已经</w:t>
      </w:r>
      <w:r>
        <w:rPr>
          <w:rFonts w:hint="eastAsia" w:eastAsia="仿宋_GB2312" w:cs="Times New Roman"/>
          <w:sz w:val="32"/>
          <w:szCs w:val="32"/>
          <w:lang w:val="en-US" w:eastAsia="zh-CN"/>
        </w:rPr>
        <w:t>区十六届政府第23次常务会议审议通过</w:t>
      </w:r>
      <w:r>
        <w:rPr>
          <w:rFonts w:hint="default" w:ascii="Times New Roman" w:hAnsi="Times New Roman" w:eastAsia="仿宋_GB2312" w:cs="Times New Roman"/>
          <w:sz w:val="32"/>
          <w:szCs w:val="32"/>
          <w:lang w:val="en-US" w:eastAsia="zh-CN"/>
        </w:rPr>
        <w:t>，现印发给你们，请认真遵照执行。</w:t>
      </w:r>
    </w:p>
    <w:p w14:paraId="7E7A885B">
      <w:pPr>
        <w:keepNext w:val="0"/>
        <w:keepLines w:val="0"/>
        <w:pageBreakBefore w:val="0"/>
        <w:widowControl w:val="0"/>
        <w:kinsoku/>
        <w:wordWrap/>
        <w:overflowPunct/>
        <w:topLinePunct w:val="0"/>
        <w:autoSpaceDE/>
        <w:autoSpaceDN/>
        <w:bidi w:val="0"/>
        <w:snapToGrid w:val="0"/>
        <w:spacing w:line="540" w:lineRule="exact"/>
        <w:ind w:firstLine="640"/>
        <w:textAlignment w:val="auto"/>
        <w:rPr>
          <w:rFonts w:hint="default" w:ascii="Times New Roman" w:hAnsi="Times New Roman" w:eastAsia="仿宋_GB2312" w:cs="Times New Roman"/>
          <w:sz w:val="32"/>
          <w:szCs w:val="32"/>
        </w:rPr>
      </w:pPr>
    </w:p>
    <w:p w14:paraId="6205BC94">
      <w:pPr>
        <w:keepNext w:val="0"/>
        <w:keepLines w:val="0"/>
        <w:pageBreakBefore w:val="0"/>
        <w:widowControl w:val="0"/>
        <w:kinsoku/>
        <w:wordWrap/>
        <w:overflowPunct/>
        <w:topLinePunct w:val="0"/>
        <w:autoSpaceDE/>
        <w:autoSpaceDN/>
        <w:bidi w:val="0"/>
        <w:adjustRightInd/>
        <w:snapToGrid/>
        <w:spacing w:line="540" w:lineRule="exact"/>
        <w:jc w:val="left"/>
        <w:textAlignment w:val="auto"/>
        <w:rPr>
          <w:rFonts w:hint="default" w:ascii="Times New Roman" w:hAnsi="Times New Roman" w:eastAsia="仿宋_GB2312" w:cs="Times New Roman"/>
          <w:spacing w:val="0"/>
          <w:sz w:val="32"/>
          <w:szCs w:val="32"/>
          <w:lang w:val="en-US" w:eastAsia="zh-CN"/>
        </w:rPr>
      </w:pPr>
    </w:p>
    <w:p w14:paraId="542D49D2">
      <w:pPr>
        <w:keepNext w:val="0"/>
        <w:keepLines w:val="0"/>
        <w:pageBreakBefore w:val="0"/>
        <w:widowControl w:val="0"/>
        <w:kinsoku/>
        <w:wordWrap/>
        <w:overflowPunct/>
        <w:topLinePunct w:val="0"/>
        <w:autoSpaceDE/>
        <w:autoSpaceDN/>
        <w:bidi w:val="0"/>
        <w:adjustRightInd/>
        <w:snapToGrid/>
        <w:spacing w:line="540" w:lineRule="exact"/>
        <w:ind w:firstLine="3520" w:firstLineChars="1100"/>
        <w:jc w:val="lef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连云港市连云区人民政府办公室</w:t>
      </w:r>
    </w:p>
    <w:p w14:paraId="53EA371F">
      <w:pPr>
        <w:pStyle w:val="3"/>
        <w:keepNext w:val="0"/>
        <w:keepLines w:val="0"/>
        <w:pageBreakBefore w:val="0"/>
        <w:widowControl w:val="0"/>
        <w:kinsoku/>
        <w:wordWrap/>
        <w:overflowPunct/>
        <w:topLinePunct w:val="0"/>
        <w:bidi w:val="0"/>
        <w:snapToGrid/>
        <w:spacing w:line="540" w:lineRule="exact"/>
        <w:textAlignment w:val="auto"/>
        <w:rPr>
          <w:rFonts w:hint="default" w:ascii="Times New Roman" w:hAnsi="Times New Roman" w:eastAsia="仿宋_GB2312" w:cs="Times New Roman"/>
          <w:spacing w:val="0"/>
          <w:sz w:val="32"/>
          <w:szCs w:val="32"/>
          <w:lang w:val="en-US" w:eastAsia="zh-CN"/>
        </w:rPr>
      </w:pPr>
      <w:r>
        <w:rPr>
          <w:rFonts w:hint="default" w:ascii="Times New Roman" w:hAnsi="Times New Roman" w:eastAsia="仿宋_GB2312" w:cs="Times New Roman"/>
          <w:spacing w:val="0"/>
          <w:sz w:val="32"/>
          <w:szCs w:val="32"/>
          <w:lang w:val="en-US" w:eastAsia="zh-CN"/>
        </w:rPr>
        <w:t xml:space="preserve">                             2024年</w:t>
      </w:r>
      <w:r>
        <w:rPr>
          <w:rFonts w:hint="eastAsia" w:eastAsia="仿宋_GB2312" w:cs="Times New Roman"/>
          <w:spacing w:val="0"/>
          <w:sz w:val="32"/>
          <w:szCs w:val="32"/>
          <w:lang w:val="en-US" w:eastAsia="zh-CN"/>
        </w:rPr>
        <w:t>9</w:t>
      </w:r>
      <w:r>
        <w:rPr>
          <w:rFonts w:hint="default" w:ascii="Times New Roman" w:hAnsi="Times New Roman" w:eastAsia="仿宋_GB2312" w:cs="Times New Roman"/>
          <w:spacing w:val="0"/>
          <w:sz w:val="32"/>
          <w:szCs w:val="32"/>
          <w:lang w:val="en-US" w:eastAsia="zh-CN"/>
        </w:rPr>
        <w:t>月</w:t>
      </w:r>
      <w:r>
        <w:rPr>
          <w:rFonts w:hint="eastAsia" w:eastAsia="仿宋_GB2312" w:cs="Times New Roman"/>
          <w:spacing w:val="0"/>
          <w:sz w:val="32"/>
          <w:szCs w:val="32"/>
          <w:lang w:val="en-US" w:eastAsia="zh-CN"/>
        </w:rPr>
        <w:t>4</w:t>
      </w:r>
      <w:r>
        <w:rPr>
          <w:rFonts w:hint="default" w:ascii="Times New Roman" w:hAnsi="Times New Roman" w:eastAsia="仿宋_GB2312" w:cs="Times New Roman"/>
          <w:spacing w:val="0"/>
          <w:sz w:val="32"/>
          <w:szCs w:val="32"/>
          <w:lang w:val="en-US" w:eastAsia="zh-CN"/>
        </w:rPr>
        <w:t>日</w:t>
      </w:r>
    </w:p>
    <w:p w14:paraId="0FC29DBF">
      <w:pPr>
        <w:spacing w:line="560" w:lineRule="exact"/>
        <w:jc w:val="center"/>
        <w:rPr>
          <w:rFonts w:hint="default" w:ascii="Times New Roman" w:hAnsi="Times New Roman" w:eastAsia="方正小标宋简体" w:cs="Times New Roman"/>
          <w:sz w:val="44"/>
          <w:szCs w:val="44"/>
        </w:rPr>
        <w:sectPr>
          <w:headerReference r:id="rId7" w:type="first"/>
          <w:footerReference r:id="rId10" w:type="first"/>
          <w:headerReference r:id="rId5" w:type="default"/>
          <w:footerReference r:id="rId8" w:type="default"/>
          <w:headerReference r:id="rId6" w:type="even"/>
          <w:footerReference r:id="rId9" w:type="even"/>
          <w:pgSz w:w="11905" w:h="16838"/>
          <w:pgMar w:top="1701" w:right="1417" w:bottom="1417" w:left="1474" w:header="720" w:footer="1474" w:gutter="0"/>
          <w:pgNumType w:fmt="decimal" w:start="1"/>
          <w:cols w:space="720" w:num="1"/>
          <w:rtlGutter w:val="0"/>
          <w:docGrid w:type="linesAndChars" w:linePitch="597" w:charSpace="204"/>
        </w:sectPr>
      </w:pPr>
    </w:p>
    <w:p w14:paraId="131D5A94">
      <w:pPr>
        <w:pStyle w:val="29"/>
        <w:keepNext w:val="0"/>
        <w:keepLines w:val="0"/>
        <w:pageBreakBefore w:val="0"/>
        <w:widowControl w:val="0"/>
        <w:kinsoku/>
        <w:wordWrap/>
        <w:topLinePunct w:val="0"/>
        <w:autoSpaceDE w:val="0"/>
        <w:autoSpaceDN w:val="0"/>
        <w:bidi w:val="0"/>
        <w:adjustRightInd/>
        <w:spacing w:line="500" w:lineRule="exact"/>
        <w:ind w:firstLine="0" w:firstLineChars="0"/>
        <w:jc w:val="center"/>
        <w:textAlignment w:val="auto"/>
        <w:rPr>
          <w:rFonts w:hint="default" w:ascii="Times New Roman" w:hAnsi="Times New Roman" w:eastAsia="方正小标宋_GBK" w:cs="Times New Roman"/>
          <w:color w:val="auto"/>
          <w:kern w:val="0"/>
          <w:sz w:val="44"/>
          <w:szCs w:val="44"/>
        </w:rPr>
      </w:pPr>
      <w:bookmarkStart w:id="22" w:name="_Hlk160787301"/>
      <w:r>
        <w:rPr>
          <w:rFonts w:hint="default" w:ascii="Times New Roman" w:hAnsi="Times New Roman" w:eastAsia="方正小标宋_GBK" w:cs="Times New Roman"/>
          <w:color w:val="auto"/>
          <w:kern w:val="0"/>
          <w:sz w:val="44"/>
          <w:szCs w:val="44"/>
        </w:rPr>
        <w:t>连云区突发环境事件应急预案</w:t>
      </w:r>
    </w:p>
    <w:bookmarkEnd w:id="22"/>
    <w:p w14:paraId="1521A6C0">
      <w:pPr>
        <w:keepNext w:val="0"/>
        <w:keepLines w:val="0"/>
        <w:pageBreakBefore w:val="0"/>
        <w:widowControl w:val="0"/>
        <w:kinsoku/>
        <w:wordWrap/>
        <w:overflowPunct w:val="0"/>
        <w:topLinePunct w:val="0"/>
        <w:autoSpaceDE w:val="0"/>
        <w:autoSpaceDN w:val="0"/>
        <w:bidi w:val="0"/>
        <w:adjustRightInd/>
        <w:snapToGrid/>
        <w:spacing w:line="500" w:lineRule="exact"/>
        <w:ind w:left="0" w:leftChars="0" w:firstLine="0" w:firstLineChars="0"/>
        <w:jc w:val="both"/>
        <w:textAlignment w:val="auto"/>
        <w:rPr>
          <w:rFonts w:hint="default" w:ascii="Times New Roman" w:hAnsi="Times New Roman" w:eastAsia="宋体" w:cs="Times New Roman"/>
          <w:sz w:val="32"/>
          <w:szCs w:val="32"/>
        </w:rPr>
      </w:pPr>
    </w:p>
    <w:p w14:paraId="5CDD21A3">
      <w:pPr>
        <w:keepNext w:val="0"/>
        <w:keepLines w:val="0"/>
        <w:pageBreakBefore w:val="0"/>
        <w:widowControl w:val="0"/>
        <w:kinsoku/>
        <w:wordWrap/>
        <w:overflowPunct w:val="0"/>
        <w:topLinePunct w:val="0"/>
        <w:autoSpaceDE w:val="0"/>
        <w:autoSpaceDN w:val="0"/>
        <w:bidi w:val="0"/>
        <w:adjustRightInd/>
        <w:snapToGrid/>
        <w:spacing w:line="50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w:t>
      </w:r>
      <w:r>
        <w:rPr>
          <w:rFonts w:hint="default" w:ascii="Times New Roman" w:hAnsi="Times New Roman" w:eastAsia="方正小标宋_GBK" w:cs="Times New Roman"/>
          <w:sz w:val="44"/>
          <w:szCs w:val="44"/>
          <w:lang w:val="en-US" w:eastAsia="zh-CN"/>
        </w:rPr>
        <w:t xml:space="preserve">  </w:t>
      </w:r>
      <w:r>
        <w:rPr>
          <w:rFonts w:hint="default" w:ascii="Times New Roman" w:hAnsi="Times New Roman" w:eastAsia="方正小标宋_GBK" w:cs="Times New Roman"/>
          <w:sz w:val="44"/>
          <w:szCs w:val="44"/>
        </w:rPr>
        <w:t>录</w:t>
      </w:r>
    </w:p>
    <w:p w14:paraId="40864F58">
      <w:pPr>
        <w:keepNext w:val="0"/>
        <w:keepLines w:val="0"/>
        <w:pageBreakBefore w:val="0"/>
        <w:widowControl w:val="0"/>
        <w:kinsoku/>
        <w:wordWrap/>
        <w:overflowPunct w:val="0"/>
        <w:topLinePunct w:val="0"/>
        <w:autoSpaceDE w:val="0"/>
        <w:autoSpaceDN w:val="0"/>
        <w:bidi w:val="0"/>
        <w:adjustRightInd/>
        <w:snapToGrid/>
        <w:spacing w:line="500" w:lineRule="exact"/>
        <w:ind w:left="0" w:leftChars="0" w:firstLine="640" w:firstLineChars="200"/>
        <w:textAlignment w:val="auto"/>
        <w:rPr>
          <w:rFonts w:hint="default" w:ascii="Times New Roman" w:hAnsi="Times New Roman" w:eastAsia="宋体" w:cs="Times New Roman"/>
          <w:sz w:val="32"/>
          <w:szCs w:val="32"/>
        </w:rPr>
      </w:pPr>
    </w:p>
    <w:p w14:paraId="0199E9B7">
      <w:pPr>
        <w:keepNext w:val="0"/>
        <w:keepLines w:val="0"/>
        <w:pageBreakBefore w:val="0"/>
        <w:widowControl w:val="0"/>
        <w:kinsoku/>
        <w:wordWrap/>
        <w:overflowPunct w:val="0"/>
        <w:topLinePunct w:val="0"/>
        <w:autoSpaceDE w:val="0"/>
        <w:autoSpaceDN w:val="0"/>
        <w:bidi w:val="0"/>
        <w:adjustRightInd/>
        <w:snapToGrid/>
        <w:spacing w:line="560" w:lineRule="exact"/>
        <w:ind w:left="0" w:leftChars="0" w:firstLine="640" w:firstLineChars="200"/>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总则</w:t>
      </w:r>
    </w:p>
    <w:p w14:paraId="1B8E1456">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编制目的</w:t>
      </w:r>
      <w:r>
        <w:rPr>
          <w:rFonts w:hint="default" w:ascii="Times New Roman" w:hAnsi="Times New Roman" w:eastAsia="楷体_GB2312" w:cs="Times New Roman"/>
          <w:sz w:val="32"/>
          <w:szCs w:val="32"/>
        </w:rPr>
        <w:tab/>
      </w:r>
    </w:p>
    <w:p w14:paraId="5AD5B3F6">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工作原则</w:t>
      </w:r>
    </w:p>
    <w:p w14:paraId="4321ADA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编制依据</w:t>
      </w:r>
    </w:p>
    <w:p w14:paraId="652EA80F">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适用范围</w:t>
      </w:r>
    </w:p>
    <w:p w14:paraId="69B9F381">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1.5</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事件分级</w:t>
      </w:r>
      <w:r>
        <w:rPr>
          <w:rFonts w:hint="default" w:ascii="Times New Roman" w:hAnsi="Times New Roman" w:eastAsia="楷体_GB2312" w:cs="Times New Roman"/>
          <w:sz w:val="32"/>
          <w:szCs w:val="32"/>
        </w:rPr>
        <w:tab/>
      </w:r>
    </w:p>
    <w:p w14:paraId="0DB1CD66">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黑体" w:cs="Times New Roman"/>
          <w:sz w:val="32"/>
          <w:szCs w:val="32"/>
        </w:rPr>
      </w:pPr>
      <w:r>
        <w:rPr>
          <w:rFonts w:hint="default" w:ascii="Times New Roman" w:hAnsi="Times New Roman" w:eastAsia="宋体" w:cs="Times New Roman"/>
          <w:sz w:val="32"/>
          <w:szCs w:val="32"/>
        </w:rPr>
        <w:t>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连云区环境风险概况</w:t>
      </w:r>
    </w:p>
    <w:p w14:paraId="5896EF01">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黑体" w:cs="Times New Roman"/>
          <w:sz w:val="32"/>
          <w:szCs w:val="32"/>
        </w:rPr>
      </w:pPr>
      <w:r>
        <w:rPr>
          <w:rFonts w:hint="default" w:ascii="Times New Roman" w:hAnsi="Times New Roman" w:eastAsia="宋体" w:cs="Times New Roman"/>
          <w:sz w:val="32"/>
          <w:szCs w:val="32"/>
        </w:rPr>
        <w:t>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应急指挥体系与职责</w:t>
      </w:r>
      <w:r>
        <w:rPr>
          <w:rFonts w:hint="default" w:ascii="Times New Roman" w:hAnsi="Times New Roman" w:eastAsia="黑体" w:cs="Times New Roman"/>
          <w:sz w:val="32"/>
          <w:szCs w:val="32"/>
        </w:rPr>
        <w:tab/>
      </w:r>
    </w:p>
    <w:p w14:paraId="3C522F76">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应急指挥机构</w:t>
      </w:r>
      <w:r>
        <w:rPr>
          <w:rFonts w:hint="default" w:ascii="Times New Roman" w:hAnsi="Times New Roman" w:eastAsia="楷体_GB2312" w:cs="Times New Roman"/>
          <w:sz w:val="32"/>
          <w:szCs w:val="32"/>
        </w:rPr>
        <w:tab/>
      </w:r>
    </w:p>
    <w:p w14:paraId="458E76F3">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各乡街、开发区管委会职责</w:t>
      </w:r>
      <w:r>
        <w:rPr>
          <w:rFonts w:hint="default" w:ascii="Times New Roman" w:hAnsi="Times New Roman" w:eastAsia="楷体_GB2312" w:cs="Times New Roman"/>
          <w:sz w:val="32"/>
          <w:szCs w:val="32"/>
        </w:rPr>
        <w:tab/>
      </w:r>
    </w:p>
    <w:p w14:paraId="5D3296E3">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应急准备</w:t>
      </w:r>
      <w:r>
        <w:rPr>
          <w:rFonts w:hint="default" w:ascii="Times New Roman" w:hAnsi="Times New Roman" w:eastAsia="宋体" w:cs="Times New Roman"/>
          <w:sz w:val="32"/>
          <w:szCs w:val="32"/>
        </w:rPr>
        <w:tab/>
      </w:r>
    </w:p>
    <w:p w14:paraId="415D37EF">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预案准备</w:t>
      </w:r>
      <w:r>
        <w:rPr>
          <w:rFonts w:hint="default" w:ascii="Times New Roman" w:hAnsi="Times New Roman" w:eastAsia="楷体_GB2312" w:cs="Times New Roman"/>
          <w:sz w:val="32"/>
          <w:szCs w:val="32"/>
        </w:rPr>
        <w:tab/>
      </w:r>
    </w:p>
    <w:p w14:paraId="564E4CB1">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值守准备</w:t>
      </w:r>
      <w:r>
        <w:rPr>
          <w:rFonts w:hint="default" w:ascii="Times New Roman" w:hAnsi="Times New Roman" w:eastAsia="楷体_GB2312" w:cs="Times New Roman"/>
          <w:sz w:val="32"/>
          <w:szCs w:val="32"/>
        </w:rPr>
        <w:tab/>
      </w:r>
    </w:p>
    <w:p w14:paraId="04E4C448">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联动机制</w:t>
      </w:r>
      <w:r>
        <w:rPr>
          <w:rFonts w:hint="default" w:ascii="Times New Roman" w:hAnsi="Times New Roman" w:eastAsia="楷体_GB2312" w:cs="Times New Roman"/>
          <w:sz w:val="32"/>
          <w:szCs w:val="32"/>
        </w:rPr>
        <w:tab/>
      </w:r>
    </w:p>
    <w:p w14:paraId="7BDEFFCA">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应急救援队伍</w:t>
      </w:r>
      <w:r>
        <w:rPr>
          <w:rFonts w:hint="default" w:ascii="Times New Roman" w:hAnsi="Times New Roman" w:eastAsia="楷体_GB2312" w:cs="Times New Roman"/>
          <w:sz w:val="32"/>
          <w:szCs w:val="32"/>
        </w:rPr>
        <w:tab/>
      </w:r>
    </w:p>
    <w:p w14:paraId="0660A31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4.5</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物资装备准备</w:t>
      </w:r>
      <w:r>
        <w:rPr>
          <w:rFonts w:hint="default" w:ascii="Times New Roman" w:hAnsi="Times New Roman" w:eastAsia="楷体_GB2312" w:cs="Times New Roman"/>
          <w:sz w:val="32"/>
          <w:szCs w:val="32"/>
        </w:rPr>
        <w:tab/>
      </w:r>
    </w:p>
    <w:p w14:paraId="4383CFD2">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4.6应急资金准备</w:t>
      </w:r>
      <w:r>
        <w:rPr>
          <w:rFonts w:hint="default" w:ascii="Times New Roman" w:hAnsi="Times New Roman" w:eastAsia="楷体_GB2312" w:cs="Times New Roman"/>
          <w:sz w:val="32"/>
          <w:szCs w:val="32"/>
        </w:rPr>
        <w:tab/>
      </w:r>
    </w:p>
    <w:p w14:paraId="3FC1257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4.7</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安全防护</w:t>
      </w:r>
      <w:r>
        <w:rPr>
          <w:rFonts w:hint="default" w:ascii="Times New Roman" w:hAnsi="Times New Roman" w:eastAsia="楷体_GB2312" w:cs="Times New Roman"/>
          <w:sz w:val="32"/>
          <w:szCs w:val="32"/>
        </w:rPr>
        <w:tab/>
      </w:r>
    </w:p>
    <w:p w14:paraId="177CC0AF">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预防和预警</w:t>
      </w:r>
      <w:r>
        <w:rPr>
          <w:rFonts w:hint="default" w:ascii="Times New Roman" w:hAnsi="Times New Roman" w:eastAsia="宋体" w:cs="Times New Roman"/>
          <w:sz w:val="32"/>
          <w:szCs w:val="32"/>
        </w:rPr>
        <w:tab/>
      </w:r>
    </w:p>
    <w:p w14:paraId="204FD5B2">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预防</w:t>
      </w:r>
      <w:r>
        <w:rPr>
          <w:rFonts w:hint="default" w:ascii="Times New Roman" w:hAnsi="Times New Roman" w:eastAsia="楷体_GB2312" w:cs="Times New Roman"/>
          <w:sz w:val="32"/>
          <w:szCs w:val="32"/>
        </w:rPr>
        <w:tab/>
      </w:r>
    </w:p>
    <w:p w14:paraId="53C768A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预警信息</w:t>
      </w:r>
      <w:r>
        <w:rPr>
          <w:rFonts w:hint="default" w:ascii="Times New Roman" w:hAnsi="Times New Roman" w:eastAsia="楷体_GB2312" w:cs="Times New Roman"/>
          <w:sz w:val="32"/>
          <w:szCs w:val="32"/>
        </w:rPr>
        <w:tab/>
      </w:r>
    </w:p>
    <w:p w14:paraId="353E1E94">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5.3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预警措施</w:t>
      </w:r>
    </w:p>
    <w:p w14:paraId="4283C1BF">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应急响应</w:t>
      </w:r>
      <w:r>
        <w:rPr>
          <w:rFonts w:hint="default" w:ascii="Times New Roman" w:hAnsi="Times New Roman" w:eastAsia="黑体" w:cs="Times New Roman"/>
          <w:sz w:val="32"/>
          <w:szCs w:val="32"/>
        </w:rPr>
        <w:tab/>
      </w:r>
    </w:p>
    <w:p w14:paraId="1F569859">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分级响应机制</w:t>
      </w:r>
    </w:p>
    <w:p w14:paraId="0D0E280F">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应急响应行动</w:t>
      </w:r>
    </w:p>
    <w:p w14:paraId="5C4A5464">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指挥与协调</w:t>
      </w:r>
      <w:r>
        <w:rPr>
          <w:rFonts w:hint="default" w:ascii="Times New Roman" w:hAnsi="Times New Roman" w:eastAsia="楷体_GB2312" w:cs="Times New Roman"/>
          <w:sz w:val="32"/>
          <w:szCs w:val="32"/>
        </w:rPr>
        <w:tab/>
      </w:r>
    </w:p>
    <w:p w14:paraId="6F33CF3E">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处置措施</w:t>
      </w:r>
      <w:r>
        <w:rPr>
          <w:rFonts w:hint="default" w:ascii="Times New Roman" w:hAnsi="Times New Roman" w:eastAsia="楷体_GB2312" w:cs="Times New Roman"/>
          <w:sz w:val="32"/>
          <w:szCs w:val="32"/>
        </w:rPr>
        <w:tab/>
      </w:r>
    </w:p>
    <w:p w14:paraId="69408B0B">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6.5</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应急监测</w:t>
      </w:r>
      <w:r>
        <w:rPr>
          <w:rFonts w:hint="default" w:ascii="Times New Roman" w:hAnsi="Times New Roman" w:eastAsia="楷体_GB2312" w:cs="Times New Roman"/>
          <w:sz w:val="32"/>
          <w:szCs w:val="32"/>
        </w:rPr>
        <w:tab/>
      </w:r>
    </w:p>
    <w:p w14:paraId="09264FF3">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6.6</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信息报送与处理</w:t>
      </w:r>
    </w:p>
    <w:p w14:paraId="005CB023">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6.7</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新闻发布</w:t>
      </w:r>
    </w:p>
    <w:p w14:paraId="06A677CB">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6.8</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应急终止</w:t>
      </w:r>
      <w:r>
        <w:rPr>
          <w:rFonts w:hint="default" w:ascii="Times New Roman" w:hAnsi="Times New Roman" w:eastAsia="楷体_GB2312" w:cs="Times New Roman"/>
          <w:sz w:val="32"/>
          <w:szCs w:val="32"/>
        </w:rPr>
        <w:tab/>
      </w:r>
    </w:p>
    <w:p w14:paraId="2617E5BC">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6.9</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人员防护</w:t>
      </w:r>
      <w:r>
        <w:rPr>
          <w:rFonts w:hint="default" w:ascii="Times New Roman" w:hAnsi="Times New Roman" w:eastAsia="楷体_GB2312" w:cs="Times New Roman"/>
          <w:sz w:val="32"/>
          <w:szCs w:val="32"/>
        </w:rPr>
        <w:tab/>
      </w:r>
    </w:p>
    <w:p w14:paraId="439BE048">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后期处置</w:t>
      </w:r>
    </w:p>
    <w:p w14:paraId="18F9129F">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调查</w:t>
      </w:r>
    </w:p>
    <w:p w14:paraId="5CBA180D">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总结</w:t>
      </w:r>
      <w:r>
        <w:rPr>
          <w:rFonts w:hint="default" w:ascii="Times New Roman" w:hAnsi="Times New Roman" w:eastAsia="楷体_GB2312" w:cs="Times New Roman"/>
          <w:sz w:val="32"/>
          <w:szCs w:val="32"/>
        </w:rPr>
        <w:tab/>
      </w:r>
    </w:p>
    <w:p w14:paraId="22A115DC">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善后工作</w:t>
      </w:r>
      <w:r>
        <w:rPr>
          <w:rFonts w:hint="default" w:ascii="Times New Roman" w:hAnsi="Times New Roman" w:eastAsia="楷体_GB2312" w:cs="Times New Roman"/>
          <w:sz w:val="32"/>
          <w:szCs w:val="32"/>
        </w:rPr>
        <w:tab/>
      </w:r>
    </w:p>
    <w:p w14:paraId="65DC5648">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7.4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保险</w:t>
      </w:r>
      <w:r>
        <w:rPr>
          <w:rFonts w:hint="default" w:ascii="Times New Roman" w:hAnsi="Times New Roman" w:eastAsia="楷体_GB2312" w:cs="Times New Roman"/>
          <w:sz w:val="32"/>
          <w:szCs w:val="32"/>
        </w:rPr>
        <w:tab/>
      </w:r>
    </w:p>
    <w:p w14:paraId="65E07E29">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黑体" w:cs="Times New Roman"/>
          <w:sz w:val="32"/>
          <w:szCs w:val="32"/>
        </w:rPr>
      </w:pPr>
      <w:r>
        <w:rPr>
          <w:rFonts w:hint="default" w:ascii="Times New Roman" w:hAnsi="Times New Roman" w:eastAsia="宋体" w:cs="Times New Roman"/>
          <w:sz w:val="32"/>
          <w:szCs w:val="32"/>
        </w:rPr>
        <w:t>8</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应急预案的衔接</w:t>
      </w:r>
    </w:p>
    <w:p w14:paraId="2F6E139E">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应急组织机构、人员衔接</w:t>
      </w:r>
      <w:r>
        <w:rPr>
          <w:rFonts w:hint="default" w:ascii="Times New Roman" w:hAnsi="Times New Roman" w:eastAsia="楷体_GB2312" w:cs="Times New Roman"/>
          <w:sz w:val="32"/>
          <w:szCs w:val="32"/>
        </w:rPr>
        <w:tab/>
      </w:r>
    </w:p>
    <w:p w14:paraId="6C88F062">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预案分级响应衔接</w:t>
      </w:r>
      <w:r>
        <w:rPr>
          <w:rFonts w:hint="default" w:ascii="Times New Roman" w:hAnsi="Times New Roman" w:eastAsia="楷体_GB2312" w:cs="Times New Roman"/>
          <w:sz w:val="32"/>
          <w:szCs w:val="32"/>
        </w:rPr>
        <w:tab/>
      </w:r>
    </w:p>
    <w:p w14:paraId="1F624167">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应急救援保障衔接</w:t>
      </w:r>
      <w:r>
        <w:rPr>
          <w:rFonts w:hint="default" w:ascii="Times New Roman" w:hAnsi="Times New Roman" w:eastAsia="楷体_GB2312" w:cs="Times New Roman"/>
          <w:sz w:val="32"/>
          <w:szCs w:val="32"/>
        </w:rPr>
        <w:tab/>
      </w:r>
    </w:p>
    <w:p w14:paraId="6F429C33">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8.4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各类应急预案内容的衔接</w:t>
      </w:r>
      <w:r>
        <w:rPr>
          <w:rFonts w:hint="default" w:ascii="Times New Roman" w:hAnsi="Times New Roman" w:eastAsia="楷体_GB2312" w:cs="Times New Roman"/>
          <w:sz w:val="32"/>
          <w:szCs w:val="32"/>
        </w:rPr>
        <w:tab/>
      </w:r>
    </w:p>
    <w:p w14:paraId="33D41948">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黑体" w:cs="Times New Roman"/>
          <w:sz w:val="32"/>
          <w:szCs w:val="32"/>
        </w:rPr>
        <w:t>宣传教育、培训与演练</w:t>
      </w:r>
      <w:r>
        <w:rPr>
          <w:rFonts w:hint="default" w:ascii="Times New Roman" w:hAnsi="Times New Roman" w:eastAsia="宋体" w:cs="Times New Roman"/>
          <w:sz w:val="32"/>
          <w:szCs w:val="32"/>
        </w:rPr>
        <w:tab/>
      </w:r>
    </w:p>
    <w:p w14:paraId="256E3DC8">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9.1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公众宣传教育</w:t>
      </w:r>
    </w:p>
    <w:p w14:paraId="05D43447">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9.2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培训</w:t>
      </w:r>
    </w:p>
    <w:p w14:paraId="2F82328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9.3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演练</w:t>
      </w:r>
    </w:p>
    <w:p w14:paraId="2AC9388F">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奖励与责任追究</w:t>
      </w:r>
    </w:p>
    <w:p w14:paraId="2C8E022F">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10.1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奖励</w:t>
      </w:r>
      <w:r>
        <w:rPr>
          <w:rFonts w:hint="default" w:ascii="Times New Roman" w:hAnsi="Times New Roman" w:eastAsia="楷体_GB2312" w:cs="Times New Roman"/>
          <w:sz w:val="32"/>
          <w:szCs w:val="32"/>
        </w:rPr>
        <w:tab/>
      </w:r>
    </w:p>
    <w:p w14:paraId="1A4494B2">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10.2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责任追究</w:t>
      </w:r>
      <w:r>
        <w:rPr>
          <w:rFonts w:hint="default" w:ascii="Times New Roman" w:hAnsi="Times New Roman" w:eastAsia="楷体_GB2312" w:cs="Times New Roman"/>
          <w:sz w:val="32"/>
          <w:szCs w:val="32"/>
        </w:rPr>
        <w:tab/>
      </w:r>
    </w:p>
    <w:p w14:paraId="7DD41BE4">
      <w:pPr>
        <w:keepNext w:val="0"/>
        <w:keepLines w:val="0"/>
        <w:pageBreakBefore w:val="0"/>
        <w:widowControl w:val="0"/>
        <w:kinsoku/>
        <w:wordWrap/>
        <w:overflowPunct w:val="0"/>
        <w:topLinePunct w:val="0"/>
        <w:autoSpaceDE w:val="0"/>
        <w:autoSpaceDN w:val="0"/>
        <w:bidi w:val="0"/>
        <w:adjustRightInd/>
        <w:snapToGrid/>
        <w:spacing w:line="560" w:lineRule="exact"/>
        <w:ind w:firstLine="633" w:firstLineChars="198"/>
        <w:textAlignment w:val="auto"/>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附则</w:t>
      </w:r>
      <w:r>
        <w:rPr>
          <w:rFonts w:hint="default" w:ascii="Times New Roman" w:hAnsi="Times New Roman" w:eastAsia="宋体" w:cs="Times New Roman"/>
          <w:sz w:val="32"/>
          <w:szCs w:val="32"/>
        </w:rPr>
        <w:tab/>
      </w:r>
    </w:p>
    <w:p w14:paraId="04FD225A">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11.1</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预案管理</w:t>
      </w:r>
    </w:p>
    <w:p w14:paraId="1DC00752">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11.2</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预案解释部门</w:t>
      </w:r>
    </w:p>
    <w:p w14:paraId="542880FE">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11.3</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预案施行时间</w:t>
      </w:r>
      <w:r>
        <w:rPr>
          <w:rFonts w:hint="default" w:ascii="Times New Roman" w:hAnsi="Times New Roman" w:eastAsia="楷体_GB2312" w:cs="Times New Roman"/>
          <w:sz w:val="32"/>
          <w:szCs w:val="32"/>
        </w:rPr>
        <w:tab/>
      </w:r>
    </w:p>
    <w:p w14:paraId="1FB24C85">
      <w:pPr>
        <w:keepNext w:val="0"/>
        <w:keepLines w:val="0"/>
        <w:pageBreakBefore w:val="0"/>
        <w:widowControl w:val="0"/>
        <w:kinsoku/>
        <w:wordWrap/>
        <w:overflowPunct w:val="0"/>
        <w:topLinePunct w:val="0"/>
        <w:autoSpaceDE w:val="0"/>
        <w:autoSpaceDN w:val="0"/>
        <w:bidi w:val="0"/>
        <w:adjustRightInd/>
        <w:snapToGrid/>
        <w:spacing w:line="560" w:lineRule="exact"/>
        <w:ind w:firstLine="1113" w:firstLineChars="348"/>
        <w:textAlignment w:val="auto"/>
        <w:rPr>
          <w:rFonts w:hint="default" w:ascii="Times New Roman" w:hAnsi="Times New Roman" w:eastAsia="楷体_GB2312" w:cs="Times New Roman"/>
          <w:sz w:val="32"/>
          <w:szCs w:val="32"/>
        </w:rPr>
        <w:sectPr>
          <w:footerReference r:id="rId11" w:type="default"/>
          <w:footerReference r:id="rId12" w:type="even"/>
          <w:pgSz w:w="11905" w:h="16838"/>
          <w:pgMar w:top="1701" w:right="1417" w:bottom="1417" w:left="1474" w:header="720" w:footer="1474" w:gutter="0"/>
          <w:pgNumType w:fmt="decimal"/>
          <w:cols w:space="720" w:num="1"/>
          <w:rtlGutter w:val="0"/>
          <w:docGrid w:type="linesAndChars" w:linePitch="597" w:charSpace="204"/>
        </w:sectPr>
      </w:pPr>
      <w:r>
        <w:rPr>
          <w:rFonts w:hint="default" w:ascii="Times New Roman" w:hAnsi="Times New Roman" w:eastAsia="楷体_GB2312" w:cs="Times New Roman"/>
          <w:sz w:val="32"/>
          <w:szCs w:val="32"/>
        </w:rPr>
        <w:t>11.4</w:t>
      </w:r>
      <w:r>
        <w:rPr>
          <w:rFonts w:hint="default" w:ascii="Times New Roman" w:hAnsi="Times New Roman" w:eastAsia="楷体_GB2312" w:cs="Times New Roman"/>
          <w:sz w:val="32"/>
          <w:szCs w:val="32"/>
          <w:lang w:val="en-US" w:eastAsia="zh-CN"/>
        </w:rPr>
        <w:t xml:space="preserve"> </w:t>
      </w:r>
      <w:r>
        <w:rPr>
          <w:rFonts w:hint="default" w:ascii="Times New Roman" w:hAnsi="Times New Roman" w:eastAsia="楷体_GB2312" w:cs="Times New Roman"/>
          <w:sz w:val="32"/>
          <w:szCs w:val="32"/>
        </w:rPr>
        <w:t>名词术语</w:t>
      </w:r>
      <w:r>
        <w:rPr>
          <w:rFonts w:hint="default" w:ascii="Times New Roman" w:hAnsi="Times New Roman" w:eastAsia="楷体_GB2312" w:cs="Times New Roman"/>
          <w:sz w:val="32"/>
          <w:szCs w:val="32"/>
        </w:rPr>
        <w:tab/>
      </w:r>
    </w:p>
    <w:p w14:paraId="19D307DC">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总则</w:t>
      </w:r>
    </w:p>
    <w:p w14:paraId="17DFD9FC">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编制目的</w:t>
      </w:r>
    </w:p>
    <w:p w14:paraId="428A5DA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sz w:val="32"/>
          <w:szCs w:val="32"/>
        </w:rPr>
        <w:t>为建立统一、高效、科学、规范的突发环境事件应急指挥、保障和防控体系，保障人民群众生命财产安全和社会公共安全，保持社会政治稳定，制定本预案。</w:t>
      </w:r>
    </w:p>
    <w:p w14:paraId="541014C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sz w:val="32"/>
          <w:szCs w:val="32"/>
        </w:rPr>
        <w:t>本预案是连云区人民政府统一组织、指挥、协调应对全区突发环境事件的工作方案，是指导全区各机构、各部门做好突发环境事件应急处置工作的依据。</w:t>
      </w:r>
    </w:p>
    <w:p w14:paraId="3164C1EE">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工作原则</w:t>
      </w:r>
    </w:p>
    <w:p w14:paraId="60C406E2">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以人为本</w:t>
      </w:r>
      <w:r>
        <w:rPr>
          <w:rFonts w:hint="default" w:ascii="Times New Roman" w:hAnsi="Times New Roman" w:eastAsia="仿宋_GB2312" w:cs="Times New Roman"/>
          <w:sz w:val="32"/>
          <w:szCs w:val="32"/>
        </w:rPr>
        <w:t>。加强对环境风险源的监测、监控并实施监督管理，建立环境事件风险防范体系，积极预防、及时控制、消除隐患，提高环境事件防范和处理能力，尽可能地避免或减少突发环境事件的发生，消除或减轻环境事件造成的中长期影响，最大程度地保障公众健康，保护人民群众生命财产安全。</w:t>
      </w:r>
    </w:p>
    <w:p w14:paraId="5B1068F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1.2.2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依法规范</w:t>
      </w:r>
      <w:r>
        <w:rPr>
          <w:rFonts w:hint="default" w:ascii="Times New Roman" w:hAnsi="Times New Roman" w:eastAsia="仿宋_GB2312" w:cs="Times New Roman"/>
          <w:sz w:val="32"/>
          <w:szCs w:val="32"/>
        </w:rPr>
        <w:t>。应急预案的制定、修订与实施，应当以有关法律、法规、规章为依据，与有关政策相衔接，与完善政府社会管理和公共服务职能、深化行政管理体制改革相结合；要按照有关程序制定、修订应急预案；要依法实施应急预案。</w:t>
      </w:r>
    </w:p>
    <w:p w14:paraId="332AA2D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1.2.3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分级负责</w:t>
      </w:r>
      <w:r>
        <w:rPr>
          <w:rFonts w:hint="default" w:ascii="Times New Roman" w:hAnsi="Times New Roman" w:eastAsia="仿宋_GB2312" w:cs="Times New Roman"/>
          <w:sz w:val="32"/>
          <w:szCs w:val="32"/>
        </w:rPr>
        <w:t>。坚持分级管理、分级响应、条块结合、属地管理为主的原则。区人民政府是指导、处置本行政区域一般（Ⅳ级）、较大（Ⅲ级）突发环境事件的责任主体。根据突发环境事件的严重性、可控性、所需动用的资源、影响范围等因素，分级设定和启动应急预案，落实岗位责任制，明确责任人及其指挥权限。</w:t>
      </w:r>
    </w:p>
    <w:p w14:paraId="6F7D8A0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1.2.4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资源整合</w:t>
      </w:r>
      <w:r>
        <w:rPr>
          <w:rFonts w:hint="default" w:ascii="Times New Roman" w:hAnsi="Times New Roman" w:eastAsia="仿宋_GB2312" w:cs="Times New Roman"/>
          <w:sz w:val="32"/>
          <w:szCs w:val="32"/>
        </w:rPr>
        <w:t>。按照条块结合、资源整合、降低行政成本，提高效率的要求，充分利用现有人力、技术、物资和信息应急资源，避免重复建设；明确不同类型突发环境事件应急处置的牵头部门及其职责和权限，其他相关部门、单位密切配合。</w:t>
      </w:r>
    </w:p>
    <w:p w14:paraId="1112A369">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预防为主</w:t>
      </w:r>
      <w:r>
        <w:rPr>
          <w:rFonts w:hint="default" w:ascii="Times New Roman" w:hAnsi="Times New Roman" w:eastAsia="仿宋_GB2312" w:cs="Times New Roman"/>
          <w:sz w:val="32"/>
          <w:szCs w:val="32"/>
        </w:rPr>
        <w:t>。要贯彻预防为主的思想，树立常备不懈的观念，经常性地做好应对突发环境事件的思想准备、预案准备、机制准备和工作准备。要重点建立健全信息报告体系、科学决策体系、防灾救灾体系和恢复重建体系。要建立健全应急处置专业队伍，做好对广大人民群众的宣传教育工作，并定期进行演练、演习；要加强环境安全的科学研究，采用先进的预防、预警、预测和应急处置技术，提高预防和应对突发环境事件的科技水平。</w:t>
      </w:r>
    </w:p>
    <w:p w14:paraId="4164C42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1.2.6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补偿原则</w:t>
      </w:r>
      <w:r>
        <w:rPr>
          <w:rFonts w:hint="default" w:ascii="Times New Roman" w:hAnsi="Times New Roman" w:eastAsia="仿宋_GB2312" w:cs="Times New Roman"/>
          <w:sz w:val="32"/>
          <w:szCs w:val="32"/>
        </w:rPr>
        <w:t>。行政机关应当及时返还为处置突发环境事件征用的公民、法人或者其他组织的财产；不能返还或者财产毁损的，应当依法给予补偿。行政机关为处置突发环境事件征收公民、法人或者其他组织财产的，应当按照被征收财产的实际价值给予补偿。</w:t>
      </w:r>
    </w:p>
    <w:p w14:paraId="49861E6E">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编制依据</w:t>
      </w:r>
    </w:p>
    <w:p w14:paraId="16EAF42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中华人民共和国突发事件应对法》《中华人民共和国环境保护法》《国家突发环境事件应急预案》以及《江苏省实施〈中华人民共和国突发事件应对法〉办法》《江苏省突发环境事件应急预案》《连云港市突发环境事件应急预案》等相关法律、法规、规章及规范性文件，结合连云区实际，编制本预案。</w:t>
      </w:r>
    </w:p>
    <w:p w14:paraId="365A5FC4">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适用范围</w:t>
      </w:r>
    </w:p>
    <w:p w14:paraId="175BD64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适用于指导、预防和处置发生在连云区管辖范围内、或发生在相邻行政区域但污染已经或即将扩散至本区，需要由本区处置或参与处置的各类突发环境事件，主要包括大气环境污染事件、水环境污染事件、土壤</w:t>
      </w:r>
      <w:r>
        <w:rPr>
          <w:rFonts w:hint="default" w:ascii="Times New Roman" w:hAnsi="Times New Roman" w:eastAsia="仿宋_GB2312" w:cs="Times New Roman"/>
          <w:sz w:val="32"/>
          <w:szCs w:val="32"/>
          <w:lang w:val="en-US" w:eastAsia="zh-CN"/>
        </w:rPr>
        <w:t>地下水</w:t>
      </w:r>
      <w:r>
        <w:rPr>
          <w:rFonts w:hint="default" w:ascii="Times New Roman" w:hAnsi="Times New Roman" w:eastAsia="仿宋_GB2312" w:cs="Times New Roman"/>
          <w:sz w:val="32"/>
          <w:szCs w:val="32"/>
        </w:rPr>
        <w:t>环境污染事件等生态环境污染事件的应对工作。</w:t>
      </w:r>
    </w:p>
    <w:p w14:paraId="3F61DFA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因生产安全、交通运输、自然灾害及人为破坏或恐怖袭击引发的以环境污染为次要灾害的突发事件，启动其他相关应急预案。</w:t>
      </w:r>
    </w:p>
    <w:p w14:paraId="39D77ED2">
      <w:pPr>
        <w:overflowPunct w:val="0"/>
        <w:snapToGrid/>
        <w:spacing w:line="560" w:lineRule="exact"/>
        <w:ind w:firstLine="633" w:firstLineChars="198"/>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核与辐射事件应急预案</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海上溢油事件、船舶污染事件、重污染天气等事件应对工作，按照各自相应的应急预案执行</w:t>
      </w:r>
      <w:r>
        <w:rPr>
          <w:rFonts w:hint="default" w:ascii="Times New Roman" w:hAnsi="Times New Roman" w:eastAsia="仿宋_GB2312" w:cs="Times New Roman"/>
          <w:sz w:val="32"/>
          <w:szCs w:val="32"/>
          <w:lang w:eastAsia="zh-CN"/>
        </w:rPr>
        <w:t>。</w:t>
      </w:r>
    </w:p>
    <w:p w14:paraId="15CDFC8C">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1.5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事件分级</w:t>
      </w:r>
    </w:p>
    <w:p w14:paraId="4B7C883B">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按照突发环境事件严重性和紧急程度，突发环境事件分为特别重大（Ⅰ级）、重大（Ⅱ级）、较大（Ⅲ级）和一般（Ⅳ级）</w:t>
      </w:r>
      <w:r>
        <w:rPr>
          <w:rFonts w:hint="default" w:ascii="Times New Roman" w:hAnsi="Times New Roman" w:eastAsia="宋体" w:cs="Times New Roman"/>
          <w:sz w:val="32"/>
          <w:szCs w:val="32"/>
        </w:rPr>
        <w:t>。</w:t>
      </w:r>
    </w:p>
    <w:p w14:paraId="482007C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1.5.1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特别重大（Ⅰ级）突发环境事件</w:t>
      </w:r>
    </w:p>
    <w:p w14:paraId="06AA649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凡符合下列情形之一的，为特别重大突发环境事件：</w:t>
      </w:r>
    </w:p>
    <w:p w14:paraId="362F381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（1）因环境污染直接导致30人以上死亡或100人以上中毒或重伤的。</w:t>
      </w:r>
    </w:p>
    <w:p w14:paraId="25FCAF7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（2）因环境污染疏散、转移人员5万人以上的。</w:t>
      </w:r>
    </w:p>
    <w:p w14:paraId="4C9B118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（3）因环境污染造成直接经济损失1亿元以上的。</w:t>
      </w:r>
    </w:p>
    <w:p w14:paraId="67BE350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（4）因环境污染造成区域生态功能丧失或该区域国家重点保护物种灭绝的。</w:t>
      </w:r>
    </w:p>
    <w:p w14:paraId="28E9284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（5）因环境污染造成设区的市级集中式饮用水水源地取水中断的。</w:t>
      </w:r>
    </w:p>
    <w:p w14:paraId="3F085C76">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宋体" w:cs="Times New Roman"/>
          <w:sz w:val="32"/>
          <w:szCs w:val="32"/>
        </w:rPr>
        <w:t>1.5.2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重大（Ⅱ级）突发环境事件</w:t>
      </w:r>
    </w:p>
    <w:p w14:paraId="6C88813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凡符合下列情形之一的，为重大突发环境事件：</w:t>
      </w:r>
    </w:p>
    <w:p w14:paraId="0D73883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（1）因环境污染直接导致10人以上30人以下死亡或50人以上100人以下中毒或重伤的。</w:t>
      </w:r>
    </w:p>
    <w:p w14:paraId="424CD61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（2）因环境污染疏散、转移人员1万人以上5万人以下的。</w:t>
      </w:r>
    </w:p>
    <w:p w14:paraId="0B9151E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（3）因环境污染造成直接经济损失2000万元以上1亿元以下的。</w:t>
      </w:r>
    </w:p>
    <w:p w14:paraId="0D3CA45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（4）因环境污染造成区域生态功能部分丧失或该区域国家重点保护野生动植物种群大批死亡的。</w:t>
      </w:r>
    </w:p>
    <w:p w14:paraId="147C966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（5）因环境污染造成县区级集中式饮用水水源地取水中断的。</w:t>
      </w:r>
    </w:p>
    <w:p w14:paraId="06A22C9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（6）造成跨县区级行政区域影响的突发环境事件。</w:t>
      </w:r>
    </w:p>
    <w:p w14:paraId="77978629">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宋体" w:cs="Times New Roman"/>
          <w:sz w:val="32"/>
          <w:szCs w:val="32"/>
        </w:rPr>
        <w:t>1.5.3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较大（Ⅲ级）突发环境事件</w:t>
      </w:r>
    </w:p>
    <w:p w14:paraId="139B66B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凡符合下列情形之一的，为较大突发环境事件：</w:t>
      </w:r>
    </w:p>
    <w:p w14:paraId="4C99E28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（1）因环境污染直接导致3人以上10人以下死亡或10人以上50人以下中毒或重伤的。</w:t>
      </w:r>
    </w:p>
    <w:p w14:paraId="00D908B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（2）因环境污染疏散、转移人员5000人以上1万人以下的。</w:t>
      </w:r>
    </w:p>
    <w:p w14:paraId="61CBC20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（3）因环境污染造成直接经济损失500万元以上2000万元以下的。</w:t>
      </w:r>
    </w:p>
    <w:p w14:paraId="0FE0C38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（4）因环境污染造成国家重点保护的动植物物种受到破坏的。</w:t>
      </w:r>
    </w:p>
    <w:p w14:paraId="1646149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（5）因环境污染造成乡镇集中式饮用水水源地取水中断的。</w:t>
      </w:r>
    </w:p>
    <w:p w14:paraId="6389A445">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（6）造成跨乡镇级行政区域影响的突发环境事件</w:t>
      </w:r>
      <w:r>
        <w:rPr>
          <w:rFonts w:hint="default" w:ascii="Times New Roman" w:hAnsi="Times New Roman" w:eastAsia="宋体" w:cs="Times New Roman"/>
          <w:sz w:val="32"/>
          <w:szCs w:val="32"/>
        </w:rPr>
        <w:t>。</w:t>
      </w:r>
    </w:p>
    <w:p w14:paraId="51F4BC0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1.5.4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一般（Ⅳ级）突发环境事件</w:t>
      </w:r>
    </w:p>
    <w:p w14:paraId="6EEE497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凡符合下列情形之一的，为一般突发环境事件：</w:t>
      </w:r>
    </w:p>
    <w:p w14:paraId="554E0D0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（1）因环境污染直接导致3人以下死亡，或10人以下中毒或重伤的。</w:t>
      </w:r>
    </w:p>
    <w:p w14:paraId="5C2829A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（2）因环境污染疏散、转移人员5000人以下的。</w:t>
      </w:r>
    </w:p>
    <w:p w14:paraId="0C59E07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（3）因环境污染造成直接经济损失500万元以下的。</w:t>
      </w:r>
    </w:p>
    <w:p w14:paraId="5504EA7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（4）突发事件对环境造成一定影响，尚未达到较大突发环境事件级别的。</w:t>
      </w:r>
    </w:p>
    <w:p w14:paraId="452F709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1.5.5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其他类型突发环境事件</w:t>
      </w:r>
    </w:p>
    <w:p w14:paraId="30B1AEB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对居民聚集区、学校、医院等敏感区域和人群造成影响的；已引发大规模群体性事件的；地方人民政府认为其他有必要的突发环境事件视为重大或者特别重大突发环境事件处置。</w:t>
      </w:r>
    </w:p>
    <w:p w14:paraId="0A42F349">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val="0"/>
          <w:bCs w:val="0"/>
          <w:sz w:val="32"/>
          <w:szCs w:val="32"/>
        </w:rPr>
        <w:t>2</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连云区环境风险概况</w:t>
      </w:r>
    </w:p>
    <w:p w14:paraId="232990B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根据行政区划，连云区下辖9个乡街（海州湾街道、墟沟街道、连云街道、连岛街道、云山街道、板桥街道、宿城街道、高公岛街道、前三岛乡）及1个开发区（连云开发区）。</w:t>
      </w:r>
    </w:p>
    <w:p w14:paraId="1D0567A6">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连云区环境风险源主要有环境风险企业（包括江苏核电有限公司田湾核电站中非放射性部分）、港口码头（连云港港）、涉及环境风险物质运输的道路运输载具、集中式污水处理厂、加油站及加气站等。</w:t>
      </w:r>
    </w:p>
    <w:p w14:paraId="72DF9FDF">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val="0"/>
          <w:bCs w:val="0"/>
          <w:sz w:val="32"/>
          <w:szCs w:val="32"/>
        </w:rPr>
        <w:t>3</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应急指挥体系与职责</w:t>
      </w:r>
    </w:p>
    <w:p w14:paraId="1DE25014">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区突发环境事件应急指挥体系由连云区突发环境事件应急指挥中心、现场指挥部、专家组、环境应急救援队伍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连云港区环境应急管理办公室组成。</w:t>
      </w:r>
    </w:p>
    <w:p w14:paraId="373F753D">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应急指挥机构</w:t>
      </w:r>
    </w:p>
    <w:p w14:paraId="178D39F3">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连云区突发环境事件应急指挥中心</w:t>
      </w:r>
    </w:p>
    <w:p w14:paraId="2EB119A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连云区突发环境事件应急指挥中心（以下简称“区应急指挥中心”）是区本级突发环境事件应急处置及救援的指挥机构，负责统一领导在连云区管辖范围内发生的突发环境事件的应对工作。区应急指挥中心由区长担任总指挥，分管副区长任副总指挥。</w:t>
      </w:r>
    </w:p>
    <w:p w14:paraId="35D3186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区应急指挥中心成员单位：区委宣传部、区经济发展局、区民政局、区司法局、区财政局、区林业和海洋局、区住房和城乡建设局、区农业农村局、区文化体育和旅游局、</w:t>
      </w:r>
      <w:r>
        <w:rPr>
          <w:rFonts w:hint="default" w:ascii="Times New Roman" w:hAnsi="Times New Roman" w:eastAsia="仿宋_GB2312" w:cs="Times New Roman"/>
          <w:sz w:val="32"/>
          <w:szCs w:val="32"/>
          <w:lang w:eastAsia="zh-CN"/>
        </w:rPr>
        <w:t>区气象局、</w:t>
      </w:r>
      <w:r>
        <w:rPr>
          <w:rFonts w:hint="default" w:ascii="Times New Roman" w:hAnsi="Times New Roman" w:eastAsia="仿宋_GB2312" w:cs="Times New Roman"/>
          <w:sz w:val="32"/>
          <w:szCs w:val="32"/>
        </w:rPr>
        <w:t>区卫生健康委员会、区应急管理局、连云生态环境局、市公安局连云分局、连云区消防救援大队、市交警支队连云大队、各街道办事处、前三岛乡、连云开发区管委会等。</w:t>
      </w:r>
    </w:p>
    <w:p w14:paraId="7678BAE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主要职责：（1）定期召开会议，听取各单位、各有关部门有关突发环境事件预防、应急准备、应急处置、事后恢复与重建工作的汇报，分析有关突发环境事件的重要信息、发展趋势；（2）审议、决定突发环境事件应对工作中的重大事项，统一领导和协调全区各级突发环境事件应急处置机构；（3）判定是否启动预警，是否启动突发环境事件应急预案；（4）组织力量处置一般、较大的突发事件，协助、配合连云港市人民政府先期处置连云区管辖范围内的重大、特别重大突发环境事件；（5）检查、督促有关部门贯彻执行国家有关保障人身及社会财产安全的法律和政策，及时协调应急处置工作中出现的问题。</w:t>
      </w:r>
    </w:p>
    <w:p w14:paraId="0EAC80C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直各有关部门负责各自专业领域的应急协调保障工作。各有关成员单位之间建立应急联系工作机制，保证信息通畅和信息共享；按照各自职责制定本部门的环境应急救援和保障方面的应急预案，并负责管理和实施；需要其他部门增援时，有关部门向区应急指挥中心提出增援请求。</w:t>
      </w:r>
    </w:p>
    <w:p w14:paraId="0084916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各成员单位主要职责：</w:t>
      </w:r>
    </w:p>
    <w:p w14:paraId="472BA7E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区委宣传部</w:t>
      </w:r>
      <w:r>
        <w:rPr>
          <w:rFonts w:hint="default" w:ascii="Times New Roman" w:hAnsi="Times New Roman" w:eastAsia="仿宋_GB2312" w:cs="Times New Roman"/>
          <w:sz w:val="32"/>
          <w:szCs w:val="32"/>
        </w:rPr>
        <w:t>：负责指导协调突发环境事件宣传报道工作。</w:t>
      </w:r>
    </w:p>
    <w:p w14:paraId="7703A9D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区经发局</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eastAsia="zh-CN"/>
        </w:rPr>
        <w:t>职责内的</w:t>
      </w:r>
      <w:r>
        <w:rPr>
          <w:rFonts w:hint="default" w:ascii="Times New Roman" w:hAnsi="Times New Roman" w:eastAsia="仿宋_GB2312" w:cs="Times New Roman"/>
          <w:sz w:val="32"/>
          <w:szCs w:val="32"/>
        </w:rPr>
        <w:t>突发环境事件中重要物资及应急储备物资的收储、日常管理及事故状态下的调配和供应。</w:t>
      </w:r>
    </w:p>
    <w:p w14:paraId="4CF23BF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区民政局</w:t>
      </w:r>
      <w:r>
        <w:rPr>
          <w:rFonts w:hint="default" w:ascii="Times New Roman" w:hAnsi="Times New Roman" w:eastAsia="仿宋_GB2312" w:cs="Times New Roman"/>
          <w:sz w:val="32"/>
          <w:szCs w:val="32"/>
        </w:rPr>
        <w:t>：负责组织、协调灾民救助工作；负责做好遇难人员遗体的处置工作。</w:t>
      </w:r>
    </w:p>
    <w:p w14:paraId="33DC7CF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区司法局</w:t>
      </w:r>
      <w:r>
        <w:rPr>
          <w:rFonts w:hint="default" w:ascii="Times New Roman" w:hAnsi="Times New Roman" w:eastAsia="仿宋_GB2312" w:cs="Times New Roman"/>
          <w:sz w:val="32"/>
          <w:szCs w:val="32"/>
        </w:rPr>
        <w:t>：提供相关涉及突发环境事件的法律援助。</w:t>
      </w:r>
    </w:p>
    <w:p w14:paraId="1B24582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区财政局</w:t>
      </w:r>
      <w:r>
        <w:rPr>
          <w:rFonts w:hint="default" w:ascii="Times New Roman" w:hAnsi="Times New Roman" w:eastAsia="仿宋_GB2312" w:cs="Times New Roman"/>
          <w:sz w:val="32"/>
          <w:szCs w:val="32"/>
        </w:rPr>
        <w:t>：负责落实突发环境事件应急工作的区级经费保障。</w:t>
      </w:r>
    </w:p>
    <w:p w14:paraId="3E6E7A1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区林海局</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lang w:eastAsia="zh-CN"/>
        </w:rPr>
        <w:t>组织开展对</w:t>
      </w:r>
      <w:r>
        <w:rPr>
          <w:rFonts w:hint="default" w:ascii="Times New Roman" w:hAnsi="Times New Roman" w:eastAsia="仿宋_GB2312" w:cs="Times New Roman"/>
          <w:sz w:val="32"/>
          <w:szCs w:val="32"/>
        </w:rPr>
        <w:t>林业</w:t>
      </w:r>
      <w:r>
        <w:rPr>
          <w:rFonts w:hint="default" w:ascii="Times New Roman" w:hAnsi="Times New Roman" w:eastAsia="仿宋_GB2312" w:cs="Times New Roman"/>
          <w:sz w:val="32"/>
          <w:szCs w:val="32"/>
          <w:lang w:eastAsia="zh-CN"/>
        </w:rPr>
        <w:t>、渔业资源造成影响的</w:t>
      </w:r>
      <w:r>
        <w:rPr>
          <w:rFonts w:hint="default" w:ascii="Times New Roman" w:hAnsi="Times New Roman" w:eastAsia="仿宋_GB2312" w:cs="Times New Roman"/>
          <w:sz w:val="32"/>
          <w:szCs w:val="32"/>
        </w:rPr>
        <w:t>突发环境事件的调</w:t>
      </w:r>
      <w:r>
        <w:rPr>
          <w:rFonts w:hint="default" w:ascii="Times New Roman" w:hAnsi="Times New Roman" w:eastAsia="仿宋_GB2312" w:cs="Times New Roman"/>
          <w:sz w:val="32"/>
          <w:szCs w:val="32"/>
          <w:lang w:eastAsia="zh-CN"/>
        </w:rPr>
        <w:t>查</w:t>
      </w:r>
      <w:r>
        <w:rPr>
          <w:rFonts w:hint="default" w:ascii="Times New Roman" w:hAnsi="Times New Roman" w:eastAsia="仿宋_GB2312" w:cs="Times New Roman"/>
          <w:sz w:val="32"/>
          <w:szCs w:val="32"/>
        </w:rPr>
        <w:t>与</w:t>
      </w:r>
      <w:r>
        <w:rPr>
          <w:rFonts w:hint="default" w:ascii="Times New Roman" w:hAnsi="Times New Roman" w:eastAsia="仿宋_GB2312" w:cs="Times New Roman"/>
          <w:sz w:val="32"/>
          <w:szCs w:val="32"/>
          <w:lang w:eastAsia="zh-CN"/>
        </w:rPr>
        <w:t>评估</w:t>
      </w:r>
      <w:r>
        <w:rPr>
          <w:rFonts w:hint="default" w:ascii="Times New Roman" w:hAnsi="Times New Roman" w:eastAsia="仿宋_GB2312" w:cs="Times New Roman"/>
          <w:sz w:val="32"/>
          <w:szCs w:val="32"/>
        </w:rPr>
        <w:t>工作；负责提供地理信息作为决策支撑。</w:t>
      </w:r>
    </w:p>
    <w:p w14:paraId="4A3AD1E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区住建局</w:t>
      </w:r>
      <w:r>
        <w:rPr>
          <w:rFonts w:hint="default" w:ascii="Times New Roman" w:hAnsi="Times New Roman" w:eastAsia="仿宋_GB2312" w:cs="Times New Roman"/>
          <w:sz w:val="32"/>
          <w:szCs w:val="32"/>
        </w:rPr>
        <w:t>：负责指导饮用水供水安全应急处置工作；负责配合涉及燃气热力、环境卫生等城市市政公用基础设施的突发环境事件的调查和应急处置工作。</w:t>
      </w:r>
    </w:p>
    <w:p w14:paraId="232EC89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区农业农村局</w:t>
      </w:r>
      <w:r>
        <w:rPr>
          <w:rFonts w:hint="default" w:ascii="Times New Roman" w:hAnsi="Times New Roman" w:eastAsia="仿宋_GB2312" w:cs="Times New Roman"/>
          <w:sz w:val="32"/>
          <w:szCs w:val="32"/>
        </w:rPr>
        <w:t>：负责组织开展对水利、农业生产造成影响的突发环境事件的调查和评估工作；负责事故状态下水利设施的调度。</w:t>
      </w:r>
    </w:p>
    <w:p w14:paraId="55BC449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区文体旅游局</w:t>
      </w:r>
      <w:r>
        <w:rPr>
          <w:rFonts w:hint="default" w:ascii="Times New Roman" w:hAnsi="Times New Roman" w:eastAsia="仿宋_GB2312" w:cs="Times New Roman"/>
          <w:sz w:val="32"/>
          <w:szCs w:val="32"/>
        </w:rPr>
        <w:t>：负责指导、督促广播电视台发布预警信息；负责组织开展涉及景点、文物等突发环境事件的应急处置工作。</w:t>
      </w:r>
    </w:p>
    <w:p w14:paraId="204E282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区卫健委</w:t>
      </w:r>
      <w:r>
        <w:rPr>
          <w:rFonts w:hint="default" w:ascii="Times New Roman" w:hAnsi="Times New Roman" w:eastAsia="仿宋_GB2312" w:cs="Times New Roman"/>
          <w:sz w:val="32"/>
          <w:szCs w:val="32"/>
        </w:rPr>
        <w:t>：负责组织、协调、指导开展突发环境事件中受伤（中毒）人员现场急救、转诊救治、洗消和卫生防疫等紧急医学救援工作。</w:t>
      </w:r>
    </w:p>
    <w:p w14:paraId="27E6A7F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区应急管理局</w:t>
      </w:r>
      <w:r>
        <w:rPr>
          <w:rFonts w:hint="default" w:ascii="Times New Roman" w:hAnsi="Times New Roman" w:eastAsia="仿宋_GB2312" w:cs="Times New Roman"/>
          <w:sz w:val="32"/>
          <w:szCs w:val="32"/>
        </w:rPr>
        <w:t>：负责工矿商贸行业安全生产监督管理工作；</w:t>
      </w:r>
      <w:r>
        <w:rPr>
          <w:rFonts w:hint="default" w:ascii="Times New Roman" w:hAnsi="Times New Roman" w:eastAsia="仿宋_GB2312" w:cs="Times New Roman"/>
          <w:sz w:val="32"/>
          <w:szCs w:val="32"/>
          <w:lang w:eastAsia="zh-CN"/>
        </w:rPr>
        <w:t>协助</w:t>
      </w:r>
      <w:r>
        <w:rPr>
          <w:rFonts w:hint="default" w:ascii="Times New Roman" w:hAnsi="Times New Roman" w:eastAsia="仿宋_GB2312" w:cs="Times New Roman"/>
          <w:sz w:val="32"/>
          <w:szCs w:val="32"/>
        </w:rPr>
        <w:t>开展安全生产类、自然灾害类等事件导致突发环境事件的应急处置和调查。</w:t>
      </w:r>
    </w:p>
    <w:p w14:paraId="5EA1CB4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连云生态环境局</w:t>
      </w:r>
      <w:r>
        <w:rPr>
          <w:rFonts w:hint="default" w:ascii="Times New Roman" w:hAnsi="Times New Roman" w:eastAsia="仿宋_GB2312" w:cs="Times New Roman"/>
          <w:sz w:val="32"/>
          <w:szCs w:val="32"/>
        </w:rPr>
        <w:t>：负责组织编制、修订连云区突发环境事件应急预案；指导辖区内突发环境事件应急预案编制修订工作、开展突发环境事件污染源排查；组织专家制定环境应急处置和生态重建方案；负责组织开展突发环境事件应急监测；负责突发环境事件的污染损害调查、定级，配合有关部门做好责任追究；负责专家库的组建、维护和动态更新；实施环境污染的行政处罚工作。</w:t>
      </w:r>
    </w:p>
    <w:p w14:paraId="700F9AF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连云</w:t>
      </w:r>
      <w:r>
        <w:rPr>
          <w:rFonts w:hint="default" w:ascii="Times New Roman" w:hAnsi="Times New Roman" w:eastAsia="仿宋_GB2312" w:cs="Times New Roman"/>
          <w:b/>
          <w:bCs/>
          <w:sz w:val="32"/>
          <w:szCs w:val="32"/>
          <w:lang w:val="en-US" w:eastAsia="zh-CN"/>
        </w:rPr>
        <w:t>公安</w:t>
      </w:r>
      <w:r>
        <w:rPr>
          <w:rFonts w:hint="default" w:ascii="Times New Roman" w:hAnsi="Times New Roman" w:eastAsia="仿宋_GB2312" w:cs="Times New Roman"/>
          <w:b/>
          <w:bCs/>
          <w:sz w:val="32"/>
          <w:szCs w:val="32"/>
        </w:rPr>
        <w:t>分局</w:t>
      </w:r>
      <w:r>
        <w:rPr>
          <w:rFonts w:hint="default" w:ascii="Times New Roman" w:hAnsi="Times New Roman" w:eastAsia="仿宋_GB2312" w:cs="Times New Roman"/>
          <w:sz w:val="32"/>
          <w:szCs w:val="32"/>
        </w:rPr>
        <w:t>：负责对突发环境事件中涉及刑事犯罪人员进行立案侦查。</w:t>
      </w:r>
    </w:p>
    <w:p w14:paraId="3D4E506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连云消防大队</w:t>
      </w:r>
      <w:r>
        <w:rPr>
          <w:rFonts w:hint="default" w:ascii="Times New Roman" w:hAnsi="Times New Roman" w:eastAsia="仿宋_GB2312" w:cs="Times New Roman"/>
          <w:sz w:val="32"/>
          <w:szCs w:val="32"/>
        </w:rPr>
        <w:t>：负责易燃易爆物质的清理及火灾爆炸事件的现场处置工作。</w:t>
      </w:r>
    </w:p>
    <w:p w14:paraId="4401F51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b/>
          <w:bCs/>
          <w:sz w:val="32"/>
          <w:szCs w:val="32"/>
        </w:rPr>
        <w:t>交警连云大队</w:t>
      </w:r>
      <w:r>
        <w:rPr>
          <w:rFonts w:hint="default" w:ascii="Times New Roman" w:hAnsi="Times New Roman" w:eastAsia="仿宋_GB2312" w:cs="Times New Roman"/>
          <w:sz w:val="32"/>
          <w:szCs w:val="32"/>
        </w:rPr>
        <w:t>：协调相关部门开展公路（含高速）交通事故引起环境污染的应急处置工作；负责公路（含高速）交通事故可能引起环境污染的信息报告。</w:t>
      </w:r>
    </w:p>
    <w:p w14:paraId="24689991">
      <w:pPr>
        <w:overflowPunct w:val="0"/>
        <w:snapToGrid/>
        <w:spacing w:line="560" w:lineRule="exact"/>
        <w:ind w:firstLine="633" w:firstLineChars="198"/>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区气象局</w:t>
      </w:r>
      <w:r>
        <w:rPr>
          <w:rFonts w:hint="default" w:ascii="Times New Roman" w:hAnsi="Times New Roman" w:eastAsia="仿宋_GB2312" w:cs="Times New Roman"/>
          <w:sz w:val="32"/>
          <w:szCs w:val="32"/>
          <w:lang w:val="en-US" w:eastAsia="zh-CN"/>
        </w:rPr>
        <w:t>：负责配合应急监测。</w:t>
      </w:r>
    </w:p>
    <w:p w14:paraId="35BBC9D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另外，各乡街及连云开发区管委会做好本区域内突发事件信息报告工作，配合区政府和现场指挥部在本地的应急处置或先期处置工作。</w:t>
      </w:r>
    </w:p>
    <w:p w14:paraId="2242F90B">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宋体" w:cs="Times New Roman"/>
          <w:sz w:val="32"/>
          <w:szCs w:val="32"/>
        </w:rPr>
        <w:t>3.1.2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环境应急管理办公室</w:t>
      </w:r>
    </w:p>
    <w:p w14:paraId="26CEE03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于连云生态环境局设立区环境应急管理办公室（以下简称“区环境应急办”），负责区应急指挥中心的日常工作，办公室主任由连云生态环境局局长兼任，办公室成员由区应急指挥中心成员单位业务科室负责人组成。</w:t>
      </w:r>
    </w:p>
    <w:p w14:paraId="2414353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环境应急办主要职责：（1）落实区政府有关环境应急工作指示和要求，统一协调、指导全区突发环境事件的应急管理工作，协调各级政府组织处理环境应急工作；（2）负责拟定区突发环境事件的应急预案，并组织实施；（3）负责全区突发环境事件信息的统一收集、汇总、整理和发布工作；（4）负责区级应急平台建设，制定全区应急管理制度，重点实现监测监控、信息报告、综合研判、指挥调度等功能，为省级应急平台报送所需数据、图像、语音和资料等；（5）指导各乡街、开发区及有关部门做好突发环境事件应急救援，部署连云区环境应急知识及工作任务的公众宣传和教育。</w:t>
      </w:r>
    </w:p>
    <w:p w14:paraId="711273F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3.1.3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现场指挥部</w:t>
      </w:r>
    </w:p>
    <w:p w14:paraId="70EBC66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启动后，区应急指挥中心根据突发环境事件的性质和处置工作实际需要，成立现场指挥部。现场指挥部总指挥原则上由指挥中心总指挥担任，成员由事故发生地（受影响地）所在乡街、开发区、指挥中心相关成员单位、区应急联动及应急保障部门负责人组成。现场指挥部在区应急指挥中心和相关类别环境事件专业指挥机构的指导下，按照有关应急预案的规定，负责事故发生地（受影响地）的现场应急处置工作。</w:t>
      </w:r>
    </w:p>
    <w:p w14:paraId="602297C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现场指挥部由综合协调组、应急监测组、污染处置组、应急保障组、医疗救治组、新闻宣传组、社会维稳组、调查评估组、应急专家组等。工作组的设置、组成和职责可根据工作需要作适当调整。</w:t>
      </w:r>
    </w:p>
    <w:p w14:paraId="590031C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（1）</w:t>
      </w:r>
      <w:r>
        <w:rPr>
          <w:rFonts w:hint="default" w:ascii="Times New Roman" w:hAnsi="Times New Roman" w:eastAsia="仿宋_GB2312" w:cs="Times New Roman"/>
          <w:b/>
          <w:bCs/>
          <w:sz w:val="32"/>
          <w:szCs w:val="32"/>
        </w:rPr>
        <w:t>综合协调组</w:t>
      </w:r>
      <w:r>
        <w:rPr>
          <w:rFonts w:hint="default" w:ascii="Times New Roman" w:hAnsi="Times New Roman" w:eastAsia="仿宋_GB2312" w:cs="Times New Roman"/>
          <w:sz w:val="32"/>
          <w:szCs w:val="32"/>
        </w:rPr>
        <w:t>。由现场指挥部主要责任部门牵头。</w:t>
      </w:r>
    </w:p>
    <w:p w14:paraId="23C4A38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负责总体协调、工作指导、督办核查等工作，负责沟通衔接、工作保障、有关会议安排、材料起草、信息汇总报送等工作；协调公安、消防有关力量参与应急处置。</w:t>
      </w:r>
    </w:p>
    <w:p w14:paraId="3943A2B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（2）</w:t>
      </w:r>
      <w:r>
        <w:rPr>
          <w:rFonts w:hint="default" w:ascii="Times New Roman" w:hAnsi="Times New Roman" w:eastAsia="仿宋_GB2312" w:cs="Times New Roman"/>
          <w:b/>
          <w:bCs/>
          <w:sz w:val="32"/>
          <w:szCs w:val="32"/>
        </w:rPr>
        <w:t>应急监测组</w:t>
      </w:r>
      <w:r>
        <w:rPr>
          <w:rFonts w:hint="default" w:ascii="Times New Roman" w:hAnsi="Times New Roman" w:eastAsia="仿宋_GB2312" w:cs="Times New Roman"/>
          <w:sz w:val="32"/>
          <w:szCs w:val="32"/>
        </w:rPr>
        <w:t>。由连云生态环境局牵头，区住房和城乡建设局、区农业农村局、区林业和海洋局等单位及有关部门组成。</w:t>
      </w:r>
    </w:p>
    <w:p w14:paraId="0E8D58E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协助专业监测队伍对可能受影响区域内的空气质量、敏感水体（如饮用水水源地）水质、海水等进行快速监测，并提出初步应对建议；组织开展突发环境事件污染物种类、性质的调查，根据现场情况明确相应的应急监测方案及监测方法，预测污染物扩散范围，明确监测布点和监测频次；做好大气、水体、土壤等应急监测及数据汇总分析，为突发环境事件应急处置提供决策依据。</w:t>
      </w:r>
    </w:p>
    <w:p w14:paraId="7B1FF92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（3）</w:t>
      </w:r>
      <w:r>
        <w:rPr>
          <w:rFonts w:hint="default" w:ascii="Times New Roman" w:hAnsi="Times New Roman" w:eastAsia="仿宋_GB2312" w:cs="Times New Roman"/>
          <w:b/>
          <w:bCs/>
          <w:sz w:val="32"/>
          <w:szCs w:val="32"/>
        </w:rPr>
        <w:t>污染处置组</w:t>
      </w:r>
      <w:r>
        <w:rPr>
          <w:rFonts w:hint="default" w:ascii="Times New Roman" w:hAnsi="Times New Roman" w:eastAsia="仿宋_GB2312" w:cs="Times New Roman"/>
          <w:sz w:val="32"/>
          <w:szCs w:val="32"/>
        </w:rPr>
        <w:t>。由连云生态环境局牵头，区林业和海洋局、区农业农村局、区应急管理局、市公安局连云分局、连云区消防救援大队</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区住房和城乡建设局</w:t>
      </w:r>
      <w:r>
        <w:rPr>
          <w:rFonts w:hint="default" w:ascii="Times New Roman" w:hAnsi="Times New Roman" w:eastAsia="仿宋_GB2312" w:cs="Times New Roman"/>
          <w:sz w:val="32"/>
          <w:szCs w:val="32"/>
        </w:rPr>
        <w:t>等单位和事发地相关机构组成。</w:t>
      </w:r>
    </w:p>
    <w:p w14:paraId="00A7EC9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组织开展现场调查和应急测绘，收集汇总相关数据，组织技术研判和事态分析；分析污染途径，明确防止污染物扩散的方案；组织采取有效措施，迅速切断污染源，消除或减轻已经造成的污染；明确现场处置人员的个人防护措施；组织落实相关企业停、限产措施；组织建立现场警戒区域和交通管制区域，确定重点防护区域，确定受威胁人员疏散的方式和途径，疏散转移受威胁人员至应急避灾场所。</w:t>
      </w:r>
    </w:p>
    <w:p w14:paraId="0DD14BC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（4）</w:t>
      </w:r>
      <w:r>
        <w:rPr>
          <w:rFonts w:hint="default" w:ascii="Times New Roman" w:hAnsi="Times New Roman" w:eastAsia="仿宋_GB2312" w:cs="Times New Roman"/>
          <w:b/>
          <w:bCs/>
          <w:sz w:val="32"/>
          <w:szCs w:val="32"/>
        </w:rPr>
        <w:t>应急保障组</w:t>
      </w:r>
      <w:r>
        <w:rPr>
          <w:rFonts w:hint="default" w:ascii="Times New Roman" w:hAnsi="Times New Roman" w:eastAsia="仿宋_GB2312" w:cs="Times New Roman"/>
          <w:sz w:val="32"/>
          <w:szCs w:val="32"/>
        </w:rPr>
        <w:t>。由事发地乡街、开发区牵头，区经济发展局、区民政局、区财政局、区住房和城乡建设局、区应急管理局、连云生态环境局、市交警支队连云大队等单位和事发地相关机构组成。</w:t>
      </w:r>
    </w:p>
    <w:p w14:paraId="0DFC50C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负责调配救援队伍和装备；组织做好应急救援物资及临时安置重要物资的紧急生产、储备调拨和紧急配送工作；做好受影响居民临时基本生活救助工作；负责事件应对的区一级经费保障。</w:t>
      </w:r>
    </w:p>
    <w:p w14:paraId="4555699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w:t>
      </w:r>
      <w:r>
        <w:rPr>
          <w:rFonts w:hint="default" w:ascii="Times New Roman" w:hAnsi="Times New Roman" w:eastAsia="仿宋_GB2312" w:cs="Times New Roman"/>
          <w:b/>
          <w:bCs/>
          <w:sz w:val="32"/>
          <w:szCs w:val="32"/>
        </w:rPr>
        <w:t>医疗救治组</w:t>
      </w:r>
      <w:r>
        <w:rPr>
          <w:rFonts w:hint="default" w:ascii="Times New Roman" w:hAnsi="Times New Roman" w:eastAsia="仿宋_GB2312" w:cs="Times New Roman"/>
          <w:sz w:val="32"/>
          <w:szCs w:val="32"/>
        </w:rPr>
        <w:t>。由区卫生健康委员会牵头，事发地相关医疗机构组成。</w:t>
      </w:r>
    </w:p>
    <w:p w14:paraId="7FCEB3E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负责组派医疗卫生救援队伍，开展伤病员医学救治、应急心理援助；指导和协助开展受污染人员的去污及洗消工作；提出保护公众健康的措施建议。</w:t>
      </w:r>
    </w:p>
    <w:p w14:paraId="5449479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w:t>
      </w:r>
      <w:r>
        <w:rPr>
          <w:rFonts w:hint="default" w:ascii="Times New Roman" w:hAnsi="Times New Roman" w:eastAsia="仿宋_GB2312" w:cs="Times New Roman"/>
          <w:b/>
          <w:bCs/>
          <w:sz w:val="32"/>
          <w:szCs w:val="32"/>
        </w:rPr>
        <w:t>新闻宣传组</w:t>
      </w:r>
      <w:r>
        <w:rPr>
          <w:rFonts w:hint="default" w:ascii="Times New Roman" w:hAnsi="Times New Roman" w:eastAsia="仿宋_GB2312" w:cs="Times New Roman"/>
          <w:sz w:val="32"/>
          <w:szCs w:val="32"/>
        </w:rPr>
        <w:t>。由区委宣传部牵头，连云生态环境局、区应急管理局、市公安局连云分局和事发地相关机构组成。</w:t>
      </w:r>
    </w:p>
    <w:p w14:paraId="6DA335C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组织开展事件进展、应急工作情况等权威信息发布，加强新闻宣传报道；收集、分析、研判和处置相关舆情，加强与媒体沟通协调，正确引导舆论；通过多种方式，通俗、权威、全面、前瞻地做好相关知识普及；及时澄清不实信息，回应社会关切。</w:t>
      </w:r>
    </w:p>
    <w:p w14:paraId="63D71CA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w:t>
      </w:r>
      <w:r>
        <w:rPr>
          <w:rFonts w:hint="default" w:ascii="Times New Roman" w:hAnsi="Times New Roman" w:eastAsia="仿宋_GB2312" w:cs="Times New Roman"/>
          <w:b/>
          <w:bCs/>
          <w:sz w:val="32"/>
          <w:szCs w:val="32"/>
        </w:rPr>
        <w:t>社会维稳组</w:t>
      </w:r>
      <w:r>
        <w:rPr>
          <w:rFonts w:hint="default" w:ascii="Times New Roman" w:hAnsi="Times New Roman" w:eastAsia="仿宋_GB2312" w:cs="Times New Roman"/>
          <w:sz w:val="32"/>
          <w:szCs w:val="32"/>
        </w:rPr>
        <w:t>。由市公安局连云分局牵头，乡街、开发区等事发地相关机构组成。</w:t>
      </w:r>
    </w:p>
    <w:p w14:paraId="34203E9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加强受影响地区社会治安管理，严厉打击借机传播谣言、哄抢物资等违法行为；加强转移人员安置点、救灾物资存放点等重点地区治安管控；做好受影响人员与涉事单位、地方人民政府及有关部门矛盾纠纷化解工作，防止出现群体性事件，维护社会稳定，对发生的群体性事件，组织专业力量稳妥处置。</w:t>
      </w:r>
    </w:p>
    <w:p w14:paraId="5155DEA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w:t>
      </w:r>
      <w:r>
        <w:rPr>
          <w:rFonts w:hint="default" w:ascii="Times New Roman" w:hAnsi="Times New Roman" w:eastAsia="仿宋_GB2312" w:cs="Times New Roman"/>
          <w:b/>
          <w:bCs/>
          <w:sz w:val="32"/>
          <w:szCs w:val="32"/>
        </w:rPr>
        <w:t>调查评估组</w:t>
      </w:r>
      <w:r>
        <w:rPr>
          <w:rFonts w:hint="default" w:ascii="Times New Roman" w:hAnsi="Times New Roman" w:eastAsia="仿宋_GB2312" w:cs="Times New Roman"/>
          <w:sz w:val="32"/>
          <w:szCs w:val="32"/>
        </w:rPr>
        <w:t>。根据事故类型，由事发地乡街、开发区牵头或有关单位、部门和受影响区域的地方机构组成。</w:t>
      </w:r>
    </w:p>
    <w:p w14:paraId="2D36AF5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开展突发环境事件污染损害调查，委托开展评估、核实事件造成的损失情况；对突发环境事件的起因、性质、影响、责任、经验教训和恢复重建等问题进行调查评估；对应急处置过程、有关人员的责任、应急处置工作的经验、存在的问题等情况进行分析。</w:t>
      </w:r>
    </w:p>
    <w:p w14:paraId="38ACC52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w:t>
      </w:r>
      <w:r>
        <w:rPr>
          <w:rFonts w:hint="default" w:ascii="Times New Roman" w:hAnsi="Times New Roman" w:eastAsia="仿宋_GB2312" w:cs="Times New Roman"/>
          <w:b/>
          <w:bCs/>
          <w:sz w:val="32"/>
          <w:szCs w:val="32"/>
        </w:rPr>
        <w:t>应急专家组</w:t>
      </w:r>
      <w:r>
        <w:rPr>
          <w:rFonts w:hint="default" w:ascii="Times New Roman" w:hAnsi="Times New Roman" w:eastAsia="仿宋_GB2312" w:cs="Times New Roman"/>
          <w:sz w:val="32"/>
          <w:szCs w:val="32"/>
        </w:rPr>
        <w:t>。专家组成员主要为江苏省环境应急专家库成员（苏环办</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2023</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203号），或由连云生态环境局按突发环境事件情形及事故处置需求聘请科研单位、高等院校、驻军、重点事业、企业单位环境监测、环境评估、环境保护、危险化学品、防化、水利水文、气象、船舶污染、损害索赔等相关专家。</w:t>
      </w:r>
    </w:p>
    <w:p w14:paraId="2FBE61C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负责参与指导突发环境事件的应急处置，为环境应急指挥部提供分析评估、决策咨询和处置意见，提出突发环境事件的环境危害和生态恢复的措施。</w:t>
      </w:r>
    </w:p>
    <w:p w14:paraId="10EBDC3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现场应急救援队伍和人员必须服从现场指挥部的指挥，现场指挥部应为参与应急救援的队伍和人员提供必要的工作条件。</w:t>
      </w:r>
    </w:p>
    <w:p w14:paraId="2DCC0E0B">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各乡街、开发区管委会职责</w:t>
      </w:r>
    </w:p>
    <w:p w14:paraId="29B0778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建立本辖区突发环境事件应急管理工作制度，按需制定本辖区突发环境事件应急预案，组织开展突发环境事件的应急演练；做好环境应急队伍建设和应急人员培训工作，加强环境应急值守和突发环境事件的信息上报工作；做好本辖区内的环境风险防范和监测预警工作；负责指挥、组织、协调本辖区内一般突发环境事件的应对工作；负责较大以上突发环境事件的先期处置工作；按现场指挥部的要求，做好较大以上突发环境事件的现场处置、应急保障和生态修复工作；组织实施突发环境事件事发地的社会稳定工作。</w:t>
      </w:r>
    </w:p>
    <w:p w14:paraId="39E5A63B">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4</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应急准备</w:t>
      </w:r>
    </w:p>
    <w:p w14:paraId="3A10B8F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为保障突发环境事件应对处置顺利开展，应在日常工作中充分做好各项应急准备工作。</w:t>
      </w:r>
    </w:p>
    <w:p w14:paraId="6AC6B7F4">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预案准备</w:t>
      </w:r>
    </w:p>
    <w:p w14:paraId="335EDE6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连云生态环境局根据国家相关法律法规及《江苏省突发公共事件总体应急预案》、《江苏省突发环境事件应急预案》、《连云港市突发公共事件总体应急预案》、《连云港市突发环境事件应急预案》要求，制定、完善突发环境事件应急预案，督促连云区范围内各企事业单位按规定编制突发环境事件应急预案并及时备案，做到“责任落实、组织落实、方案落实、保障落实”。</w:t>
      </w:r>
    </w:p>
    <w:p w14:paraId="43CB3955">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值守准备</w:t>
      </w:r>
    </w:p>
    <w:p w14:paraId="17B053B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完善日常值班与应急值守相结合的接报、出警机制，并严格组织实施；充分做好值守状态时的人员、设备、车辆、通讯及资料准备工作，确保突发环境事件现场指挥所需各项科技手段顺畅，做到常态管理与非常态管理全面、有效衔接。</w:t>
      </w:r>
    </w:p>
    <w:p w14:paraId="2BC15785">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联动机制</w:t>
      </w:r>
    </w:p>
    <w:p w14:paraId="691FFCBE">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加强生态环境部门与其他部门的联动机制建设，明确突发环境事件牵头部门和支持协作部门的职责、权限和处置程序，协同高效处置各类突发环境事件。</w:t>
      </w:r>
    </w:p>
    <w:p w14:paraId="3FD3A601">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4.4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应急救援队伍</w:t>
      </w:r>
    </w:p>
    <w:p w14:paraId="616F3D5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进一步加强公安、交警、消防部门处置突发环境事件的能力，同时依托社会力量，建立专业化的突发环境事件应急救援队伍；加强各级应急队伍的培训、演练和管理，提高应急救援人员的素质和能力；规范应急救援队伍调动程序，确保能迅速参与并完成突发环境事件应急处置工作。</w:t>
      </w:r>
    </w:p>
    <w:p w14:paraId="19375101">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4.5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物资装备准备</w:t>
      </w:r>
    </w:p>
    <w:p w14:paraId="626994E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建立健全突发环境事件应急救援物资储备制度。开发区管委会、江苏核电有限公司、连云港港口控股集团有限公司及其他企事业单位</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江苏三吉利化工股份有限公司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益海（连云港）粮油工业有限公司</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丰益表面活性材料（连云港）有限公司</w:t>
      </w:r>
      <w:r>
        <w:rPr>
          <w:rFonts w:hint="default" w:ascii="Times New Roman" w:hAnsi="Times New Roman" w:eastAsia="仿宋_GB2312" w:cs="Times New Roman"/>
          <w:sz w:val="32"/>
          <w:szCs w:val="32"/>
          <w:lang w:val="en-US" w:eastAsia="zh-CN"/>
        </w:rPr>
        <w:t>等</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应会同有关部门，制定环境应急物资储备计划，建立应急物资储备库，组织应急物资的监管、生产、储存、更新、补充、调拨和紧急配送等工作。</w:t>
      </w:r>
    </w:p>
    <w:p w14:paraId="1C193736">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应急资金准备</w:t>
      </w:r>
    </w:p>
    <w:p w14:paraId="6718FBF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财政部门应按照分级负担原则为应急处置工作提供必要的资金保障。</w:t>
      </w:r>
    </w:p>
    <w:p w14:paraId="688C7AF6">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4.7</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安全防护</w:t>
      </w:r>
    </w:p>
    <w:p w14:paraId="29D6E432">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根据突发环境事件的特点，采取安全防护措施，配备相应的专业防护设备，严格执行环境应急人员出入事发现场的程序。</w:t>
      </w:r>
    </w:p>
    <w:p w14:paraId="685912A1">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5</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预防和预警</w:t>
      </w:r>
    </w:p>
    <w:p w14:paraId="36BE5DA7">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按照“早预防、早发现、早报告、早处置”的原则，区环境应急办负责突发环境事件的预防、监督和管理工作，并按照突发环境事件发生、发展的等级、趋势和危险程度，及时向区应急指挥中心提出相应的预警建议。</w:t>
      </w:r>
    </w:p>
    <w:p w14:paraId="140D5574">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预防</w:t>
      </w:r>
    </w:p>
    <w:p w14:paraId="4E38B4A2">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加强调查，建立环境污染源数据库</w:t>
      </w:r>
    </w:p>
    <w:p w14:paraId="27C58D3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政府组织应急管理、公安、生态环境等有关部门开展对生产、贮存、运输、使用危险化学品和销毁废弃危险化学品、处置危险废物以及易发生爆炸、泄漏等非正常排放造成环境污染事件单位的普查并进行汇总，掌握辖区内环境污染源的产生、种类及分布情况，及时了解国内外有关技术信息、进展情况和动态。建立环境污染防范单位数据库报区环境应急办。</w:t>
      </w:r>
    </w:p>
    <w:p w14:paraId="47F21B8E">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加强监管，督促重点防范单位治理整改</w:t>
      </w:r>
    </w:p>
    <w:p w14:paraId="7EA4B2F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着“预防为主、重点突出、标本兼治”的原则，各乡街、开发区、各有关单位及部门要加强对辖区内重大危险源和重大事故隐患的日常监督管理和安全防范工作，确定本辖区突发环境事件重点防范单位名单，组织、监督重点防范单位对事故隐患进行治理整改，并开展突发环境事件的假设、分析和评估工作，指导企业建立完善的应急组织体系和应急处置预案。</w:t>
      </w:r>
    </w:p>
    <w:p w14:paraId="0552344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5.1.3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落实责任，制定多层面环境事件应急预案</w:t>
      </w:r>
    </w:p>
    <w:p w14:paraId="2B1753A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明确防范职责，制定严格的管理规章制度和应急工作预案。各乡街、开发区、各有关单位及部门应制定相应的突发环境事件应急预案，做到“组织落实、责任落实、装备落实、人员落实”。</w:t>
      </w:r>
    </w:p>
    <w:p w14:paraId="01CE8F87">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预警信息</w:t>
      </w:r>
    </w:p>
    <w:p w14:paraId="0DBC9C98">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区环境应急办负责全区突发环境事件预警工作的监督和综合管理。区应急指挥中心按照统一发布、多部门资源共享的原则，具体负责管辖范围内突发环境事件预警信息发布业务的实施，承担发布区政府审批同意的突发环境事件预警信息。</w:t>
      </w:r>
    </w:p>
    <w:p w14:paraId="2476F46A">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宋体" w:cs="Times New Roman"/>
          <w:sz w:val="32"/>
          <w:szCs w:val="32"/>
        </w:rPr>
        <w:t>5.2.1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预警分级</w:t>
      </w:r>
    </w:p>
    <w:p w14:paraId="0CCBBCC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的级别，按照突发环境事件发生的紧急程度、发展态势和可能造成的危害程度分为Ⅰ级、Ⅱ级、Ⅲ级和Ⅳ级，分别用红色、橙色、黄色和蓝色标示，Ⅰ级为最高级别。根据事态的发展情况和采取措施的效果，预警可以升级、降级或解除。</w:t>
      </w:r>
    </w:p>
    <w:p w14:paraId="6FAB5A6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蓝色（Ⅳ级）预警：可能发生一般突发环境事件的；</w:t>
      </w:r>
    </w:p>
    <w:p w14:paraId="4107EBE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黄色（Ⅲ级）预警：可能发生较大突发环境事件的；</w:t>
      </w:r>
    </w:p>
    <w:p w14:paraId="1C513E2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橙色（Ⅱ级）预警：可能发生重大突发环境事件的；</w:t>
      </w:r>
    </w:p>
    <w:p w14:paraId="47D85E99">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仿宋_GB2312" w:cs="Times New Roman"/>
          <w:sz w:val="32"/>
          <w:szCs w:val="32"/>
        </w:rPr>
        <w:t>红色（Ⅰ级）预警：可能发生特别重大突发环境事件的。</w:t>
      </w:r>
    </w:p>
    <w:p w14:paraId="61D0B9CD">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预警信息处理</w:t>
      </w:r>
    </w:p>
    <w:p w14:paraId="554F227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环境应急办应通过有关单位、部门、媒体和公众等多渠道收集突发环境事件信息。当其他突发事件可能引发环境污染时，各有关单位及部门应开展对环境污染信息的收集、综合分析、风险评估工作，并及时向区环境应急办报告。</w:t>
      </w:r>
    </w:p>
    <w:p w14:paraId="1D49B38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（1）企业事业单位泄漏或非正常排污引发的突发环境事件信息接收、报告、处理、统计分析、预警信息监控由连云生态环境局负责；</w:t>
      </w:r>
    </w:p>
    <w:p w14:paraId="41017DB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（2）生产安全事故引发的突发环境事件信息接收、报告、处理、统计分析、预警信息监控由区应急管理局负责；</w:t>
      </w:r>
    </w:p>
    <w:p w14:paraId="3A8EC98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（3）交通事故引发的突发环境事件信息接收、报告、处理、统计分析、预警信息监控由市交警支队连云大队负责；</w:t>
      </w:r>
    </w:p>
    <w:p w14:paraId="07D8313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（4）由调引水或水质性缺水引发饮用水源地突发水环境事件信息接收、报告、处理、统计分析、预警信息监控由区住房和城乡建设局负责；</w:t>
      </w:r>
    </w:p>
    <w:p w14:paraId="5BB34DF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（5）溢油事故等海上突发环境事件信息接收、报告、处理、统计分析、预警信息监控由区林业与海洋局负责。</w:t>
      </w:r>
    </w:p>
    <w:p w14:paraId="136AFADB">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预警信息发布</w:t>
      </w:r>
    </w:p>
    <w:p w14:paraId="27F0738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预警信息发布应实行严格的审签制。区环境应急办应当针对可能出现的突发环境事件进行研判，必要时组织有关专家学者、专业技术人员进行会商，形成预警信息发布建议报送指挥中心确认。</w:t>
      </w:r>
    </w:p>
    <w:p w14:paraId="57B8F5D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签发按照《连云港市突发环境事件应急预案》要求执行：Ⅰ级、Ⅱ级预警信息需报请省应急指挥中心审批，发布Ⅰ级预警信息由省长签发，发布Ⅱ级预警信息由省应急指挥中心总指挥签发；Ⅲ级预警信息应由市应急指挥部批准后发布；Ⅳ级预警信息发布应由区应急指挥中心或受委托的部门、单位主要负责人签发。</w:t>
      </w:r>
    </w:p>
    <w:p w14:paraId="178953F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发布可能引起公众恐慌、影响社会稳定的预警信息，需上报经省、市人民政府批准。</w:t>
      </w:r>
    </w:p>
    <w:p w14:paraId="515A93A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预警信息的发布、调整和解除可通过广播、电视、报刊、互联网、警报器、宣传车或组织人员逐户通知等方式进行，对老、幼、病、残、孕等特殊人群以及学校等特殊场所和警报盲区应当采取有针对性的公告方式。</w:t>
      </w:r>
    </w:p>
    <w:p w14:paraId="7F063D9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发布预警信息的部门、单位应加强对预警信息动态管理，根据事态发展变化，适时调整预警级别、更新预警信息内容，并重新发布、报告和通报有关情况。</w:t>
      </w:r>
    </w:p>
    <w:p w14:paraId="358907EE">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预警措施</w:t>
      </w:r>
    </w:p>
    <w:p w14:paraId="159876A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宋体" w:cs="Times New Roman"/>
          <w:sz w:val="32"/>
          <w:szCs w:val="32"/>
        </w:rPr>
        <w:t>5.3.1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Ⅲ、Ⅳ级预警措施</w:t>
      </w:r>
    </w:p>
    <w:p w14:paraId="4B64581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发布Ⅲ、Ⅳ级预警后，根据事件具体情况和可能造成的影响及后果，区人民政府及有关部门应采取以下措施：</w:t>
      </w:r>
    </w:p>
    <w:p w14:paraId="28F564F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（1）立即启动相关应急预案。</w:t>
      </w:r>
    </w:p>
    <w:p w14:paraId="5C9E509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（2）及时收集、报告有关信息，加强对突发环境事件监测、预报和预警工作。</w:t>
      </w:r>
    </w:p>
    <w:p w14:paraId="3CFBFF7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（3）组织有关部门、机构和专家，随时对突发环境事件信息进行分析评估，预测突发环境事件可能性、影响范围和强度以及可能发生的突发环境事件的级别。</w:t>
      </w:r>
    </w:p>
    <w:p w14:paraId="6620397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（4）调集环境应急处置所需物资、装备设备，确保环境应急保障工作。</w:t>
      </w:r>
    </w:p>
    <w:p w14:paraId="58C4AD5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（5）及时按照有关规定向社会发布避免、减轻突发环境事件危害常识。</w:t>
      </w:r>
    </w:p>
    <w:p w14:paraId="63C89C5B">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5.3.2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Ⅰ、Ⅱ级预警措施</w:t>
      </w:r>
    </w:p>
    <w:p w14:paraId="2E24C23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发布Ⅰ、Ⅱ级预警后，在采取Ⅲ、Ⅳ级预警响应措施的基础上，还应当针对即将发生的突发事件的特点和可能造成的危害，采取下列一项或多项措施：</w:t>
      </w:r>
    </w:p>
    <w:p w14:paraId="7D6A0EE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（1）转移、撤离或者疏散可能受到危害影响的人员，并进行妥善安置。</w:t>
      </w:r>
    </w:p>
    <w:p w14:paraId="2987F08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（2）指令各应急救援队伍进入应急状态，并动员后备人员做好参加应急救援和处置工作的准备；环境监测人员立即开展应急监测，随时掌握并报告事态进展情况。</w:t>
      </w:r>
    </w:p>
    <w:p w14:paraId="7E197A9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（3）针对突发环境事件可能造成的危害，封闭、隔离或者限制使用有关场所，中止可能导致危害扩大的行为和活动。</w:t>
      </w:r>
    </w:p>
    <w:p w14:paraId="600CF95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（4）各相关成员单位实行24小时值守制度，保持通讯畅通，加强监测和会商，及时上报预警响应措施的执行情况。</w:t>
      </w:r>
    </w:p>
    <w:p w14:paraId="53ECE542">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宋体" w:cs="Times New Roman"/>
          <w:sz w:val="32"/>
          <w:szCs w:val="32"/>
        </w:rPr>
        <w:t>5.3.3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预警结束</w:t>
      </w:r>
    </w:p>
    <w:p w14:paraId="4307EF5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发生以下情况时，区应急指挥中心根据事态的发展，报请区人民政府立即宣布解除警报。已经宣布进入预警期的，应当立即宣布终止预警，解除已经采取的有关措施。</w:t>
      </w:r>
    </w:p>
    <w:p w14:paraId="577D86F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（1）预警事件发生的风险不存在或已经全部消除；</w:t>
      </w:r>
    </w:p>
    <w:p w14:paraId="7087304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（2）预警事件发生的风险已经被有效控制；</w:t>
      </w:r>
    </w:p>
    <w:p w14:paraId="71ED6FB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（3）预警响应范围内的单位已经全部解除预警状态；</w:t>
      </w:r>
    </w:p>
    <w:p w14:paraId="6BE3DB0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（4）事件已经发生，从预警状态转入应急状态，预警自动解除。</w:t>
      </w:r>
    </w:p>
    <w:p w14:paraId="38A5F149">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6</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应急响应</w:t>
      </w:r>
    </w:p>
    <w:p w14:paraId="3A3321B1">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6.1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分级响应机制</w:t>
      </w:r>
    </w:p>
    <w:p w14:paraId="4C27A14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突发环境事件的可控性、严重程度和影响范围，突发环境事件的应急响应分为一般（Ⅳ级响应）、较大（Ⅲ级响应）、重大（Ⅱ级响应）、特别重大（Ⅰ级响应）四级，IV级应急响应由区应急指挥中心组织实施。超出本级应急处置能力时，应及时请求连云港市人民政府启动市一级应急预案。</w:t>
      </w:r>
    </w:p>
    <w:p w14:paraId="2981EF77">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应急响应行动</w:t>
      </w:r>
    </w:p>
    <w:p w14:paraId="4810DF5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生环境事件时，事发地乡街、开发区或单位除按照本预案有关规定及时进行报告和处理外，应立即组织开展有关应急处置。要重点组织保护好可能受危害的居民住区、饮用水源、自然保护区、风景名胜区、水产养殖区等敏感保护目标；督促事故责任单位采取措施减轻或消除危害，接受并配合调查处理。</w:t>
      </w:r>
    </w:p>
    <w:p w14:paraId="5F9F0F1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突发环境事件发生时，由区应急指挥中心启动本预案，并成立现场指挥部，负责组织现场应急救援工作。除按照本预案有关规定及时进行报告和处理外，应及时组织环保机构迅速赶赴现场，开展应急监测，快速判断污染物种类、污染物浓度、污染范围。必要时应取得专家系统的支持和其他相关部门的技术支持和支援。</w:t>
      </w:r>
    </w:p>
    <w:p w14:paraId="7960EF5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较大、重大或特别重大突发环境事件发生时，由区应急指挥中心启动本预案，成立现场指挥部，负责组织现场应急救援工作。较大环境事件由区政府分管领导带队赶赴现场，重大、特别重大环境事件由区政府主要领导带队赶赴现场，指导和协调现场指挥部开展现场应急处置工作，并立即将相关情况上报连云港市人民政府，请求上级政府和有关部门的技术支持和支援。</w:t>
      </w:r>
    </w:p>
    <w:p w14:paraId="12632DF2">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指挥与协调</w:t>
      </w:r>
    </w:p>
    <w:p w14:paraId="38BF67F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6.3.1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指挥与协调机制</w:t>
      </w:r>
    </w:p>
    <w:p w14:paraId="329B835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有关单位接到突发环境事件报告后，应当立即按要求派出应急救援队伍和有关人员赶赴事发现场，在现场应急救援指挥部成立前，各应急救援队伍和有关人员应当按各部门专业应急预案要求，在事故发生地或影响地所在乡街、开发区和单位的配合下实施先期应急处置，果断控制或切断污染源，全力控制事件态势，严防二次污染和次生、衍生事件的发生。</w:t>
      </w:r>
    </w:p>
    <w:p w14:paraId="130BC99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立即启动应急预案，迅速成立现场指挥部开展现场应急处置工作。各应急救援队伍和有关人员要在现场指挥部的统一指挥下，按照有关应急预案和处置规程，相互协同，密切配合，共同做好现场应急处置工作。</w:t>
      </w:r>
    </w:p>
    <w:p w14:paraId="52EFD88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指挥部要及时组织有关专家，参加现场应急救援指挥工作，对事件信息进行分析、评估，提出应急处置方案和建议，供指挥部决策时参考；根据事件发展情况，提出相应的对策和意见；对突发环境事件的危害范围、发展趋势做出科学预测，为环境应急领导机构的决策和指挥提供科学依据；参与污染程度、危害范围、事件等级的判定，为污染区域的隔离与解禁、人员撤离与回返等重大防护措施的决策提供技术依据；指导各应急救援队伍进行应急处置；指导环境应急工作的评价，进行事件的中长期环境影响评估。发生突发环境事件的有关单位要及时、主动地向现场指挥部提供与应急救援工作有关的基础资料。有关部门要提供事件发生前的监督检查资料，为现场指挥部研究确定救援和处置方案提供决策依据。</w:t>
      </w:r>
    </w:p>
    <w:p w14:paraId="2035D68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6.3.2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指挥与协调主要内容</w:t>
      </w:r>
    </w:p>
    <w:p w14:paraId="288AC24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（1）提出现场应急行动原则要求；</w:t>
      </w:r>
    </w:p>
    <w:p w14:paraId="039D8DB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（2）派出有关专家和工作人员参与现场应急救援指挥部的应急指挥工作；</w:t>
      </w:r>
    </w:p>
    <w:p w14:paraId="42A03E3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（3）协调各级、各专业应急力量实施应急支援行动；</w:t>
      </w:r>
    </w:p>
    <w:p w14:paraId="26470AF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（4）协调受威胁的周边地区危险源的监控工作；</w:t>
      </w:r>
    </w:p>
    <w:p w14:paraId="61934AD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（5）协调建立现场警戒区和交通管制区域，确定重点防护区域；</w:t>
      </w:r>
    </w:p>
    <w:p w14:paraId="749BB26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（6）根据现场监测结果，确定被转移、疏散群众返回的时间。</w:t>
      </w:r>
    </w:p>
    <w:p w14:paraId="7E2C0EA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（7）及时向区应急指挥中心报告应急行动的进展情况。</w:t>
      </w:r>
    </w:p>
    <w:p w14:paraId="7ED2066B">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处置措施</w:t>
      </w:r>
    </w:p>
    <w:p w14:paraId="13D262C2">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6.4.1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先期应急处置措施</w:t>
      </w:r>
    </w:p>
    <w:p w14:paraId="5D8EB78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发生或即将发生突发环境事件的信息得到核实后，在尚未确定突发环境事件级别之前，由事故发生地或影响地有关单位及应急救援力量负责先期处置。先期处置可采取如下应急措施：</w:t>
      </w:r>
    </w:p>
    <w:p w14:paraId="49433BD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（1）向社会发出避险警告。必要时实施紧急疏散。</w:t>
      </w:r>
    </w:p>
    <w:p w14:paraId="1E561BF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（2）调配区域内的应急资源用于应急处置。</w:t>
      </w:r>
    </w:p>
    <w:p w14:paraId="3660075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（3）波及其他区域的，要及时相互通报。</w:t>
      </w:r>
    </w:p>
    <w:p w14:paraId="46DE651F">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6.4.2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扩大应急处置措施</w:t>
      </w:r>
    </w:p>
    <w:p w14:paraId="7E75ABA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采取先期应急处置措施基础上，根据事故发生地或影响地有关单位及应急救援力量报告的情况，达到一般（IV级）突发环境事件标准以上的，由区政府启动本预案。对突发环境事件的应急处置措施，按照国家相关应急预案的规定执行。</w:t>
      </w:r>
    </w:p>
    <w:p w14:paraId="0893E50B">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应急监测</w:t>
      </w:r>
    </w:p>
    <w:p w14:paraId="634B644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连云生态环境局负责组织协调突发环境事件地区的环境应急监测工作，在区住房和城乡建设局、区农业农村局、区林业和海洋局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区气象局</w:t>
      </w:r>
      <w:r>
        <w:rPr>
          <w:rFonts w:hint="default" w:ascii="Times New Roman" w:hAnsi="Times New Roman" w:eastAsia="仿宋_GB2312" w:cs="Times New Roman"/>
          <w:sz w:val="32"/>
          <w:szCs w:val="32"/>
        </w:rPr>
        <w:t>等部门的配合下，指导环境监测机构开展应急监测工作。</w:t>
      </w:r>
    </w:p>
    <w:p w14:paraId="297CF58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突发环境事件污染物的特性和事件发生地的气象、水文和地域特点，确定污染物扩散范围。在此范围内布设相应数量的现场应急监测点位，并根据污染物的扩散情况和监测结果的变化趋势调整监测频次和监测点位。</w:t>
      </w:r>
    </w:p>
    <w:p w14:paraId="5A92AAD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（2）根据监测结果，综合分析突发环境事件污染变化趋势，并通过专家咨询和讨论的方式，预测并报告突发环境事件的发展情况和污染物的变化情况，作为突发环境事件应急决策的依据。</w:t>
      </w:r>
    </w:p>
    <w:p w14:paraId="4B7DA88B">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信息报送与处理</w:t>
      </w:r>
    </w:p>
    <w:p w14:paraId="2508B7F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突发事件信息归口管理制度</w:t>
      </w:r>
    </w:p>
    <w:p w14:paraId="47F9454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环境应急办负责全区突发环境事件信息的收集汇总、分析研判、报告处置。信息报送应贯穿于突发环境事件的预防与应急准备、监测与预警、应急处置与救援、事后恢复与重建等应对活动的全过程。现场指挥部、各有关单位及部门应按规定将突发事件预测预警信息、初始信息、续报信息和处置报告报送区环境应急办。</w:t>
      </w:r>
    </w:p>
    <w:p w14:paraId="10058A7D">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6.6.2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预测预警信息和初始信息报告</w:t>
      </w:r>
    </w:p>
    <w:p w14:paraId="41DF314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重点</w:t>
      </w:r>
      <w:r>
        <w:rPr>
          <w:rFonts w:hint="default" w:ascii="Times New Roman" w:hAnsi="Times New Roman" w:eastAsia="仿宋_GB2312" w:cs="Times New Roman"/>
          <w:sz w:val="32"/>
          <w:szCs w:val="32"/>
        </w:rPr>
        <w:t>单位及其工作人员，发现突发事件可能发生、即将发生或者已经发生的，应当在第一时间向区环境应急办或区有关主管部门报告。</w:t>
      </w:r>
    </w:p>
    <w:p w14:paraId="02AC718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（2）其他单位和个人发现突发环境事件可能发生、即将发生或者已经发生的，有义务立即向区环境应急办、区应急指挥中心及主管部门和责任单位报告，或通过110、119或12345等专线电话等途径报警。</w:t>
      </w:r>
    </w:p>
    <w:p w14:paraId="13A20AD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建立和完善区突发环境事件信息共享与通报机制，有效实现区突发环境事件信息报送的无缝联接。接到报告的部门应立即按照突发环境事件分级标准，对事件性质、严重程度、可控性和影响范围等因素进行核实和综合研判，作出初步判断。必要时，根据突发环境事件类别，组织相关部门、有关专家咨询，评估发生突发事件的可能性。认为可能发生重大及以上突发事件的，区应急指挥中心应当及时向连云港市生态环境局报告，同时向可能受到危害的毗邻县、区政府通报。事发地区突发事件报告须经上报单位主要领导或授权的分管领导签发，确保信息真实、准确、及时、口径统一。</w:t>
      </w:r>
    </w:p>
    <w:p w14:paraId="18C8952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（4）区环境应急办收集各类基础信息和动态信息后，应迅速进行信息处理，及时上报区政府及区应急指挥中心，并通报各联动单位。</w:t>
      </w:r>
    </w:p>
    <w:p w14:paraId="02E8A97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实行突发环境事件信息即发即报、即收即报、核实续报的体制。发生突发环境事件后，区环境应急办应按规定及时将信息报到区应急指挥中心，并随时续报汇总现场采集的相关动态信息。现场信息采集报送由现场指挥部总指挥负总责，具体报送人员由现场指挥部总指挥指定，一般由事件处置牵头单位或事发地相关部门承担。现场具体信息专报员确定后及时报告区环境应急办和应急指挥中心，现场救援处置动态信息应主动、快速、及时、不间断报送给区应急办和应急指挥中心，直至事件处置完毕。</w:t>
      </w:r>
    </w:p>
    <w:p w14:paraId="35B99D7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区环境应急办要组织有关专家迅速对事件信息进行分析、评估，筛选提出紧急处置方案和建议，供区应急指挥中心指挥决策参考。各有关部门要及时、主动为区应急指挥中心的紧急决策提供信息服务和支持。</w:t>
      </w:r>
    </w:p>
    <w:p w14:paraId="2210747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（7）对于暂时无法判明等级的突发事件，应迅速核实，同时根据事件可能达到或演化的级别和影响程度，参照上述规定做好信息上报和续报。</w:t>
      </w:r>
    </w:p>
    <w:p w14:paraId="6BC0D22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突发事件信息上报内容</w:t>
      </w:r>
    </w:p>
    <w:p w14:paraId="3420953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环境事件信息上报内容应包括:时间、地点、信息来源、事件性质、危害程度、影响范围、事件趋势、初步原因、已采取措施等，并及时续报事件处置进展情况。信息报告应当做到客观、真实、及时，不得迟报、漏报、谎报、瞒报。</w:t>
      </w:r>
    </w:p>
    <w:p w14:paraId="6AF5F03E">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6.6.4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报告时限</w:t>
      </w:r>
    </w:p>
    <w:p w14:paraId="2ACF07A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凡属报告范围的突发环境事件，事发地乡街、开发区牵头或有关单位、部门必须严格遵守突发事件应急信息限时报送制度规定。一般或较大突发事件，应在事件发生后及时向区人民政府报告；重大或特别重大突发事件，必须立即上报连云港市人民政府。</w:t>
      </w:r>
    </w:p>
    <w:p w14:paraId="65574C4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6.6.5</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人员伤亡和失踪信息报送</w:t>
      </w:r>
    </w:p>
    <w:p w14:paraId="1500FBC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死亡、受伤和失踪人员的数量、姓名等信息，由事件单位提供，现场指挥部掌握并发布，同时报区应急指挥中心。</w:t>
      </w:r>
    </w:p>
    <w:p w14:paraId="756829C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6.6.6</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信息通报</w:t>
      </w:r>
    </w:p>
    <w:p w14:paraId="244D40D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发生突发事件，涉及或影响到连云区外时，按照事件的实际级别与相关县、区实行对等通报。发生Ⅳ级、Ⅲ级事件时，由区应急指挥中心及时通报相关县、区级政府；发生Ⅱ级和I级事件时，由区应急指挥中心及时报请江苏省环境应急与事故调查中心办理。</w:t>
      </w:r>
    </w:p>
    <w:p w14:paraId="63C533F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6.6.7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特殊情况处理</w:t>
      </w:r>
    </w:p>
    <w:p w14:paraId="2F06932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环境事件的伤亡、失踪、被困人员中有港澳台人员或外籍人员，需要向香港、澳门、台湾地区有关机构或有关国家进行通报时，有关部门应及时报告市台办、市外事办、市侨办。</w:t>
      </w:r>
    </w:p>
    <w:p w14:paraId="4F55E5E7">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6.7</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新闻发布</w:t>
      </w:r>
    </w:p>
    <w:p w14:paraId="0F02A7D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在区委宣传部的指导下负责突发环境事件信息统一发布工作。突发环境事件发生后，要及时发布准确、权威的信息，正确引导社会舆论。对于较为复杂的事件，可分阶段发布，先简要发布基本事实；对灾害造成的直接经济损失数字的发布，应征求评估部门的意见。对影响重大的突发事件处理结果，根据需要及时发布。</w:t>
      </w:r>
    </w:p>
    <w:p w14:paraId="2B15F15A">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6.8</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应急终止</w:t>
      </w:r>
    </w:p>
    <w:p w14:paraId="22C7EBC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6.8.1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应急终止的条件</w:t>
      </w:r>
    </w:p>
    <w:p w14:paraId="66CD7B7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符合下列条件之一，即满足应急结束条件：</w:t>
      </w:r>
    </w:p>
    <w:p w14:paraId="3A3E765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（1）环境事件现场得到有效控制，事件条件已经消除；污染源的泄漏或释放已降至规定限值以内；事件所造成的危害已经被彻底消除，无继发可能。</w:t>
      </w:r>
    </w:p>
    <w:p w14:paraId="31A3951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（2）环境事件现场的各种专业应急处置行动已无继续的必要。</w:t>
      </w:r>
    </w:p>
    <w:p w14:paraId="619CA13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（3）已采取了一切必要的防护措施以保护公众免受再次危害，并使事件可能引起的中长期影响降低到最低水平。</w:t>
      </w:r>
    </w:p>
    <w:p w14:paraId="53F4D71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6.8.2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应急终止的宣布</w:t>
      </w:r>
    </w:p>
    <w:p w14:paraId="658B543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环境事件由区人民政府宣布应急终止；较大环境事件由连云港市人民政府宣布应急终止；重大和特别重大环境事件的应急终止应请示江苏省人民政府同意后宣布。造成跨行政区域纠纷的环境事件，应请示江苏省人民政府同意后宣布应急终止。</w:t>
      </w:r>
    </w:p>
    <w:p w14:paraId="762930D4">
      <w:pPr>
        <w:overflowPunct w:val="0"/>
        <w:snapToGrid/>
        <w:spacing w:line="560" w:lineRule="exact"/>
        <w:ind w:firstLine="633" w:firstLineChars="198"/>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6.8.3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应急终止后的后续工作</w:t>
      </w:r>
    </w:p>
    <w:p w14:paraId="7B39F64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应急终止后，根据上级有关部门的指示和实际情况，继续进行环境监测和评价工作，直至其他补救措施无需继续进行为止。</w:t>
      </w:r>
    </w:p>
    <w:p w14:paraId="6FCEBCB2">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6.9</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人员防护</w:t>
      </w:r>
    </w:p>
    <w:p w14:paraId="4480285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最早抵达事发现场的救援队伍，在处置环境突发事件的同时，要迅速做好事发地群众的安全防护工作。</w:t>
      </w:r>
    </w:p>
    <w:p w14:paraId="28DD067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（1）根据突发环境事件的性质、特点，告知群众应采取的安全防护措施；</w:t>
      </w:r>
    </w:p>
    <w:p w14:paraId="62EF10E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（2）根据事发时当地的气象、地理环境、人员密集度等，确定群众疏散的方式，组织好群众安全疏散与撤离；</w:t>
      </w:r>
    </w:p>
    <w:p w14:paraId="64600C1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（3）在事发地安全边界以外，设立临时紧急避难场所。</w:t>
      </w:r>
    </w:p>
    <w:p w14:paraId="060538D0">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7</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后期处置</w:t>
      </w:r>
    </w:p>
    <w:p w14:paraId="5B492BA4">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7.1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调查</w:t>
      </w:r>
    </w:p>
    <w:p w14:paraId="3D9A141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一般、较大环境事件由区政府负责调查；重大、特别重大环境事件由连云港市人民政府组成突发环境事件调查组。</w:t>
      </w:r>
    </w:p>
    <w:p w14:paraId="1F6D1FC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区政府调查一般环境事件时，根据有关法律法规组成突发环境事件调查组，突发环境事件的责任单位、个人和涉及的相关单位要予以配合。</w:t>
      </w:r>
    </w:p>
    <w:p w14:paraId="2B1DC79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突发环境事件调查组应当及时、准确地查清事件，查明事件的原因和责任，提出防范和改进的措施。属于责任事件的，应对负有责任的单位和个人提出处理意见；涉嫌犯罪的，移交司法机关依法追究刑事责任。</w:t>
      </w:r>
    </w:p>
    <w:p w14:paraId="1929AF6D">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总结</w:t>
      </w:r>
    </w:p>
    <w:p w14:paraId="29AD53B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负责处置突发环境事件的乡街、开发区和相应机构要及时总结经验、吸取教训，将应急处置工作的全过程记录整理后，形成系统的书面材料报区应急指挥中心和区政府备案，为今后妥善处置突发环境事件积累经验。</w:t>
      </w:r>
    </w:p>
    <w:p w14:paraId="08B64ED9">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善后工作</w:t>
      </w:r>
    </w:p>
    <w:p w14:paraId="67A8503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应急指挥中心要组织有关专家对受灾范围进行科学评估，提出补偿方案（包括人员安置，赔偿，以及污染物收集、清理与处置等），事发地乡街、开发区应采取有效措施，确保受灾群众的正常生活，所需救济经费由区财政安排。同时，积极鼓励和利用社会资源进行救济救助，积极提倡和鼓励企事业单位和个人捐助，逐步加大社会救助的比重。</w:t>
      </w:r>
    </w:p>
    <w:p w14:paraId="3355377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一般、较大环境事件的善后工作由区政府组织实施，重大、特别重大环境事件的善后工作由连云港市人民政府组织实施。</w:t>
      </w:r>
    </w:p>
    <w:p w14:paraId="6BF9099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保险</w:t>
      </w:r>
    </w:p>
    <w:p w14:paraId="2318B93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应建立突发环境事件社会保险机制，对环境应急工作人员办理意外伤害保险。可能引起环境污染的企业事业单位，要依法办理相关责任险和其他险种。</w:t>
      </w:r>
    </w:p>
    <w:p w14:paraId="7AE74EBB">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8</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应急预案的衔接</w:t>
      </w:r>
    </w:p>
    <w:p w14:paraId="53A1F911">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应急组织机构、人员衔接</w:t>
      </w:r>
    </w:p>
    <w:p w14:paraId="06EEFDE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发生风险事故时，区环境应急办应及时承担起与区政府及各职能管理部门的应急指挥机构的联系工作，及时将事故发生情况及最新进展向政府及有关部门汇报，并将上级指挥机构的命令及时向指挥中心汇报；编制环境污染事故报告，并将报告向上级部门汇报。</w:t>
      </w:r>
    </w:p>
    <w:p w14:paraId="6FB62142">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预案分级响应衔接</w:t>
      </w:r>
    </w:p>
    <w:p w14:paraId="3D16244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（1）可能发生一般环境污染事故：在污染事故现场处置妥当后，经现场指挥部研究确定后，向区应急指挥中心及连云区政府、当地生态环境部门报告处理结果。</w:t>
      </w:r>
    </w:p>
    <w:p w14:paraId="35F8688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可能发生较大环境污染事故：区环境应急办在接到事故报警后，及时向区应急指挥中心报告，并请求支援；区应急指挥中心进行紧急动员，适时启动连云区突发环境事件应急预案，迅速调集救援力量，指挥区域应急救援成员单位、相关职能部门，根据连云区突发环境事件应急预案组成现场指挥部，按照各自的职责和现场救援具体方案开展抢险救援工作。现场指挥部同时将有关进展情况向区应急指挥中心及区政府汇报；污染事故基本控制稳定后，现场指挥部将根据专家意见，迅速调集后援力量展开事故处置工作。现场应急处理结束。</w:t>
      </w:r>
    </w:p>
    <w:p w14:paraId="1FEEEDE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污染事故有进一步扩大、发展趋势，或因事故衍生问题造成重大社会不稳定事态，现场指挥部将根据事态发展，及时调整应急响应级别，发布预警信息，同时向连云港市生态环境局、连云港市政府请求援助，由连云港市政府启动相应级别应急预案，必要时由连云港市政府向江苏省环境应急与事故调查中心办理汇报并请求援助。</w:t>
      </w:r>
    </w:p>
    <w:p w14:paraId="08D311F0">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应急救援保障衔接</w:t>
      </w:r>
    </w:p>
    <w:p w14:paraId="7DD1B06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（1）区域企业互助体系：区域各企业建立良好的应急互助关系，在突发环境事件发生后，能够相互支援。</w:t>
      </w:r>
    </w:p>
    <w:p w14:paraId="3974316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（2）公共援助力量：连云区可上报连云港市生态环境局，并由市生态环境局协调连云港市各类公共力量以及各相关职能部门，请求救援物资、设备的支持。</w:t>
      </w:r>
    </w:p>
    <w:p w14:paraId="7CDD6DB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（3）专家援助：建立专家库，在紧急情况下，可以联系获取技术支持。</w:t>
      </w:r>
    </w:p>
    <w:p w14:paraId="32BA17FB">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仿宋_GB2312" w:cs="Times New Roman"/>
          <w:sz w:val="32"/>
          <w:szCs w:val="32"/>
        </w:rPr>
        <w:t>8.4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各类应急预案内容的衔接</w:t>
      </w:r>
    </w:p>
    <w:p w14:paraId="1CECF33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连云区编制有《连云区重污染天气应急预案》等专项应急预案，当出现重污染天气，应以各专项应急预案为基准、以本预案为原则，开展预警、响应及事故处置等工作。</w:t>
      </w:r>
    </w:p>
    <w:p w14:paraId="5CE2D422">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9</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宣传教育、培训与演练</w:t>
      </w:r>
    </w:p>
    <w:p w14:paraId="2FC15523">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公众宣传教育</w:t>
      </w:r>
    </w:p>
    <w:p w14:paraId="1007558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有关单位及部门要充分利用各种媒体，采取多种形式，加强对社会公众的宣传教育，广泛宣传突发环境事件的预防、避险、自救、互救等知识，不断增强公众防范、应对突发环境事件的意识和能力，提高企事业单位应对突发环境事件的能力。</w:t>
      </w:r>
    </w:p>
    <w:p w14:paraId="4E25659A">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培训</w:t>
      </w:r>
    </w:p>
    <w:p w14:paraId="46EA1AD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各有关单位及部门要根据处置突发环境事件的需要，加强对环境事件专业技术人员的培训和管理。通过培训，不断提高其处置突发环境事件的能力，努力做到业务精通、反应迅速。</w:t>
      </w:r>
    </w:p>
    <w:p w14:paraId="7E8A3A09">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9.3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楷体_GB2312" w:cs="Times New Roman"/>
          <w:sz w:val="32"/>
          <w:szCs w:val="32"/>
        </w:rPr>
        <w:t>演练</w:t>
      </w:r>
    </w:p>
    <w:p w14:paraId="479D520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全区统筹，</w:t>
      </w:r>
      <w:r>
        <w:rPr>
          <w:rFonts w:hint="default" w:ascii="Times New Roman" w:hAnsi="Times New Roman" w:eastAsia="仿宋_GB2312" w:cs="Times New Roman"/>
          <w:sz w:val="32"/>
          <w:szCs w:val="32"/>
        </w:rPr>
        <w:t>结合当地实际，提出应急演习方案并按照程序报批或备案后，组织突发环境事件预警演习和应急救援演练，锻炼应急队伍，提高应急处置能力。</w:t>
      </w:r>
    </w:p>
    <w:p w14:paraId="15557C67">
      <w:pPr>
        <w:overflowPunct w:val="0"/>
        <w:snapToGrid/>
        <w:spacing w:line="560" w:lineRule="exact"/>
        <w:ind w:firstLine="633"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10</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奖励与责任追究</w:t>
      </w:r>
    </w:p>
    <w:p w14:paraId="4A16A605">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奖励</w:t>
      </w:r>
    </w:p>
    <w:p w14:paraId="241A968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对在处置突发环境事件中信息准确、预警及时、预案周密、处置有力、措施得当、成绩显著的单位和个人，给予表彰奖励。</w:t>
      </w:r>
    </w:p>
    <w:p w14:paraId="7F724CF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在突发环境事件应急救援工作中，有下列事迹之一的单位和个人，应依据有关规定给予奖励：</w:t>
      </w:r>
    </w:p>
    <w:p w14:paraId="1CE8A4E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（1）出色完成突发环境事件应急处置任务，成绩显著的；</w:t>
      </w:r>
    </w:p>
    <w:p w14:paraId="373F80D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（2）对防止或挽救突发环境事件有功，使国家、集体的财物和人民群众的生命财产免受或者减少损失的；</w:t>
      </w:r>
    </w:p>
    <w:p w14:paraId="0782087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（3）对事件应急准备与响应提出重大建议，经实施效果显著的；</w:t>
      </w:r>
    </w:p>
    <w:p w14:paraId="13D9AAEB">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w:t>
      </w:r>
      <w:r>
        <w:rPr>
          <w:rFonts w:hint="default" w:ascii="Times New Roman" w:hAnsi="Times New Roman" w:eastAsia="仿宋_GB2312" w:cs="Times New Roman"/>
          <w:sz w:val="32"/>
          <w:szCs w:val="32"/>
        </w:rPr>
        <w:t>有其他特殊贡献的</w:t>
      </w:r>
      <w:r>
        <w:rPr>
          <w:rFonts w:hint="default" w:ascii="Times New Roman" w:hAnsi="Times New Roman" w:eastAsia="宋体" w:cs="Times New Roman"/>
          <w:sz w:val="32"/>
          <w:szCs w:val="32"/>
        </w:rPr>
        <w:t>。</w:t>
      </w:r>
    </w:p>
    <w:p w14:paraId="6B46B8BB">
      <w:pPr>
        <w:overflowPunct w:val="0"/>
        <w:snapToGrid/>
        <w:spacing w:line="560" w:lineRule="exact"/>
        <w:ind w:firstLine="633" w:firstLineChars="198"/>
        <w:outlineLvl w:val="1"/>
        <w:rPr>
          <w:rFonts w:hint="default" w:ascii="Times New Roman" w:hAnsi="Times New Roman" w:eastAsia="楷体_GB2312" w:cs="Times New Roman"/>
          <w:sz w:val="32"/>
          <w:szCs w:val="32"/>
        </w:rPr>
      </w:pPr>
      <w:r>
        <w:rPr>
          <w:rFonts w:hint="default" w:ascii="Times New Roman" w:hAnsi="Times New Roman" w:eastAsia="宋体" w:cs="Times New Roman"/>
          <w:sz w:val="32"/>
          <w:szCs w:val="32"/>
        </w:rPr>
        <w:t>10.2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责任追究</w:t>
      </w:r>
    </w:p>
    <w:p w14:paraId="06CDCD4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在突发环境事件应急救援中，有下列行为之一的，按照有关法律和规定，对有关责任人员视情节和危害后果，由其所在单位或者上级机关给予行政处分；其中，对国家公务员和国家行政机关任命的其他人员，分别由任免机关或者监察机关给予行政处分；构成犯罪的，由司法机关依法追究刑事责任：</w:t>
      </w:r>
    </w:p>
    <w:p w14:paraId="4A4432D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（1）不认真履行国家有关法律、法规而引发环境事件的；</w:t>
      </w:r>
    </w:p>
    <w:p w14:paraId="56B8627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（2）不按照规定制定突发环境事件应急预案，拒绝承担突发环境事件应急准备义务的；</w:t>
      </w:r>
    </w:p>
    <w:p w14:paraId="4889D350">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（3）不按规定报告、通报突发环境事件真实情况的；</w:t>
      </w:r>
    </w:p>
    <w:p w14:paraId="57AE13C2">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（4）拒不执行突发环境事件应急预案，不服从命令和指挥，或者在事件应急响应时临阵脱逃的；</w:t>
      </w:r>
    </w:p>
    <w:p w14:paraId="637CBA6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（5）盗窃、贪污、挪用环境事件应急救援资金、装备和物资的；</w:t>
      </w:r>
    </w:p>
    <w:p w14:paraId="40D298D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（6）阻碍环境事件应急救援人员依法执行职务或者进行破坏活动的；</w:t>
      </w:r>
    </w:p>
    <w:p w14:paraId="3D3E6CD5">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（7）散布谣言，扰乱社会秩序的；</w:t>
      </w:r>
    </w:p>
    <w:p w14:paraId="0E03D1E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（8）有其他对环境事件应急救援造成危害行为的。</w:t>
      </w:r>
    </w:p>
    <w:p w14:paraId="2876DB50">
      <w:pPr>
        <w:overflowPunct w:val="0"/>
        <w:snapToGrid/>
        <w:spacing w:line="560" w:lineRule="exact"/>
        <w:ind w:firstLine="633" w:firstLineChars="198"/>
        <w:outlineLvl w:val="0"/>
        <w:rPr>
          <w:rFonts w:hint="default" w:ascii="Times New Roman" w:hAnsi="Times New Roman" w:eastAsia="黑体" w:cs="Times New Roman"/>
          <w:b w:val="0"/>
          <w:bCs w:val="0"/>
          <w:sz w:val="32"/>
          <w:szCs w:val="32"/>
        </w:rPr>
      </w:pPr>
      <w:r>
        <w:rPr>
          <w:rFonts w:hint="default" w:ascii="Times New Roman" w:hAnsi="Times New Roman" w:eastAsia="宋体" w:cs="Times New Roman"/>
          <w:b/>
          <w:bCs/>
          <w:sz w:val="32"/>
          <w:szCs w:val="32"/>
        </w:rPr>
        <w:t>11</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黑体" w:cs="Times New Roman"/>
          <w:b w:val="0"/>
          <w:bCs w:val="0"/>
          <w:sz w:val="32"/>
          <w:szCs w:val="32"/>
        </w:rPr>
        <w:t>附则</w:t>
      </w:r>
    </w:p>
    <w:p w14:paraId="44EA13DE">
      <w:pPr>
        <w:overflowPunct w:val="0"/>
        <w:snapToGrid/>
        <w:spacing w:line="560" w:lineRule="exact"/>
        <w:ind w:firstLine="633"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楷体_GB2312" w:cs="Times New Roman"/>
          <w:sz w:val="32"/>
          <w:szCs w:val="32"/>
        </w:rPr>
        <w:t>预案管理</w:t>
      </w:r>
    </w:p>
    <w:p w14:paraId="79F3C1E5">
      <w:pPr>
        <w:overflowPunct w:val="0"/>
        <w:snapToGrid/>
        <w:spacing w:line="560" w:lineRule="exact"/>
        <w:ind w:firstLine="633"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仿宋_GB2312" w:cs="Times New Roman"/>
          <w:b/>
          <w:bCs/>
          <w:sz w:val="32"/>
          <w:szCs w:val="32"/>
        </w:rPr>
        <w:t>预案制定</w:t>
      </w:r>
    </w:p>
    <w:p w14:paraId="46982A1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本预案由连云生态环境局牵头制定，报区人民政府批准。</w:t>
      </w:r>
    </w:p>
    <w:p w14:paraId="1E209A5A">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区政府有关部门应当根据《连云区突发环境事件应急预案》，制定与预案相衔接、配套的工作预案。</w:t>
      </w:r>
    </w:p>
    <w:p w14:paraId="76FED36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11.1.2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预案修订</w:t>
      </w:r>
    </w:p>
    <w:p w14:paraId="303683B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随着突发环境事件应急救援相关法律法规的制定、修订和完善，部门职责或应急资源发生变化，或在应急过程中发现存在的问题和出现新的情况，连云生态环境局应会同区政府有关部门及时修订完善本预案，报区人民政府批准。区直有关部门根据本预案的规定，制定本部门职责范围内的具体工作方案。</w:t>
      </w:r>
    </w:p>
    <w:p w14:paraId="01EEF9D8">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预案解释部门</w:t>
      </w:r>
    </w:p>
    <w:p w14:paraId="34A82997">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本预案由连云生态环境局负责解释。</w:t>
      </w:r>
    </w:p>
    <w:p w14:paraId="6F903D3D">
      <w:pPr>
        <w:overflowPunct w:val="0"/>
        <w:snapToGrid/>
        <w:spacing w:line="560" w:lineRule="exact"/>
        <w:ind w:firstLine="633" w:firstLineChars="198"/>
        <w:outlineLvl w:val="1"/>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11.3</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预案施行时间</w:t>
      </w:r>
    </w:p>
    <w:p w14:paraId="750DC619">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本预案自印发之日起施行。</w:t>
      </w:r>
    </w:p>
    <w:p w14:paraId="4816E31D">
      <w:pPr>
        <w:overflowPunct w:val="0"/>
        <w:snapToGrid/>
        <w:spacing w:line="560" w:lineRule="exact"/>
        <w:ind w:firstLine="633" w:firstLineChars="198"/>
        <w:outlineLvl w:val="1"/>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11.4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b/>
          <w:bCs/>
          <w:sz w:val="32"/>
          <w:szCs w:val="32"/>
        </w:rPr>
        <w:t>名词术语</w:t>
      </w:r>
    </w:p>
    <w:p w14:paraId="52EDBD7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危险物质：指《危险化学品目录》中的物质和易燃易爆物品。</w:t>
      </w:r>
    </w:p>
    <w:p w14:paraId="0F53802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危险废物：指列入《国家危险废物名录》或者根据《危险废物鉴别标准和危险废物鉴别技术规范》（GB5085.6-2007）认定的具有危险特性的固体废物。</w:t>
      </w:r>
    </w:p>
    <w:p w14:paraId="5D69A72C">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环境风险源：指可能导致突发环境事件的污染源，以及生产、贮存、经营、使用、运输危险物质或产生、收集、利用、处置危险废物的场所、设备和装置。</w:t>
      </w:r>
    </w:p>
    <w:p w14:paraId="2F425358">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环境敏感区：根据《建设项目环境影响评价分类管理名录》规定，指依法设立的各级各类自然、文化保护地，以及对建设项目的某类污染因子或者生态影响因子特别敏感的区域。</w:t>
      </w:r>
    </w:p>
    <w:p w14:paraId="1FEE3DD1">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环境保护目标：指在突发环境事件应急中，需要保护的环境敏感区域中可能受到影响的对象。</w:t>
      </w:r>
    </w:p>
    <w:p w14:paraId="45A1DB2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环境事件：指由于违反环境保护法律法规的经济、社会活动与行为，以及由于意外因素的影响或不可抗拒的自然灾害等原因致使环境受到污染，生态系统受到干扰，人体健康受到危害，社会财富受到损失，造成不良社会影响的事件。</w:t>
      </w:r>
    </w:p>
    <w:p w14:paraId="4513221E">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次生衍生事件：某一突发公共事件所派生或者因处置不当而引发的环境事件。</w:t>
      </w:r>
    </w:p>
    <w:p w14:paraId="4FF5E2D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突发环境事件：指由于污染物排放或者自然灾害、生产安全事故等因素，导致污染物或者放射性物质等有毒害害物质进入大气、水体、土壤等环境介质，突然造成或者可能造成环境质量下降，危及公众身体健康和财产安全，或者造成生态环境破坏，或者造成重大社会影响，需要采取紧急措施予以应对的事件。</w:t>
      </w:r>
    </w:p>
    <w:p w14:paraId="1A644AB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应急救援：指突发环境事件发生时，采取的消除、减少事件危害和防止事件恶化，最大限度降低事件损失的措施。</w:t>
      </w:r>
    </w:p>
    <w:p w14:paraId="03E64E63">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应急监测：指在环境应急情况下，为发现和查明环境污染情况和污染范围而进行的环境监测，包括定点监测和动态监测。</w:t>
      </w:r>
    </w:p>
    <w:p w14:paraId="5A681B84">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恢复：指在突发环境事件的影响得到初步控制后，为使生产、生活和生态环境尽快恢复到正常状态而采取的措施或行动。</w:t>
      </w:r>
    </w:p>
    <w:p w14:paraId="5F9899CD">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预案：指根据对可能发生的环境事件的类别、危害程度的预测，而制定的突发环境事件应急救援方案。要充分考虑现有物质、人员及环境风险源的具体条件，能及时、有效地统筹指导突发环境事件应急救援行动。</w:t>
      </w:r>
    </w:p>
    <w:p w14:paraId="79DC0CA6">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分类：指根据突发环境事件的发生过程、性质和机理，对不同环境事件划分的类别。</w:t>
      </w:r>
    </w:p>
    <w:p w14:paraId="091FBE5F">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分级：分级指按照突发环境事件严重性、紧急程度及危害程度，对不同环境事件划分的级别。</w:t>
      </w:r>
    </w:p>
    <w:p w14:paraId="59E51C0B">
      <w:pPr>
        <w:overflowPunct w:val="0"/>
        <w:snapToGrid/>
        <w:spacing w:line="560" w:lineRule="exact"/>
        <w:ind w:firstLine="633" w:firstLineChars="19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应急演练：为检验应急预案的有效性、应急准备的完善性、应急响应能力的适应性和应急人员的协同性而进行的一种模拟应急响应的实践活动。根据所涉及的内容和范围的不同，可分为单项演练、综合演练和指挥中心、现场应急组织联合进行的联合演练。</w:t>
      </w:r>
    </w:p>
    <w:p w14:paraId="0AB18C7F">
      <w:pPr>
        <w:overflowPunct w:val="0"/>
        <w:snapToGrid/>
        <w:spacing w:line="560" w:lineRule="exact"/>
        <w:ind w:left="0" w:leftChars="0" w:firstLine="0" w:firstLineChars="0"/>
        <w:rPr>
          <w:rFonts w:hint="default" w:ascii="Times New Roman" w:hAnsi="Times New Roman" w:eastAsia="仿宋_GB2312" w:cs="Times New Roman"/>
          <w:sz w:val="32"/>
          <w:szCs w:val="32"/>
        </w:rPr>
      </w:pPr>
    </w:p>
    <w:p w14:paraId="5A2A7C31">
      <w:pPr>
        <w:overflowPunct w:val="0"/>
        <w:snapToGrid/>
        <w:spacing w:line="560" w:lineRule="exact"/>
        <w:ind w:left="0" w:leftChars="0"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附件：1. </w:t>
      </w:r>
      <w:r>
        <w:rPr>
          <w:rFonts w:hint="default" w:ascii="Times New Roman" w:hAnsi="Times New Roman" w:eastAsia="仿宋_GB2312" w:cs="Times New Roman"/>
          <w:sz w:val="32"/>
          <w:szCs w:val="32"/>
        </w:rPr>
        <w:t>应急指挥体系</w:t>
      </w:r>
    </w:p>
    <w:p w14:paraId="755E4552">
      <w:pPr>
        <w:overflowPunct w:val="0"/>
        <w:snapToGrid/>
        <w:spacing w:line="560" w:lineRule="exact"/>
        <w:ind w:left="0" w:leftChars="0" w:firstLine="1600" w:firstLineChars="5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2. </w:t>
      </w:r>
      <w:r>
        <w:rPr>
          <w:rFonts w:hint="default" w:ascii="Times New Roman" w:hAnsi="Times New Roman" w:eastAsia="仿宋_GB2312" w:cs="Times New Roman"/>
          <w:sz w:val="32"/>
          <w:szCs w:val="32"/>
        </w:rPr>
        <w:t>环境应急专家组</w:t>
      </w:r>
    </w:p>
    <w:p w14:paraId="12C33E2A">
      <w:pPr>
        <w:overflowPunct w:val="0"/>
        <w:snapToGrid/>
        <w:spacing w:line="560" w:lineRule="exact"/>
        <w:ind w:left="0" w:leftChars="0" w:firstLine="1600" w:firstLineChars="500"/>
        <w:jc w:val="both"/>
        <w:outlineLvl w:val="0"/>
        <w:rPr>
          <w:rFonts w:hint="default" w:ascii="Times New Roman" w:hAnsi="Times New Roman" w:eastAsia="方正小标宋_GBK" w:cs="Times New Roman"/>
          <w:b w:val="0"/>
          <w:bCs w:val="0"/>
          <w:sz w:val="44"/>
          <w:szCs w:val="44"/>
        </w:rPr>
      </w:pPr>
      <w:r>
        <w:rPr>
          <w:rFonts w:hint="eastAsia" w:ascii="Times New Roman" w:hAnsi="Times New Roman" w:eastAsia="仿宋_GB2312" w:cs="Times New Roman"/>
          <w:sz w:val="32"/>
          <w:szCs w:val="32"/>
          <w:lang w:val="en-US" w:eastAsia="zh-CN"/>
        </w:rPr>
        <w:t xml:space="preserve">3. </w:t>
      </w:r>
      <w:r>
        <w:rPr>
          <w:rFonts w:hint="default" w:ascii="Times New Roman" w:hAnsi="Times New Roman" w:eastAsia="仿宋_GB2312" w:cs="Times New Roman"/>
          <w:sz w:val="32"/>
          <w:szCs w:val="32"/>
        </w:rPr>
        <w:t>连云区突发环境事件信息报送表</w:t>
      </w:r>
    </w:p>
    <w:p w14:paraId="382C5356">
      <w:pPr>
        <w:overflowPunct w:val="0"/>
        <w:snapToGrid/>
        <w:spacing w:line="560" w:lineRule="exact"/>
        <w:ind w:firstLine="1507" w:firstLineChars="471"/>
        <w:rPr>
          <w:rFonts w:hint="default" w:ascii="Times New Roman" w:hAnsi="Times New Roman" w:eastAsia="仿宋_GB2312" w:cs="Times New Roman"/>
          <w:sz w:val="32"/>
          <w:szCs w:val="32"/>
          <w:lang w:val="en-US" w:eastAsia="zh-CN"/>
        </w:rPr>
        <w:sectPr>
          <w:footerReference r:id="rId13" w:type="default"/>
          <w:footerReference r:id="rId14" w:type="even"/>
          <w:pgSz w:w="11905" w:h="16838"/>
          <w:pgMar w:top="1701" w:right="1417" w:bottom="1417" w:left="1474" w:header="720" w:footer="1474" w:gutter="0"/>
          <w:pgNumType w:fmt="decimal" w:start="1"/>
          <w:cols w:space="720" w:num="1"/>
          <w:rtlGutter w:val="0"/>
          <w:docGrid w:type="linesAndChars" w:linePitch="597" w:charSpace="204"/>
        </w:sectPr>
      </w:pPr>
    </w:p>
    <w:p w14:paraId="51B5CCE6">
      <w:pPr>
        <w:overflowPunct w:val="0"/>
        <w:snapToGrid/>
        <w:spacing w:line="560" w:lineRule="exact"/>
        <w:ind w:left="0" w:leftChars="0" w:firstLine="0" w:firstLineChars="0"/>
        <w:outlineLvl w:val="0"/>
        <w:rPr>
          <w:rFonts w:hint="default" w:ascii="Times New Roman" w:hAnsi="Times New Roman" w:eastAsia="黑体" w:cs="Times New Roman"/>
          <w:b w:val="0"/>
          <w:bCs w:val="0"/>
          <w:sz w:val="32"/>
          <w:szCs w:val="32"/>
          <w:lang w:val="en-US" w:eastAsia="zh-CN"/>
        </w:rPr>
      </w:pPr>
      <w:bookmarkStart w:id="23" w:name="_Toc44582169"/>
      <w:bookmarkStart w:id="24" w:name="_Toc59787247"/>
      <w:bookmarkStart w:id="25" w:name="_Toc44670172"/>
      <w:bookmarkStart w:id="26" w:name="_Toc34404700"/>
      <w:bookmarkStart w:id="27" w:name="_Toc11761315"/>
      <w:r>
        <w:rPr>
          <w:rFonts w:hint="default" w:ascii="Times New Roman" w:hAnsi="Times New Roman" w:eastAsia="黑体" w:cs="Times New Roman"/>
          <w:b w:val="0"/>
          <w:bCs w:val="0"/>
          <w:sz w:val="32"/>
          <w:szCs w:val="32"/>
          <w:lang w:val="en-US" w:eastAsia="zh-CN"/>
        </w:rPr>
        <w:t>附件1</w:t>
      </w:r>
    </w:p>
    <w:p w14:paraId="4DB24293">
      <w:pPr>
        <w:overflowPunct w:val="0"/>
        <w:snapToGrid/>
        <w:spacing w:line="560" w:lineRule="exact"/>
        <w:ind w:left="0" w:leftChars="0" w:firstLine="0" w:firstLineChars="0"/>
        <w:jc w:val="center"/>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应急指挥体系</w:t>
      </w:r>
      <w:bookmarkEnd w:id="23"/>
      <w:bookmarkEnd w:id="24"/>
      <w:bookmarkEnd w:id="25"/>
      <w:bookmarkEnd w:id="26"/>
      <w:bookmarkEnd w:id="27"/>
    </w:p>
    <w:p w14:paraId="41B46D1F">
      <w:pPr>
        <w:spacing w:line="240" w:lineRule="auto"/>
        <w:ind w:left="0" w:leftChars="0" w:firstLine="0" w:firstLineChars="0"/>
        <w:rPr>
          <w:rFonts w:hint="default" w:ascii="Times New Roman" w:hAnsi="Times New Roman" w:eastAsia="宋体" w:cs="Times New Roman"/>
          <w:sz w:val="32"/>
          <w:szCs w:val="32"/>
        </w:rPr>
      </w:pPr>
      <w:r>
        <w:rPr>
          <w:rFonts w:hint="default" w:ascii="Times New Roman" w:hAnsi="Times New Roman" w:cs="Times New Roman"/>
        </w:rPr>
        <w:drawing>
          <wp:anchor distT="0" distB="0" distL="114300" distR="114300" simplePos="0" relativeHeight="251659264" behindDoc="0" locked="0" layoutInCell="1" allowOverlap="1">
            <wp:simplePos x="0" y="0"/>
            <wp:positionH relativeFrom="column">
              <wp:posOffset>0</wp:posOffset>
            </wp:positionH>
            <wp:positionV relativeFrom="paragraph">
              <wp:posOffset>373380</wp:posOffset>
            </wp:positionV>
            <wp:extent cx="5749290" cy="6036310"/>
            <wp:effectExtent l="0" t="0" r="3810" b="2540"/>
            <wp:wrapSquare wrapText="bothSides"/>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23"/>
                    <a:stretch>
                      <a:fillRect/>
                    </a:stretch>
                  </pic:blipFill>
                  <pic:spPr>
                    <a:xfrm>
                      <a:off x="0" y="0"/>
                      <a:ext cx="5749290" cy="6036310"/>
                    </a:xfrm>
                    <a:prstGeom prst="rect">
                      <a:avLst/>
                    </a:prstGeom>
                    <a:noFill/>
                    <a:ln>
                      <a:noFill/>
                    </a:ln>
                  </pic:spPr>
                </pic:pic>
              </a:graphicData>
            </a:graphic>
          </wp:anchor>
        </w:drawing>
      </w:r>
    </w:p>
    <w:p w14:paraId="24C5FCB9">
      <w:pPr>
        <w:ind w:firstLine="560"/>
        <w:rPr>
          <w:rFonts w:hint="default" w:ascii="Times New Roman" w:hAnsi="Times New Roman" w:eastAsia="宋体" w:cs="Times New Roman"/>
          <w:sz w:val="32"/>
          <w:szCs w:val="32"/>
        </w:rPr>
      </w:pPr>
    </w:p>
    <w:p w14:paraId="26EF0F45">
      <w:pPr>
        <w:overflowPunct w:val="0"/>
        <w:snapToGrid/>
        <w:spacing w:line="560" w:lineRule="exact"/>
        <w:ind w:firstLine="560"/>
        <w:rPr>
          <w:rFonts w:hint="default" w:ascii="Times New Roman" w:hAnsi="Times New Roman" w:eastAsia="宋体" w:cs="Times New Roman"/>
          <w:sz w:val="32"/>
          <w:szCs w:val="32"/>
        </w:rPr>
        <w:sectPr>
          <w:footerReference r:id="rId15" w:type="default"/>
          <w:footerReference r:id="rId16" w:type="even"/>
          <w:pgSz w:w="11905" w:h="16838"/>
          <w:pgMar w:top="1701" w:right="1417" w:bottom="1417" w:left="1474" w:header="720" w:footer="1474" w:gutter="0"/>
          <w:pgNumType w:fmt="decimal"/>
          <w:cols w:space="720" w:num="1"/>
          <w:rtlGutter w:val="0"/>
          <w:docGrid w:type="linesAndChars" w:linePitch="597" w:charSpace="204"/>
        </w:sectPr>
      </w:pPr>
    </w:p>
    <w:p w14:paraId="3CEC6934">
      <w:pPr>
        <w:overflowPunct w:val="0"/>
        <w:snapToGrid/>
        <w:spacing w:line="560" w:lineRule="exact"/>
        <w:ind w:left="0" w:leftChars="0" w:firstLine="0" w:firstLineChars="0"/>
        <w:outlineLvl w:val="0"/>
        <w:rPr>
          <w:rFonts w:hint="default" w:ascii="Times New Roman" w:hAnsi="Times New Roman" w:eastAsia="黑体" w:cs="Times New Roman"/>
          <w:b w:val="0"/>
          <w:bCs w:val="0"/>
          <w:sz w:val="32"/>
          <w:szCs w:val="32"/>
          <w:lang w:val="en-US" w:eastAsia="zh-CN"/>
        </w:rPr>
      </w:pPr>
      <w:bookmarkStart w:id="28" w:name="_Toc34404701"/>
      <w:bookmarkStart w:id="29" w:name="_Toc11761316"/>
      <w:bookmarkStart w:id="30" w:name="_Toc44582170"/>
      <w:bookmarkStart w:id="31" w:name="_Toc59787248"/>
      <w:bookmarkStart w:id="32" w:name="_Toc44670173"/>
      <w:r>
        <w:rPr>
          <w:rFonts w:hint="default" w:ascii="Times New Roman" w:hAnsi="Times New Roman" w:eastAsia="黑体" w:cs="Times New Roman"/>
          <w:b w:val="0"/>
          <w:bCs w:val="0"/>
          <w:sz w:val="32"/>
          <w:szCs w:val="32"/>
          <w:lang w:val="en-US" w:eastAsia="zh-CN"/>
        </w:rPr>
        <w:t>附件2</w:t>
      </w:r>
    </w:p>
    <w:p w14:paraId="0CFB5CAF">
      <w:pPr>
        <w:overflowPunct w:val="0"/>
        <w:snapToGrid/>
        <w:spacing w:line="560" w:lineRule="exact"/>
        <w:ind w:left="0" w:leftChars="0" w:firstLine="0" w:firstLineChars="0"/>
        <w:jc w:val="center"/>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环境应急专家</w:t>
      </w:r>
      <w:bookmarkEnd w:id="28"/>
      <w:bookmarkEnd w:id="29"/>
      <w:bookmarkEnd w:id="30"/>
      <w:r>
        <w:rPr>
          <w:rFonts w:hint="default" w:ascii="Times New Roman" w:hAnsi="Times New Roman" w:eastAsia="方正小标宋_GBK" w:cs="Times New Roman"/>
          <w:b w:val="0"/>
          <w:bCs w:val="0"/>
          <w:sz w:val="44"/>
          <w:szCs w:val="44"/>
        </w:rPr>
        <w:t>组</w:t>
      </w:r>
      <w:bookmarkEnd w:id="31"/>
      <w:bookmarkEnd w:id="32"/>
    </w:p>
    <w:p w14:paraId="42A9677D">
      <w:pPr>
        <w:pStyle w:val="50"/>
        <w:snapToGrid w:val="0"/>
        <w:spacing w:line="560" w:lineRule="exact"/>
        <w:ind w:firstLine="560"/>
        <w:jc w:val="left"/>
        <w:rPr>
          <w:rFonts w:hint="default" w:ascii="Times New Roman" w:hAnsi="Times New Roman" w:eastAsia="宋体" w:cs="Times New Roman"/>
          <w:snapToGrid w:val="0"/>
          <w:sz w:val="32"/>
          <w:szCs w:val="32"/>
        </w:rPr>
      </w:pPr>
    </w:p>
    <w:p w14:paraId="71F3FC59">
      <w:pPr>
        <w:pStyle w:val="50"/>
        <w:snapToGrid w:val="0"/>
        <w:spacing w:line="560" w:lineRule="exact"/>
        <w:ind w:firstLine="560"/>
        <w:jc w:val="left"/>
        <w:rPr>
          <w:rFonts w:hint="default" w:ascii="Times New Roman" w:hAnsi="Times New Roman" w:eastAsia="宋体" w:cs="Times New Roman"/>
          <w:snapToGrid w:val="0"/>
          <w:sz w:val="32"/>
          <w:szCs w:val="32"/>
        </w:rPr>
      </w:pPr>
      <w:r>
        <w:rPr>
          <w:rFonts w:hint="default" w:ascii="Times New Roman" w:hAnsi="Times New Roman" w:eastAsia="宋体" w:cs="Times New Roman"/>
          <w:snapToGrid w:val="0"/>
          <w:sz w:val="32"/>
          <w:szCs w:val="32"/>
        </w:rPr>
        <w:t>连云区环境应急专家库基于</w:t>
      </w:r>
      <w:bookmarkStart w:id="33" w:name="_Hlk162270840"/>
      <w:r>
        <w:rPr>
          <w:rFonts w:hint="default" w:ascii="Times New Roman" w:hAnsi="Times New Roman" w:eastAsia="宋体" w:cs="Times New Roman"/>
          <w:snapToGrid w:val="0"/>
          <w:sz w:val="32"/>
          <w:szCs w:val="32"/>
        </w:rPr>
        <w:t>江苏省生态环境厅公布的江苏省环境应急专家库成员（苏环办</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2023</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203号）、连云港市生态环境局发布的连云港市环境应急专家库名单（连环发</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2022</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254号）</w:t>
      </w:r>
      <w:bookmarkEnd w:id="33"/>
      <w:r>
        <w:rPr>
          <w:rFonts w:hint="default" w:ascii="Times New Roman" w:hAnsi="Times New Roman" w:eastAsia="宋体" w:cs="Times New Roman"/>
          <w:snapToGrid w:val="0"/>
          <w:sz w:val="32"/>
          <w:szCs w:val="32"/>
        </w:rPr>
        <w:t>，同时可按突发环境事件情形及事故处置需求聘请科研单位、高等院校、驻军、重点事业、企业单位环境监测、环境评估、环境保护、危险化学品、防化、水利水文、气象、船舶污染、损害索赔等相关专家，并将其中具备丰富事故处置经验的专家纳入区环境应急专家库。</w:t>
      </w:r>
    </w:p>
    <w:p w14:paraId="23C35932">
      <w:pPr>
        <w:pStyle w:val="51"/>
        <w:snapToGrid w:val="0"/>
        <w:spacing w:line="440" w:lineRule="exact"/>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省级环境应急专家组名单（排名按姓氏拼音）</w:t>
      </w:r>
    </w:p>
    <w:tbl>
      <w:tblPr>
        <w:tblStyle w:val="1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686"/>
        <w:gridCol w:w="1135"/>
        <w:gridCol w:w="1254"/>
        <w:gridCol w:w="2983"/>
        <w:gridCol w:w="1442"/>
        <w:gridCol w:w="1520"/>
      </w:tblGrid>
      <w:tr w14:paraId="6B210B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bottom w:val="single" w:color="000000" w:sz="6" w:space="0"/>
              <w:right w:val="single" w:color="000000" w:sz="6" w:space="0"/>
            </w:tcBorders>
            <w:noWrap w:val="0"/>
            <w:vAlign w:val="center"/>
          </w:tcPr>
          <w:p w14:paraId="17A527E5">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序号</w:t>
            </w:r>
          </w:p>
        </w:tc>
        <w:tc>
          <w:tcPr>
            <w:tcW w:w="629" w:type="pct"/>
            <w:tcBorders>
              <w:left w:val="single" w:color="000000" w:sz="6" w:space="0"/>
              <w:bottom w:val="single" w:color="000000" w:sz="6" w:space="0"/>
              <w:right w:val="single" w:color="000000" w:sz="6" w:space="0"/>
            </w:tcBorders>
            <w:noWrap w:val="0"/>
            <w:vAlign w:val="center"/>
          </w:tcPr>
          <w:p w14:paraId="18AA54E8">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姓名</w:t>
            </w:r>
          </w:p>
        </w:tc>
        <w:tc>
          <w:tcPr>
            <w:tcW w:w="695" w:type="pct"/>
            <w:tcBorders>
              <w:left w:val="single" w:color="000000" w:sz="6" w:space="0"/>
              <w:bottom w:val="single" w:color="000000" w:sz="6" w:space="0"/>
              <w:right w:val="single" w:color="000000" w:sz="6" w:space="0"/>
            </w:tcBorders>
            <w:noWrap w:val="0"/>
            <w:vAlign w:val="center"/>
          </w:tcPr>
          <w:p w14:paraId="420A8633">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擅长领域</w:t>
            </w:r>
          </w:p>
        </w:tc>
        <w:tc>
          <w:tcPr>
            <w:tcW w:w="1653" w:type="pct"/>
            <w:tcBorders>
              <w:left w:val="single" w:color="000000" w:sz="6" w:space="0"/>
              <w:bottom w:val="single" w:color="000000" w:sz="6" w:space="0"/>
              <w:right w:val="single" w:color="000000" w:sz="6" w:space="0"/>
            </w:tcBorders>
            <w:noWrap w:val="0"/>
            <w:vAlign w:val="center"/>
          </w:tcPr>
          <w:p w14:paraId="303DD0CE">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单位</w:t>
            </w:r>
          </w:p>
        </w:tc>
        <w:tc>
          <w:tcPr>
            <w:tcW w:w="799" w:type="pct"/>
            <w:tcBorders>
              <w:left w:val="single" w:color="000000" w:sz="6" w:space="0"/>
              <w:bottom w:val="single" w:color="000000" w:sz="6" w:space="0"/>
              <w:right w:val="single" w:color="000000" w:sz="6" w:space="0"/>
            </w:tcBorders>
            <w:noWrap w:val="0"/>
            <w:vAlign w:val="center"/>
          </w:tcPr>
          <w:p w14:paraId="5A600C27">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资质职称</w:t>
            </w:r>
          </w:p>
        </w:tc>
        <w:tc>
          <w:tcPr>
            <w:tcW w:w="842" w:type="pct"/>
            <w:tcBorders>
              <w:left w:val="single" w:color="000000" w:sz="6" w:space="0"/>
              <w:bottom w:val="single" w:color="000000" w:sz="6" w:space="0"/>
            </w:tcBorders>
            <w:noWrap w:val="0"/>
            <w:vAlign w:val="center"/>
          </w:tcPr>
          <w:p w14:paraId="501CDBAF">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手机</w:t>
            </w:r>
          </w:p>
        </w:tc>
      </w:tr>
      <w:tr w14:paraId="2AD3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052A2F5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0E32E08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陈程</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31FA64B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6AD4B9C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4905747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3D9530EB">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158******99</w:t>
            </w:r>
          </w:p>
        </w:tc>
      </w:tr>
      <w:tr w14:paraId="4F544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204FD5D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2</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A45EBAA">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董军玲</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4652858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风险评估、环境管理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62CD5E8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3F2DAC7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2F79E4D1">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189******98</w:t>
            </w:r>
          </w:p>
        </w:tc>
      </w:tr>
      <w:tr w14:paraId="6E42DD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6E0DED10">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3</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6413C8C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贺心然</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373ABAE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70C5F5F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5B1890B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研究员级高工</w:t>
            </w:r>
          </w:p>
        </w:tc>
        <w:tc>
          <w:tcPr>
            <w:tcW w:w="842" w:type="pct"/>
            <w:tcBorders>
              <w:top w:val="single" w:color="000000" w:sz="6" w:space="0"/>
              <w:left w:val="single" w:color="000000" w:sz="6" w:space="0"/>
              <w:bottom w:val="single" w:color="000000" w:sz="6" w:space="0"/>
            </w:tcBorders>
            <w:noWrap w:val="0"/>
            <w:vAlign w:val="center"/>
          </w:tcPr>
          <w:p w14:paraId="307A0077">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138******79</w:t>
            </w:r>
          </w:p>
        </w:tc>
      </w:tr>
      <w:tr w14:paraId="2CB0BB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3C85724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4</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43BC96C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姜玲</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6A5B18BA">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336FAD5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68FED7F9">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w:t>
            </w:r>
          </w:p>
        </w:tc>
        <w:tc>
          <w:tcPr>
            <w:tcW w:w="842" w:type="pct"/>
            <w:tcBorders>
              <w:top w:val="single" w:color="000000" w:sz="6" w:space="0"/>
              <w:left w:val="single" w:color="000000" w:sz="6" w:space="0"/>
              <w:bottom w:val="single" w:color="000000" w:sz="6" w:space="0"/>
            </w:tcBorders>
            <w:noWrap w:val="0"/>
            <w:vAlign w:val="center"/>
          </w:tcPr>
          <w:p w14:paraId="57591CB4">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138******38</w:t>
            </w:r>
          </w:p>
        </w:tc>
      </w:tr>
      <w:tr w14:paraId="342D76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31CDE11E">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5</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70AFF28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金盛杨</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0A2BD15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土壤环境污染调查评估</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2C785B1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连云港市生态环境局开发区分局</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3E580FC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26AB6884">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135******20</w:t>
            </w:r>
          </w:p>
        </w:tc>
      </w:tr>
      <w:tr w14:paraId="4428A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764F902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6</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4EDFA62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林浩宇</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3FE006E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环境监测、盐化工工艺</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46661C9E">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044A0221">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w:t>
            </w:r>
          </w:p>
        </w:tc>
        <w:tc>
          <w:tcPr>
            <w:tcW w:w="842" w:type="pct"/>
            <w:tcBorders>
              <w:top w:val="single" w:color="000000" w:sz="6" w:space="0"/>
              <w:left w:val="single" w:color="000000" w:sz="6" w:space="0"/>
              <w:bottom w:val="single" w:color="000000" w:sz="6" w:space="0"/>
            </w:tcBorders>
            <w:noWrap w:val="0"/>
            <w:vAlign w:val="center"/>
          </w:tcPr>
          <w:p w14:paraId="0AA228C1">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138******60</w:t>
            </w:r>
          </w:p>
        </w:tc>
      </w:tr>
      <w:tr w14:paraId="1C8EF0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4B79ACD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7</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57025D0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时红霞</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5DE0F7F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1496398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连云港市东海生态环境监测站</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5ED1AAC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6BF87BA9">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158******98</w:t>
            </w:r>
          </w:p>
        </w:tc>
      </w:tr>
      <w:tr w14:paraId="4DCE7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2B3A5AE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8</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5D4B686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王彬斌</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6F07456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生态损害评估、环境监测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61EFDF6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连云港市污染防治攻坚办</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58709AD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3A800D81">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138******22</w:t>
            </w:r>
          </w:p>
        </w:tc>
      </w:tr>
      <w:tr w14:paraId="220FF4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68250180">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9</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26C0204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王勋跃</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472C17F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环境风险评估</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48F0A81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江苏绿源工程设计研究有限公司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540B37C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688576BC">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189******10</w:t>
            </w:r>
          </w:p>
        </w:tc>
      </w:tr>
      <w:tr w14:paraId="40B45F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71148BF0">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10</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4C2E6F8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吴刚</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38EB725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环境科研、污染治理修复</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2BF37FA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连云港市环境科学学会</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14E6E50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7E0494F7">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137******70</w:t>
            </w:r>
          </w:p>
        </w:tc>
      </w:tr>
      <w:tr w14:paraId="5B8A9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5C601209">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11</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23394A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徐传江</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656F37D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生态修复与管理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5ABB125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连云港市生态环境行政综合执法局（退休）</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7DA571A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26E8511F">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136******89</w:t>
            </w:r>
          </w:p>
        </w:tc>
      </w:tr>
      <w:tr w14:paraId="48A492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017EBA4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12</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4DDA589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杨超喜</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7968979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生态修复与管理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2459794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连云港龙展环保科技有限公司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2EB85251">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764E511B">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150******66</w:t>
            </w:r>
          </w:p>
        </w:tc>
      </w:tr>
    </w:tbl>
    <w:p w14:paraId="7710138C">
      <w:pPr>
        <w:pStyle w:val="51"/>
        <w:snapToGrid w:val="0"/>
        <w:spacing w:line="440" w:lineRule="exact"/>
        <w:rPr>
          <w:rFonts w:hint="default" w:ascii="Times New Roman" w:hAnsi="Times New Roman" w:eastAsia="宋体" w:cs="Times New Roman"/>
          <w:b/>
          <w:sz w:val="32"/>
          <w:szCs w:val="32"/>
        </w:rPr>
      </w:pPr>
    </w:p>
    <w:p w14:paraId="0B692196">
      <w:pPr>
        <w:pStyle w:val="51"/>
        <w:snapToGrid w:val="0"/>
        <w:spacing w:line="440" w:lineRule="exact"/>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市级环境应急专家组名单（排名按姓氏拼音）</w:t>
      </w:r>
    </w:p>
    <w:tbl>
      <w:tblPr>
        <w:tblStyle w:val="15"/>
        <w:tblW w:w="503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53"/>
        <w:gridCol w:w="828"/>
        <w:gridCol w:w="1679"/>
        <w:gridCol w:w="2138"/>
        <w:gridCol w:w="2745"/>
        <w:gridCol w:w="1348"/>
      </w:tblGrid>
      <w:tr w14:paraId="2E6A3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3475C957">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序号</w:t>
            </w:r>
          </w:p>
        </w:tc>
        <w:tc>
          <w:tcPr>
            <w:tcW w:w="455" w:type="pct"/>
            <w:tcBorders>
              <w:left w:val="single" w:color="000000" w:sz="6" w:space="0"/>
              <w:bottom w:val="single" w:color="000000" w:sz="6" w:space="0"/>
              <w:right w:val="single" w:color="000000" w:sz="6" w:space="0"/>
            </w:tcBorders>
            <w:noWrap w:val="0"/>
            <w:vAlign w:val="center"/>
          </w:tcPr>
          <w:p w14:paraId="672D3425">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姓名</w:t>
            </w:r>
          </w:p>
        </w:tc>
        <w:tc>
          <w:tcPr>
            <w:tcW w:w="923" w:type="pct"/>
            <w:tcBorders>
              <w:left w:val="single" w:color="000000" w:sz="6" w:space="0"/>
              <w:bottom w:val="single" w:color="000000" w:sz="6" w:space="0"/>
              <w:right w:val="single" w:color="000000" w:sz="6" w:space="0"/>
            </w:tcBorders>
            <w:noWrap w:val="0"/>
            <w:vAlign w:val="center"/>
          </w:tcPr>
          <w:p w14:paraId="5E447388">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单位</w:t>
            </w:r>
          </w:p>
        </w:tc>
        <w:tc>
          <w:tcPr>
            <w:tcW w:w="1175" w:type="pct"/>
            <w:tcBorders>
              <w:left w:val="single" w:color="000000" w:sz="6" w:space="0"/>
              <w:bottom w:val="single" w:color="000000" w:sz="6" w:space="0"/>
              <w:right w:val="single" w:color="000000" w:sz="6" w:space="0"/>
            </w:tcBorders>
            <w:noWrap w:val="0"/>
            <w:vAlign w:val="center"/>
          </w:tcPr>
          <w:p w14:paraId="0EEB20E5">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技术职称</w:t>
            </w:r>
          </w:p>
        </w:tc>
        <w:tc>
          <w:tcPr>
            <w:tcW w:w="1509" w:type="pct"/>
            <w:tcBorders>
              <w:left w:val="single" w:color="000000" w:sz="6" w:space="0"/>
              <w:bottom w:val="single" w:color="000000" w:sz="6" w:space="0"/>
              <w:right w:val="single" w:color="000000" w:sz="6" w:space="0"/>
            </w:tcBorders>
            <w:noWrap w:val="0"/>
            <w:vAlign w:val="center"/>
          </w:tcPr>
          <w:p w14:paraId="0ED55DC9">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擅长领域</w:t>
            </w:r>
          </w:p>
        </w:tc>
        <w:tc>
          <w:tcPr>
            <w:tcW w:w="741" w:type="pct"/>
            <w:tcBorders>
              <w:left w:val="single" w:color="000000" w:sz="6" w:space="0"/>
              <w:bottom w:val="single" w:color="000000" w:sz="6" w:space="0"/>
            </w:tcBorders>
            <w:noWrap w:val="0"/>
            <w:vAlign w:val="center"/>
          </w:tcPr>
          <w:p w14:paraId="57792458">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手机</w:t>
            </w:r>
          </w:p>
        </w:tc>
      </w:tr>
      <w:tr w14:paraId="5A15C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BE269D9">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F638D1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陈克雷</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DF156B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14757F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F68067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环境工程、化学、环境风险评价、应急管理环境影响评价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3E80453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138******98</w:t>
            </w:r>
          </w:p>
        </w:tc>
      </w:tr>
      <w:tr w14:paraId="77D9D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10C1581">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5A46AA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陈文宾</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8E6606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6BE6BA5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B38BE2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环境科学、环境监测、精细化工、环境风险评价</w:t>
            </w:r>
          </w:p>
        </w:tc>
        <w:tc>
          <w:tcPr>
            <w:tcW w:w="741" w:type="pct"/>
            <w:tcBorders>
              <w:top w:val="single" w:color="000000" w:sz="6" w:space="0"/>
              <w:left w:val="single" w:color="000000" w:sz="6" w:space="0"/>
              <w:bottom w:val="single" w:color="000000" w:sz="6" w:space="0"/>
            </w:tcBorders>
            <w:noWrap w:val="0"/>
            <w:vAlign w:val="center"/>
          </w:tcPr>
          <w:p w14:paraId="7CEC184B">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133******79</w:t>
            </w:r>
          </w:p>
        </w:tc>
      </w:tr>
      <w:tr w14:paraId="463C62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3A1D8A0">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2F2F81A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迟程</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6AFC841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连云港生态环境局开发区分局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69BF7BB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20FDA4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环境工程、环境监测、环境风险评价、化学</w:t>
            </w:r>
          </w:p>
        </w:tc>
        <w:tc>
          <w:tcPr>
            <w:tcW w:w="741" w:type="pct"/>
            <w:tcBorders>
              <w:top w:val="single" w:color="000000" w:sz="6" w:space="0"/>
              <w:left w:val="single" w:color="000000" w:sz="6" w:space="0"/>
              <w:bottom w:val="single" w:color="000000" w:sz="6" w:space="0"/>
            </w:tcBorders>
            <w:noWrap w:val="0"/>
            <w:vAlign w:val="center"/>
          </w:tcPr>
          <w:p w14:paraId="109F53B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138******60</w:t>
            </w:r>
          </w:p>
        </w:tc>
      </w:tr>
      <w:tr w14:paraId="76F89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CDEB834">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EF1727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费文丽</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FF666D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664FCD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教授级高工（工业分析）</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6D36594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环境工程、环境风险评价、化学、精细化工</w:t>
            </w:r>
          </w:p>
        </w:tc>
        <w:tc>
          <w:tcPr>
            <w:tcW w:w="741" w:type="pct"/>
            <w:tcBorders>
              <w:top w:val="single" w:color="000000" w:sz="6" w:space="0"/>
              <w:left w:val="single" w:color="000000" w:sz="6" w:space="0"/>
              <w:bottom w:val="single" w:color="000000" w:sz="6" w:space="0"/>
            </w:tcBorders>
            <w:noWrap w:val="0"/>
            <w:vAlign w:val="center"/>
          </w:tcPr>
          <w:p w14:paraId="0C0ADC3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188******66</w:t>
            </w:r>
          </w:p>
        </w:tc>
      </w:tr>
      <w:tr w14:paraId="6E5FA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0ABD098A">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1CD2AE4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付玉梅</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1700F4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3CF0FB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4A2129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环境科学、环境风险评价、应急管理环境影响评价、环境监测</w:t>
            </w:r>
          </w:p>
        </w:tc>
        <w:tc>
          <w:tcPr>
            <w:tcW w:w="741" w:type="pct"/>
            <w:tcBorders>
              <w:top w:val="single" w:color="000000" w:sz="6" w:space="0"/>
              <w:left w:val="single" w:color="000000" w:sz="6" w:space="0"/>
              <w:bottom w:val="single" w:color="000000" w:sz="6" w:space="0"/>
            </w:tcBorders>
            <w:noWrap w:val="0"/>
            <w:vAlign w:val="center"/>
          </w:tcPr>
          <w:p w14:paraId="4CEF1A0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139******61</w:t>
            </w:r>
          </w:p>
        </w:tc>
      </w:tr>
      <w:tr w14:paraId="47E65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F4A11D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89B252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胡俊杰</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49869A9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3040CEA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高级工程师（化学工艺）</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650E04F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应急管理化学、环境工程、精细化工、化学工程与工艺</w:t>
            </w:r>
          </w:p>
        </w:tc>
        <w:tc>
          <w:tcPr>
            <w:tcW w:w="741" w:type="pct"/>
            <w:tcBorders>
              <w:top w:val="single" w:color="000000" w:sz="6" w:space="0"/>
              <w:left w:val="single" w:color="000000" w:sz="6" w:space="0"/>
              <w:bottom w:val="single" w:color="000000" w:sz="6" w:space="0"/>
            </w:tcBorders>
            <w:noWrap w:val="0"/>
            <w:vAlign w:val="center"/>
          </w:tcPr>
          <w:p w14:paraId="1B303B57">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136******08</w:t>
            </w:r>
          </w:p>
        </w:tc>
      </w:tr>
      <w:tr w14:paraId="5AA638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43B515B0">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2FB08A3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李金鑫</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551B92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江苏赛科化学有限公司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0F17D1D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CD9947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4A213EF1">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189******06</w:t>
            </w:r>
          </w:p>
        </w:tc>
      </w:tr>
      <w:tr w14:paraId="7C9DF5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BD1C836">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8</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2F35635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李征芳</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A8E668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9F8453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80A631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环境工程、应急管理、精细化工、环境风险评价</w:t>
            </w:r>
          </w:p>
        </w:tc>
        <w:tc>
          <w:tcPr>
            <w:tcW w:w="741" w:type="pct"/>
            <w:tcBorders>
              <w:top w:val="single" w:color="000000" w:sz="6" w:space="0"/>
              <w:left w:val="single" w:color="000000" w:sz="6" w:space="0"/>
              <w:bottom w:val="single" w:color="000000" w:sz="6" w:space="0"/>
            </w:tcBorders>
            <w:noWrap w:val="0"/>
            <w:vAlign w:val="center"/>
          </w:tcPr>
          <w:p w14:paraId="1FFB111E">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138******80</w:t>
            </w:r>
          </w:p>
        </w:tc>
      </w:tr>
      <w:tr w14:paraId="46EA55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16157DF7">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9</w:t>
            </w:r>
          </w:p>
        </w:tc>
        <w:tc>
          <w:tcPr>
            <w:tcW w:w="455" w:type="pct"/>
            <w:tcBorders>
              <w:top w:val="single" w:color="000000" w:sz="6" w:space="0"/>
              <w:left w:val="single" w:color="000000" w:sz="6" w:space="0"/>
              <w:right w:val="single" w:color="000000" w:sz="6" w:space="0"/>
            </w:tcBorders>
            <w:noWrap w:val="0"/>
            <w:vAlign w:val="center"/>
          </w:tcPr>
          <w:p w14:paraId="50B0390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凌盼盼</w:t>
            </w:r>
          </w:p>
        </w:tc>
        <w:tc>
          <w:tcPr>
            <w:tcW w:w="923" w:type="pct"/>
            <w:tcBorders>
              <w:top w:val="single" w:color="000000" w:sz="6" w:space="0"/>
              <w:left w:val="single" w:color="000000" w:sz="6" w:space="0"/>
              <w:right w:val="single" w:color="000000" w:sz="6" w:space="0"/>
            </w:tcBorders>
            <w:noWrap w:val="0"/>
            <w:vAlign w:val="center"/>
          </w:tcPr>
          <w:p w14:paraId="1F31789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1175" w:type="pct"/>
            <w:tcBorders>
              <w:top w:val="single" w:color="000000" w:sz="6" w:space="0"/>
              <w:left w:val="single" w:color="000000" w:sz="6" w:space="0"/>
              <w:right w:val="single" w:color="000000" w:sz="6" w:space="0"/>
            </w:tcBorders>
            <w:noWrap w:val="0"/>
            <w:vAlign w:val="center"/>
          </w:tcPr>
          <w:p w14:paraId="3985657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top w:val="single" w:color="000000" w:sz="6" w:space="0"/>
              <w:left w:val="single" w:color="000000" w:sz="6" w:space="0"/>
              <w:right w:val="single" w:color="000000" w:sz="6" w:space="0"/>
            </w:tcBorders>
            <w:noWrap w:val="0"/>
            <w:vAlign w:val="center"/>
          </w:tcPr>
          <w:p w14:paraId="3F0C9DC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w:t>
            </w:r>
          </w:p>
        </w:tc>
        <w:tc>
          <w:tcPr>
            <w:tcW w:w="741" w:type="pct"/>
            <w:tcBorders>
              <w:top w:val="single" w:color="000000" w:sz="6" w:space="0"/>
              <w:left w:val="single" w:color="000000" w:sz="6" w:space="0"/>
            </w:tcBorders>
            <w:noWrap w:val="0"/>
            <w:vAlign w:val="center"/>
          </w:tcPr>
          <w:p w14:paraId="65E6B2E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150******80</w:t>
            </w:r>
          </w:p>
        </w:tc>
      </w:tr>
      <w:tr w14:paraId="01D06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49DAF84C">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10</w:t>
            </w:r>
          </w:p>
        </w:tc>
        <w:tc>
          <w:tcPr>
            <w:tcW w:w="455" w:type="pct"/>
            <w:tcBorders>
              <w:left w:val="single" w:color="000000" w:sz="6" w:space="0"/>
              <w:bottom w:val="single" w:color="000000" w:sz="6" w:space="0"/>
              <w:right w:val="single" w:color="000000" w:sz="6" w:space="0"/>
            </w:tcBorders>
            <w:noWrap w:val="0"/>
            <w:vAlign w:val="center"/>
          </w:tcPr>
          <w:p w14:paraId="46EECD7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路学军</w:t>
            </w:r>
          </w:p>
        </w:tc>
        <w:tc>
          <w:tcPr>
            <w:tcW w:w="923" w:type="pct"/>
            <w:tcBorders>
              <w:left w:val="single" w:color="000000" w:sz="6" w:space="0"/>
              <w:bottom w:val="single" w:color="000000" w:sz="6" w:space="0"/>
              <w:right w:val="single" w:color="000000" w:sz="6" w:space="0"/>
            </w:tcBorders>
            <w:noWrap w:val="0"/>
            <w:vAlign w:val="center"/>
          </w:tcPr>
          <w:p w14:paraId="5EFE943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江苏连云港环境监测中心</w:t>
            </w:r>
          </w:p>
        </w:tc>
        <w:tc>
          <w:tcPr>
            <w:tcW w:w="1175" w:type="pct"/>
            <w:tcBorders>
              <w:left w:val="single" w:color="000000" w:sz="6" w:space="0"/>
              <w:bottom w:val="single" w:color="000000" w:sz="6" w:space="0"/>
              <w:right w:val="single" w:color="000000" w:sz="6" w:space="0"/>
            </w:tcBorders>
            <w:noWrap w:val="0"/>
            <w:vAlign w:val="center"/>
          </w:tcPr>
          <w:p w14:paraId="0D39282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left w:val="single" w:color="000000" w:sz="6" w:space="0"/>
              <w:bottom w:val="single" w:color="000000" w:sz="6" w:space="0"/>
              <w:right w:val="single" w:color="000000" w:sz="6" w:space="0"/>
            </w:tcBorders>
            <w:noWrap w:val="0"/>
            <w:vAlign w:val="center"/>
          </w:tcPr>
          <w:p w14:paraId="05A806A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环境监测、应急管理化学、环境风险评价、精细化工、应急管理环境影响评价</w:t>
            </w:r>
          </w:p>
        </w:tc>
        <w:tc>
          <w:tcPr>
            <w:tcW w:w="741" w:type="pct"/>
            <w:tcBorders>
              <w:left w:val="single" w:color="000000" w:sz="6" w:space="0"/>
              <w:bottom w:val="single" w:color="000000" w:sz="6" w:space="0"/>
            </w:tcBorders>
            <w:noWrap w:val="0"/>
            <w:vAlign w:val="center"/>
          </w:tcPr>
          <w:p w14:paraId="17CEF4AC">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139******32</w:t>
            </w:r>
          </w:p>
        </w:tc>
      </w:tr>
      <w:tr w14:paraId="3BFDC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C9FEC6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4806F9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乔忠莲</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C18015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16F4C9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AC27A8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应急管理化工、环境工程、精细化工</w:t>
            </w:r>
          </w:p>
        </w:tc>
        <w:tc>
          <w:tcPr>
            <w:tcW w:w="741" w:type="pct"/>
            <w:tcBorders>
              <w:top w:val="single" w:color="000000" w:sz="6" w:space="0"/>
              <w:left w:val="single" w:color="000000" w:sz="6" w:space="0"/>
              <w:bottom w:val="single" w:color="000000" w:sz="6" w:space="0"/>
            </w:tcBorders>
            <w:noWrap w:val="0"/>
            <w:vAlign w:val="center"/>
          </w:tcPr>
          <w:p w14:paraId="6579A8CD">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138******85</w:t>
            </w:r>
          </w:p>
        </w:tc>
      </w:tr>
      <w:tr w14:paraId="674CE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762131F1">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F65DEE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宋斌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C8D413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正大天晴药业集团股份有限公司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0695997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高级工程师（石化工程）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40AF311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2207CAD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159******99</w:t>
            </w:r>
          </w:p>
        </w:tc>
      </w:tr>
      <w:tr w14:paraId="00E5AC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E5EBE4A">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86AD70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孙万钊</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A6507C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连云港蔚莱环境科技有限公司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03759B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BFD168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4A363BD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180******55</w:t>
            </w:r>
          </w:p>
        </w:tc>
      </w:tr>
      <w:tr w14:paraId="66276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C08D3C4">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291EA7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6DBA0F8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苏州大学卫生与环境技术研究所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341F51C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BE4480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环境监测、化学工程与工艺</w:t>
            </w:r>
          </w:p>
        </w:tc>
        <w:tc>
          <w:tcPr>
            <w:tcW w:w="741" w:type="pct"/>
            <w:tcBorders>
              <w:top w:val="single" w:color="000000" w:sz="6" w:space="0"/>
              <w:left w:val="single" w:color="000000" w:sz="6" w:space="0"/>
              <w:bottom w:val="single" w:color="000000" w:sz="6" w:space="0"/>
            </w:tcBorders>
            <w:noWrap w:val="0"/>
            <w:vAlign w:val="center"/>
          </w:tcPr>
          <w:p w14:paraId="216CB1F9">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138******48</w:t>
            </w:r>
          </w:p>
        </w:tc>
      </w:tr>
      <w:tr w14:paraId="638527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7DCD6F0">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2C98F3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王童远</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0F9D11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原连云港市环境保护咨询中心（退休）</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2A1798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BBC969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64D7057B">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139******21</w:t>
            </w:r>
          </w:p>
        </w:tc>
      </w:tr>
      <w:tr w14:paraId="7F38B5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B15EA0B">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5189AD6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王兴强</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0B89C2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3DD20D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B1276D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w:t>
            </w:r>
          </w:p>
        </w:tc>
        <w:tc>
          <w:tcPr>
            <w:tcW w:w="741" w:type="pct"/>
            <w:tcBorders>
              <w:top w:val="single" w:color="000000" w:sz="6" w:space="0"/>
              <w:left w:val="single" w:color="000000" w:sz="6" w:space="0"/>
              <w:bottom w:val="single" w:color="000000" w:sz="6" w:space="0"/>
            </w:tcBorders>
            <w:noWrap w:val="0"/>
            <w:vAlign w:val="center"/>
          </w:tcPr>
          <w:p w14:paraId="0CDFEE32">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158******79</w:t>
            </w:r>
          </w:p>
        </w:tc>
      </w:tr>
      <w:tr w14:paraId="2AB57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001AC8AC">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42A497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王学松</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5D1C5A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218377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C2875D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0DB88FBF">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189******93</w:t>
            </w:r>
          </w:p>
        </w:tc>
      </w:tr>
      <w:tr w14:paraId="37E0B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9128DC9">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18</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4AFAB3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魏启华</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2CFEF1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连云港埃森化学有限公司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AAE815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副教授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D9C0EF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精细化工、化学工程与工艺</w:t>
            </w:r>
          </w:p>
        </w:tc>
        <w:tc>
          <w:tcPr>
            <w:tcW w:w="741" w:type="pct"/>
            <w:tcBorders>
              <w:top w:val="single" w:color="000000" w:sz="6" w:space="0"/>
              <w:left w:val="single" w:color="000000" w:sz="6" w:space="0"/>
              <w:bottom w:val="single" w:color="000000" w:sz="6" w:space="0"/>
            </w:tcBorders>
            <w:noWrap w:val="0"/>
            <w:vAlign w:val="center"/>
          </w:tcPr>
          <w:p w14:paraId="0017FD3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188******09</w:t>
            </w:r>
          </w:p>
        </w:tc>
      </w:tr>
      <w:tr w14:paraId="458405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0E642715">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19</w:t>
            </w:r>
          </w:p>
        </w:tc>
        <w:tc>
          <w:tcPr>
            <w:tcW w:w="455" w:type="pct"/>
            <w:tcBorders>
              <w:top w:val="single" w:color="000000" w:sz="6" w:space="0"/>
              <w:left w:val="single" w:color="000000" w:sz="6" w:space="0"/>
              <w:right w:val="single" w:color="000000" w:sz="6" w:space="0"/>
            </w:tcBorders>
            <w:noWrap w:val="0"/>
            <w:vAlign w:val="center"/>
          </w:tcPr>
          <w:p w14:paraId="4E993DC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吴刚</w:t>
            </w:r>
          </w:p>
        </w:tc>
        <w:tc>
          <w:tcPr>
            <w:tcW w:w="923" w:type="pct"/>
            <w:tcBorders>
              <w:top w:val="single" w:color="000000" w:sz="6" w:space="0"/>
              <w:left w:val="single" w:color="000000" w:sz="6" w:space="0"/>
              <w:right w:val="single" w:color="000000" w:sz="6" w:space="0"/>
            </w:tcBorders>
            <w:noWrap w:val="0"/>
            <w:vAlign w:val="center"/>
          </w:tcPr>
          <w:p w14:paraId="5D02A8C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连云港市环境科学学会</w:t>
            </w:r>
          </w:p>
        </w:tc>
        <w:tc>
          <w:tcPr>
            <w:tcW w:w="1175" w:type="pct"/>
            <w:tcBorders>
              <w:top w:val="single" w:color="000000" w:sz="6" w:space="0"/>
              <w:left w:val="single" w:color="000000" w:sz="6" w:space="0"/>
              <w:right w:val="single" w:color="000000" w:sz="6" w:space="0"/>
            </w:tcBorders>
            <w:noWrap w:val="0"/>
            <w:vAlign w:val="center"/>
          </w:tcPr>
          <w:p w14:paraId="07A45C5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right w:val="single" w:color="000000" w:sz="6" w:space="0"/>
            </w:tcBorders>
            <w:noWrap w:val="0"/>
            <w:vAlign w:val="center"/>
          </w:tcPr>
          <w:p w14:paraId="30B6154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环境工程、环境科学、环境监测、环境风险评价</w:t>
            </w:r>
          </w:p>
        </w:tc>
        <w:tc>
          <w:tcPr>
            <w:tcW w:w="741" w:type="pct"/>
            <w:tcBorders>
              <w:top w:val="single" w:color="000000" w:sz="6" w:space="0"/>
              <w:left w:val="single" w:color="000000" w:sz="6" w:space="0"/>
            </w:tcBorders>
            <w:noWrap w:val="0"/>
            <w:vAlign w:val="center"/>
          </w:tcPr>
          <w:p w14:paraId="77604919">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137******70</w:t>
            </w:r>
          </w:p>
        </w:tc>
      </w:tr>
      <w:tr w14:paraId="1974A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6F3C719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20</w:t>
            </w:r>
          </w:p>
        </w:tc>
        <w:tc>
          <w:tcPr>
            <w:tcW w:w="455" w:type="pct"/>
            <w:tcBorders>
              <w:left w:val="single" w:color="000000" w:sz="6" w:space="0"/>
              <w:bottom w:val="single" w:color="000000" w:sz="6" w:space="0"/>
              <w:right w:val="single" w:color="000000" w:sz="6" w:space="0"/>
            </w:tcBorders>
            <w:noWrap w:val="0"/>
            <w:vAlign w:val="center"/>
          </w:tcPr>
          <w:p w14:paraId="14A47B8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吴建军</w:t>
            </w:r>
          </w:p>
        </w:tc>
        <w:tc>
          <w:tcPr>
            <w:tcW w:w="923" w:type="pct"/>
            <w:tcBorders>
              <w:left w:val="single" w:color="000000" w:sz="6" w:space="0"/>
              <w:bottom w:val="single" w:color="000000" w:sz="6" w:space="0"/>
              <w:right w:val="single" w:color="000000" w:sz="6" w:space="0"/>
            </w:tcBorders>
            <w:noWrap w:val="0"/>
            <w:vAlign w:val="center"/>
          </w:tcPr>
          <w:p w14:paraId="4E6830C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南京中咨华环工程技术有限责任公司</w:t>
            </w:r>
          </w:p>
        </w:tc>
        <w:tc>
          <w:tcPr>
            <w:tcW w:w="1175" w:type="pct"/>
            <w:tcBorders>
              <w:left w:val="single" w:color="000000" w:sz="6" w:space="0"/>
              <w:bottom w:val="single" w:color="000000" w:sz="6" w:space="0"/>
              <w:right w:val="single" w:color="000000" w:sz="6" w:space="0"/>
            </w:tcBorders>
            <w:noWrap w:val="0"/>
            <w:vAlign w:val="center"/>
          </w:tcPr>
          <w:p w14:paraId="7165257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left w:val="single" w:color="000000" w:sz="6" w:space="0"/>
              <w:bottom w:val="single" w:color="000000" w:sz="6" w:space="0"/>
              <w:right w:val="single" w:color="000000" w:sz="6" w:space="0"/>
            </w:tcBorders>
            <w:noWrap w:val="0"/>
            <w:vAlign w:val="center"/>
          </w:tcPr>
          <w:p w14:paraId="75C229E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left w:val="single" w:color="000000" w:sz="6" w:space="0"/>
              <w:bottom w:val="single" w:color="000000" w:sz="6" w:space="0"/>
            </w:tcBorders>
            <w:noWrap w:val="0"/>
            <w:vAlign w:val="center"/>
          </w:tcPr>
          <w:p w14:paraId="288BBB37">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177******14</w:t>
            </w:r>
          </w:p>
        </w:tc>
      </w:tr>
      <w:tr w14:paraId="19719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4D0705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4569FB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夏季春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439AC4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江苏方洋水务有限公司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2FBD14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正高级工程师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FB54B3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7CABB7B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188******68</w:t>
            </w:r>
          </w:p>
        </w:tc>
      </w:tr>
      <w:tr w14:paraId="1EEDC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FE32A2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324EF7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杨斌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5CF1FB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连云港灌南生态环境局（退休）</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644571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6182A78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环境工程、环境监测、应急管理环境影响评价、精细化工</w:t>
            </w:r>
          </w:p>
        </w:tc>
        <w:tc>
          <w:tcPr>
            <w:tcW w:w="741" w:type="pct"/>
            <w:tcBorders>
              <w:top w:val="single" w:color="000000" w:sz="6" w:space="0"/>
              <w:left w:val="single" w:color="000000" w:sz="6" w:space="0"/>
              <w:bottom w:val="single" w:color="000000" w:sz="6" w:space="0"/>
            </w:tcBorders>
            <w:noWrap w:val="0"/>
            <w:vAlign w:val="center"/>
          </w:tcPr>
          <w:p w14:paraId="3C6383E0">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198******88</w:t>
            </w:r>
          </w:p>
        </w:tc>
      </w:tr>
      <w:tr w14:paraId="231041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466C424D">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5932F2F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张彬彬</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8FB68F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丰益高分子材料（连云港）有限公司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6158300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4183CF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2F10F52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180******66</w:t>
            </w:r>
          </w:p>
        </w:tc>
      </w:tr>
      <w:tr w14:paraId="58175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0FC25D2">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5D4101A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赵祥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EE432A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CE7F6B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1A65461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268072C0">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189******78</w:t>
            </w:r>
          </w:p>
        </w:tc>
      </w:tr>
      <w:tr w14:paraId="33E36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688B78D">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13FF43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赵进步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60DB048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连云区环保局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832A53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律师、高级经济师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E8E035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环境法学、环境风险评价</w:t>
            </w:r>
          </w:p>
        </w:tc>
        <w:tc>
          <w:tcPr>
            <w:tcW w:w="741" w:type="pct"/>
            <w:tcBorders>
              <w:top w:val="single" w:color="000000" w:sz="6" w:space="0"/>
              <w:left w:val="single" w:color="000000" w:sz="6" w:space="0"/>
              <w:bottom w:val="single" w:color="000000" w:sz="6" w:space="0"/>
            </w:tcBorders>
            <w:noWrap w:val="0"/>
            <w:vAlign w:val="center"/>
          </w:tcPr>
          <w:p w14:paraId="265A7722">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189******26</w:t>
            </w:r>
          </w:p>
        </w:tc>
      </w:tr>
      <w:tr w14:paraId="3076F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45E9B8C">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BD4D82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董自胜</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156494D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连云港供电公司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E0D100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高级工程师（电力工程）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521B445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电磁辐射</w:t>
            </w:r>
          </w:p>
        </w:tc>
        <w:tc>
          <w:tcPr>
            <w:tcW w:w="741" w:type="pct"/>
            <w:tcBorders>
              <w:top w:val="single" w:color="000000" w:sz="6" w:space="0"/>
              <w:left w:val="single" w:color="000000" w:sz="6" w:space="0"/>
              <w:bottom w:val="single" w:color="000000" w:sz="6" w:space="0"/>
            </w:tcBorders>
            <w:noWrap w:val="0"/>
            <w:vAlign w:val="center"/>
          </w:tcPr>
          <w:p w14:paraId="2220E270">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183******19</w:t>
            </w:r>
          </w:p>
        </w:tc>
      </w:tr>
      <w:tr w14:paraId="3BAE7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7C2023F4">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E5E826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李强</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1EDD59C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连云港辐射环境管理站</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C3045E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14E4B43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辐射</w:t>
            </w:r>
          </w:p>
        </w:tc>
        <w:tc>
          <w:tcPr>
            <w:tcW w:w="741" w:type="pct"/>
            <w:tcBorders>
              <w:top w:val="single" w:color="000000" w:sz="6" w:space="0"/>
              <w:left w:val="single" w:color="000000" w:sz="6" w:space="0"/>
              <w:bottom w:val="single" w:color="000000" w:sz="6" w:space="0"/>
            </w:tcBorders>
            <w:noWrap w:val="0"/>
            <w:vAlign w:val="center"/>
          </w:tcPr>
          <w:p w14:paraId="6C4AF601">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w:t>
            </w:r>
            <w:bookmarkStart w:id="37" w:name="_GoBack"/>
            <w:bookmarkEnd w:id="37"/>
            <w:r>
              <w:rPr>
                <w:rFonts w:hint="eastAsia" w:cs="Times New Roman"/>
                <w:snapToGrid w:val="0"/>
                <w:sz w:val="21"/>
                <w:szCs w:val="21"/>
                <w:lang w:eastAsia="zh-CN"/>
              </w:rPr>
              <w:t>75</w:t>
            </w:r>
          </w:p>
        </w:tc>
      </w:tr>
      <w:tr w14:paraId="31B84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59C82477">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28</w:t>
            </w:r>
          </w:p>
        </w:tc>
        <w:tc>
          <w:tcPr>
            <w:tcW w:w="455" w:type="pct"/>
            <w:tcBorders>
              <w:top w:val="single" w:color="000000" w:sz="6" w:space="0"/>
              <w:left w:val="single" w:color="000000" w:sz="6" w:space="0"/>
              <w:right w:val="single" w:color="000000" w:sz="6" w:space="0"/>
            </w:tcBorders>
            <w:noWrap w:val="0"/>
            <w:vAlign w:val="center"/>
          </w:tcPr>
          <w:p w14:paraId="1B77ECE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陈辛</w:t>
            </w:r>
          </w:p>
        </w:tc>
        <w:tc>
          <w:tcPr>
            <w:tcW w:w="923" w:type="pct"/>
            <w:tcBorders>
              <w:top w:val="single" w:color="000000" w:sz="6" w:space="0"/>
              <w:left w:val="single" w:color="000000" w:sz="6" w:space="0"/>
              <w:right w:val="single" w:color="000000" w:sz="6" w:space="0"/>
            </w:tcBorders>
            <w:noWrap w:val="0"/>
            <w:vAlign w:val="center"/>
          </w:tcPr>
          <w:p w14:paraId="2B27686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连云港辐射环境管理站</w:t>
            </w:r>
          </w:p>
        </w:tc>
        <w:tc>
          <w:tcPr>
            <w:tcW w:w="1175" w:type="pct"/>
            <w:tcBorders>
              <w:top w:val="single" w:color="000000" w:sz="6" w:space="0"/>
              <w:left w:val="single" w:color="000000" w:sz="6" w:space="0"/>
              <w:right w:val="single" w:color="000000" w:sz="6" w:space="0"/>
            </w:tcBorders>
            <w:noWrap w:val="0"/>
            <w:vAlign w:val="center"/>
          </w:tcPr>
          <w:p w14:paraId="767F933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right w:val="single" w:color="000000" w:sz="6" w:space="0"/>
            </w:tcBorders>
            <w:noWrap w:val="0"/>
            <w:vAlign w:val="center"/>
          </w:tcPr>
          <w:p w14:paraId="36AA607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辐射</w:t>
            </w:r>
          </w:p>
        </w:tc>
        <w:tc>
          <w:tcPr>
            <w:tcW w:w="741" w:type="pct"/>
            <w:tcBorders>
              <w:top w:val="single" w:color="000000" w:sz="6" w:space="0"/>
              <w:left w:val="single" w:color="000000" w:sz="6" w:space="0"/>
            </w:tcBorders>
            <w:noWrap w:val="0"/>
            <w:vAlign w:val="center"/>
          </w:tcPr>
          <w:p w14:paraId="6800F9BF">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189******95</w:t>
            </w:r>
          </w:p>
        </w:tc>
      </w:tr>
    </w:tbl>
    <w:p w14:paraId="7A9D69EB">
      <w:pPr>
        <w:ind w:firstLine="560"/>
        <w:rPr>
          <w:rFonts w:hint="default" w:ascii="Times New Roman" w:hAnsi="Times New Roman" w:eastAsia="宋体" w:cs="Times New Roman"/>
          <w:sz w:val="32"/>
          <w:szCs w:val="32"/>
        </w:rPr>
        <w:sectPr>
          <w:footerReference r:id="rId17" w:type="default"/>
          <w:pgSz w:w="11905" w:h="16838"/>
          <w:pgMar w:top="1701" w:right="1417" w:bottom="1417" w:left="1474" w:header="720" w:footer="1474" w:gutter="0"/>
          <w:pgNumType w:fmt="decimal"/>
          <w:cols w:space="720" w:num="1"/>
          <w:rtlGutter w:val="0"/>
          <w:docGrid w:type="linesAndChars" w:linePitch="597" w:charSpace="204"/>
        </w:sectPr>
      </w:pPr>
    </w:p>
    <w:p w14:paraId="4180BE5A">
      <w:pPr>
        <w:overflowPunct w:val="0"/>
        <w:snapToGrid/>
        <w:spacing w:line="560" w:lineRule="exact"/>
        <w:ind w:left="0" w:leftChars="0" w:firstLine="0" w:firstLineChars="0"/>
        <w:outlineLvl w:val="0"/>
        <w:rPr>
          <w:rFonts w:hint="default" w:ascii="Times New Roman" w:hAnsi="Times New Roman" w:eastAsia="黑体" w:cs="Times New Roman"/>
          <w:b w:val="0"/>
          <w:bCs w:val="0"/>
          <w:sz w:val="32"/>
          <w:szCs w:val="32"/>
          <w:lang w:val="en-US" w:eastAsia="zh-CN"/>
        </w:rPr>
      </w:pPr>
      <w:bookmarkStart w:id="34" w:name="_Toc44670174"/>
      <w:bookmarkStart w:id="35" w:name="_Toc59787249"/>
      <w:bookmarkStart w:id="36" w:name="_Toc44582171"/>
      <w:r>
        <w:rPr>
          <w:rFonts w:hint="default" w:ascii="Times New Roman" w:hAnsi="Times New Roman" w:eastAsia="黑体" w:cs="Times New Roman"/>
          <w:b w:val="0"/>
          <w:bCs w:val="0"/>
          <w:sz w:val="32"/>
          <w:szCs w:val="32"/>
          <w:lang w:val="en-US" w:eastAsia="zh-CN"/>
        </w:rPr>
        <w:t>附件3</w:t>
      </w:r>
    </w:p>
    <w:p w14:paraId="0C6B329D">
      <w:pPr>
        <w:overflowPunct w:val="0"/>
        <w:snapToGrid/>
        <w:spacing w:line="560" w:lineRule="exact"/>
        <w:ind w:left="0" w:leftChars="0" w:firstLine="0" w:firstLineChars="0"/>
        <w:jc w:val="center"/>
        <w:outlineLvl w:val="0"/>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rPr>
        <w:t>连云区突发环境事件信息报送表</w:t>
      </w:r>
      <w:bookmarkEnd w:id="34"/>
      <w:bookmarkEnd w:id="35"/>
      <w:bookmarkEnd w:id="36"/>
    </w:p>
    <w:p w14:paraId="2890CCE6">
      <w:pPr>
        <w:overflowPunct w:val="0"/>
        <w:snapToGrid/>
        <w:spacing w:line="560" w:lineRule="exact"/>
        <w:ind w:left="0" w:leftChars="0" w:firstLine="0" w:firstLineChars="0"/>
        <w:jc w:val="center"/>
        <w:outlineLvl w:val="0"/>
        <w:rPr>
          <w:rFonts w:hint="default" w:ascii="Times New Roman" w:hAnsi="Times New Roman" w:eastAsia="方正小标宋_GBK" w:cs="Times New Roman"/>
          <w:b w:val="0"/>
          <w:bCs w:val="0"/>
          <w:sz w:val="44"/>
          <w:szCs w:val="44"/>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122"/>
        <w:gridCol w:w="1480"/>
        <w:gridCol w:w="1007"/>
        <w:gridCol w:w="573"/>
        <w:gridCol w:w="1042"/>
        <w:gridCol w:w="2185"/>
      </w:tblGrid>
      <w:tr w14:paraId="415F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62ED035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报告分类</w:t>
            </w:r>
          </w:p>
        </w:tc>
        <w:tc>
          <w:tcPr>
            <w:tcW w:w="1992" w:type="pct"/>
            <w:gridSpan w:val="3"/>
            <w:noWrap w:val="0"/>
            <w:vAlign w:val="center"/>
          </w:tcPr>
          <w:p w14:paraId="409A1866">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□初报□续报□处理报告</w:t>
            </w:r>
          </w:p>
        </w:tc>
        <w:tc>
          <w:tcPr>
            <w:tcW w:w="891" w:type="pct"/>
            <w:gridSpan w:val="2"/>
            <w:noWrap w:val="0"/>
            <w:vAlign w:val="center"/>
          </w:tcPr>
          <w:p w14:paraId="10B5704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报告时间</w:t>
            </w:r>
          </w:p>
        </w:tc>
        <w:tc>
          <w:tcPr>
            <w:tcW w:w="1204" w:type="pct"/>
            <w:noWrap w:val="0"/>
            <w:vAlign w:val="center"/>
          </w:tcPr>
          <w:p w14:paraId="5A2230B6">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52264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7C176A4D">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事件分级</w:t>
            </w:r>
          </w:p>
        </w:tc>
        <w:tc>
          <w:tcPr>
            <w:tcW w:w="4088" w:type="pct"/>
            <w:gridSpan w:val="6"/>
            <w:noWrap w:val="0"/>
            <w:vAlign w:val="center"/>
          </w:tcPr>
          <w:p w14:paraId="5D18A91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□特别重大□重大</w:t>
            </w:r>
            <w:r>
              <w:rPr>
                <w:rFonts w:hint="default" w:ascii="Times New Roman" w:hAnsi="Times New Roman" w:eastAsia="宋体" w:cs="Times New Roman"/>
                <w:bCs/>
                <w:color w:val="333333"/>
                <w:sz w:val="21"/>
                <w:szCs w:val="21"/>
                <w:lang w:eastAsia="zh-CN" w:bidi="ar"/>
              </w:rPr>
              <w:t>☑</w:t>
            </w:r>
            <w:r>
              <w:rPr>
                <w:rFonts w:hint="default" w:ascii="Times New Roman" w:hAnsi="Times New Roman" w:eastAsia="宋体" w:cs="Times New Roman"/>
                <w:bCs/>
                <w:color w:val="333333"/>
                <w:sz w:val="21"/>
                <w:szCs w:val="21"/>
                <w:lang w:bidi="ar"/>
              </w:rPr>
              <w:t>较大□一般</w:t>
            </w:r>
          </w:p>
        </w:tc>
      </w:tr>
      <w:tr w14:paraId="00333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10D37613">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事件起因</w:t>
            </w:r>
          </w:p>
        </w:tc>
        <w:tc>
          <w:tcPr>
            <w:tcW w:w="4088" w:type="pct"/>
            <w:gridSpan w:val="6"/>
            <w:noWrap w:val="0"/>
            <w:vAlign w:val="center"/>
          </w:tcPr>
          <w:p w14:paraId="01BCFE64">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□违法排污□安全事故□交通事故□自然灾害□其他</w:t>
            </w:r>
          </w:p>
        </w:tc>
      </w:tr>
      <w:tr w14:paraId="33C6B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54A0BEB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事件类型</w:t>
            </w:r>
          </w:p>
        </w:tc>
        <w:tc>
          <w:tcPr>
            <w:tcW w:w="4088" w:type="pct"/>
            <w:gridSpan w:val="6"/>
            <w:noWrap w:val="0"/>
            <w:vAlign w:val="center"/>
          </w:tcPr>
          <w:p w14:paraId="26232EEB">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□水污染□大气污染□海洋污染□固废污染</w:t>
            </w:r>
          </w:p>
          <w:p w14:paraId="374FCDD9">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□生态破坏□噪声和震动□其他</w:t>
            </w:r>
          </w:p>
        </w:tc>
      </w:tr>
      <w:tr w14:paraId="76F0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31F4A67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人员伤亡</w:t>
            </w:r>
          </w:p>
        </w:tc>
        <w:tc>
          <w:tcPr>
            <w:tcW w:w="1436" w:type="pct"/>
            <w:gridSpan w:val="2"/>
            <w:noWrap w:val="0"/>
            <w:vAlign w:val="center"/>
          </w:tcPr>
          <w:p w14:paraId="341BE064">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c>
          <w:tcPr>
            <w:tcW w:w="872" w:type="pct"/>
            <w:gridSpan w:val="2"/>
            <w:noWrap w:val="0"/>
            <w:vAlign w:val="center"/>
          </w:tcPr>
          <w:p w14:paraId="7151C0B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财产损失</w:t>
            </w:r>
          </w:p>
        </w:tc>
        <w:tc>
          <w:tcPr>
            <w:tcW w:w="1780" w:type="pct"/>
            <w:gridSpan w:val="2"/>
            <w:noWrap w:val="0"/>
            <w:vAlign w:val="center"/>
          </w:tcPr>
          <w:p w14:paraId="094605B1">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4B0A7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74E153D1">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接警时间</w:t>
            </w:r>
          </w:p>
        </w:tc>
        <w:tc>
          <w:tcPr>
            <w:tcW w:w="1436" w:type="pct"/>
            <w:gridSpan w:val="2"/>
            <w:noWrap w:val="0"/>
            <w:vAlign w:val="center"/>
          </w:tcPr>
          <w:p w14:paraId="23168F5F">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c>
          <w:tcPr>
            <w:tcW w:w="872" w:type="pct"/>
            <w:gridSpan w:val="2"/>
            <w:noWrap w:val="0"/>
            <w:vAlign w:val="center"/>
          </w:tcPr>
          <w:p w14:paraId="37AD3E1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信息来源</w:t>
            </w:r>
          </w:p>
        </w:tc>
        <w:tc>
          <w:tcPr>
            <w:tcW w:w="1780" w:type="pct"/>
            <w:gridSpan w:val="2"/>
            <w:noWrap w:val="0"/>
            <w:vAlign w:val="center"/>
          </w:tcPr>
          <w:p w14:paraId="75EE4903">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7656B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52D08A2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出警时间</w:t>
            </w:r>
          </w:p>
        </w:tc>
        <w:tc>
          <w:tcPr>
            <w:tcW w:w="1436" w:type="pct"/>
            <w:gridSpan w:val="2"/>
            <w:noWrap w:val="0"/>
            <w:vAlign w:val="center"/>
          </w:tcPr>
          <w:p w14:paraId="4462C117">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c>
          <w:tcPr>
            <w:tcW w:w="872" w:type="pct"/>
            <w:gridSpan w:val="2"/>
            <w:noWrap w:val="0"/>
            <w:vAlign w:val="center"/>
          </w:tcPr>
          <w:p w14:paraId="39E744EF">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到场时间</w:t>
            </w:r>
          </w:p>
        </w:tc>
        <w:tc>
          <w:tcPr>
            <w:tcW w:w="1780" w:type="pct"/>
            <w:gridSpan w:val="2"/>
            <w:noWrap w:val="0"/>
            <w:vAlign w:val="center"/>
          </w:tcPr>
          <w:p w14:paraId="212E5248">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1ED1E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1AFF9378">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事发时间</w:t>
            </w:r>
          </w:p>
        </w:tc>
        <w:tc>
          <w:tcPr>
            <w:tcW w:w="619" w:type="pct"/>
            <w:noWrap w:val="0"/>
            <w:vAlign w:val="center"/>
          </w:tcPr>
          <w:p w14:paraId="720A347B">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c>
          <w:tcPr>
            <w:tcW w:w="816" w:type="pct"/>
            <w:noWrap w:val="0"/>
            <w:vAlign w:val="center"/>
          </w:tcPr>
          <w:p w14:paraId="2890DED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事发地点</w:t>
            </w:r>
          </w:p>
        </w:tc>
        <w:tc>
          <w:tcPr>
            <w:tcW w:w="2652" w:type="pct"/>
            <w:gridSpan w:val="4"/>
            <w:noWrap w:val="0"/>
            <w:vAlign w:val="center"/>
          </w:tcPr>
          <w:p w14:paraId="5590C5FA">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0D3D0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000" w:type="pct"/>
            <w:gridSpan w:val="7"/>
            <w:noWrap w:val="0"/>
            <w:vAlign w:val="center"/>
          </w:tcPr>
          <w:p w14:paraId="1C37CB83">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事件调查基本情况：</w:t>
            </w:r>
          </w:p>
          <w:p w14:paraId="5BC2C4C1">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（事发原因、主要污染物和数量、环境影响现状等）</w:t>
            </w:r>
          </w:p>
          <w:p w14:paraId="35E8E4CC">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31F08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5000" w:type="pct"/>
            <w:gridSpan w:val="7"/>
            <w:noWrap w:val="0"/>
            <w:vAlign w:val="center"/>
          </w:tcPr>
          <w:p w14:paraId="1F0E2D9B">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应急监测：</w:t>
            </w:r>
          </w:p>
          <w:p w14:paraId="2F22444A">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（采样点分布情况、监测数据、影响分析范围、附图显示）</w:t>
            </w:r>
          </w:p>
          <w:p w14:paraId="5D5F3559">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3194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544F6C67">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周边敏感点分布情况：</w:t>
            </w:r>
          </w:p>
          <w:p w14:paraId="5CAEABC8">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（周边是否有饮用水源、自然保护区、医院、学校、居民聚集区等敏感目标，附图显示）</w:t>
            </w:r>
          </w:p>
          <w:p w14:paraId="741355F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p w14:paraId="2A610C4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0A712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5962DA22">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现场采取应急处置措施：</w:t>
            </w:r>
          </w:p>
          <w:p w14:paraId="37D888B3">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p w14:paraId="4532BCD6">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r w14:paraId="046D7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790C5CF9">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r>
              <w:rPr>
                <w:rFonts w:hint="default" w:ascii="Times New Roman" w:hAnsi="Times New Roman" w:eastAsia="宋体" w:cs="Times New Roman"/>
                <w:bCs/>
                <w:color w:val="333333"/>
                <w:sz w:val="21"/>
                <w:szCs w:val="21"/>
                <w:lang w:bidi="ar"/>
              </w:rPr>
              <w:t>处理结果（包括突发环境事件潜在或者间接危害以及损失、社会影响、处理后的遗留问题、责任追究等详细）：</w:t>
            </w:r>
          </w:p>
          <w:p w14:paraId="10C8192E">
            <w:pPr>
              <w:widowControl/>
              <w:spacing w:line="360" w:lineRule="exact"/>
              <w:ind w:left="0" w:leftChars="0" w:firstLine="0" w:firstLineChars="0"/>
              <w:jc w:val="both"/>
              <w:rPr>
                <w:rFonts w:hint="default" w:ascii="Times New Roman" w:hAnsi="Times New Roman" w:eastAsia="宋体" w:cs="Times New Roman"/>
                <w:bCs/>
                <w:color w:val="333333"/>
                <w:sz w:val="21"/>
                <w:szCs w:val="21"/>
                <w:lang w:bidi="ar"/>
              </w:rPr>
            </w:pPr>
          </w:p>
        </w:tc>
      </w:tr>
    </w:tbl>
    <w:p w14:paraId="0DC176B8">
      <w:pPr>
        <w:widowControl/>
        <w:spacing w:line="360" w:lineRule="exact"/>
        <w:ind w:left="0" w:leftChars="0" w:firstLine="0" w:firstLineChars="0"/>
        <w:jc w:val="both"/>
        <w:rPr>
          <w:rFonts w:hint="default" w:ascii="Times New Roman" w:hAnsi="Times New Roman" w:eastAsia="宋体" w:cs="Times New Roman"/>
          <w:color w:val="000000"/>
          <w:sz w:val="32"/>
          <w:szCs w:val="32"/>
          <w:lang w:val="en-US" w:eastAsia="zh-CN" w:bidi="ar"/>
        </w:rPr>
      </w:pPr>
      <w:r>
        <w:rPr>
          <w:rFonts w:hint="default" w:ascii="Times New Roman" w:hAnsi="Times New Roman" w:eastAsia="宋体" w:cs="Times New Roman"/>
          <w:bCs/>
          <w:color w:val="333333"/>
          <w:sz w:val="21"/>
          <w:szCs w:val="21"/>
          <w:lang w:bidi="ar"/>
        </w:rPr>
        <w:t>报告单位</w:t>
      </w:r>
      <w:r>
        <w:rPr>
          <w:rFonts w:hint="default" w:ascii="Times New Roman" w:hAnsi="Times New Roman" w:eastAsia="宋体" w:cs="Times New Roman"/>
          <w:bCs/>
          <w:color w:val="333333"/>
          <w:sz w:val="21"/>
          <w:szCs w:val="21"/>
          <w:lang w:eastAsia="zh-CN" w:bidi="ar"/>
        </w:rPr>
        <w:t>：</w:t>
      </w:r>
      <w:r>
        <w:rPr>
          <w:rFonts w:hint="default" w:ascii="Times New Roman" w:hAnsi="Times New Roman" w:eastAsia="宋体" w:cs="Times New Roman"/>
          <w:bCs/>
          <w:color w:val="333333"/>
          <w:sz w:val="21"/>
          <w:szCs w:val="21"/>
          <w:lang w:val="en-US" w:eastAsia="zh-CN" w:bidi="ar"/>
        </w:rPr>
        <w:t xml:space="preserve">            </w:t>
      </w:r>
      <w:r>
        <w:rPr>
          <w:rFonts w:hint="default" w:ascii="Times New Roman" w:hAnsi="Times New Roman" w:eastAsia="宋体" w:cs="Times New Roman"/>
          <w:bCs/>
          <w:color w:val="333333"/>
          <w:sz w:val="21"/>
          <w:szCs w:val="21"/>
          <w:lang w:bidi="ar"/>
        </w:rPr>
        <w:t>审核人</w:t>
      </w:r>
      <w:r>
        <w:rPr>
          <w:rFonts w:hint="default" w:ascii="Times New Roman" w:hAnsi="Times New Roman" w:eastAsia="宋体" w:cs="Times New Roman"/>
          <w:bCs/>
          <w:color w:val="333333"/>
          <w:sz w:val="21"/>
          <w:szCs w:val="21"/>
          <w:lang w:eastAsia="zh-CN" w:bidi="ar"/>
        </w:rPr>
        <w:t>：</w:t>
      </w:r>
      <w:r>
        <w:rPr>
          <w:rFonts w:hint="default" w:ascii="Times New Roman" w:hAnsi="Times New Roman" w:eastAsia="宋体" w:cs="Times New Roman"/>
          <w:bCs/>
          <w:color w:val="333333"/>
          <w:sz w:val="21"/>
          <w:szCs w:val="21"/>
          <w:lang w:val="en-US" w:eastAsia="zh-CN" w:bidi="ar"/>
        </w:rPr>
        <w:t xml:space="preserve">  </w:t>
      </w:r>
      <w:r>
        <w:rPr>
          <w:rFonts w:hint="eastAsia" w:eastAsia="宋体" w:cs="Times New Roman"/>
          <w:bCs/>
          <w:color w:val="333333"/>
          <w:sz w:val="21"/>
          <w:szCs w:val="21"/>
          <w:lang w:val="en-US" w:eastAsia="zh-CN" w:bidi="ar"/>
        </w:rPr>
        <w:t xml:space="preserve">    </w:t>
      </w:r>
      <w:r>
        <w:rPr>
          <w:rFonts w:hint="default" w:ascii="Times New Roman" w:hAnsi="Times New Roman" w:eastAsia="宋体" w:cs="Times New Roman"/>
          <w:bCs/>
          <w:color w:val="333333"/>
          <w:sz w:val="21"/>
          <w:szCs w:val="21"/>
          <w:lang w:val="en-US" w:eastAsia="zh-CN" w:bidi="ar"/>
        </w:rPr>
        <w:t xml:space="preserve">    </w:t>
      </w:r>
      <w:r>
        <w:rPr>
          <w:rFonts w:hint="default" w:ascii="Times New Roman" w:hAnsi="Times New Roman" w:eastAsia="宋体" w:cs="Times New Roman"/>
          <w:bCs/>
          <w:color w:val="333333"/>
          <w:sz w:val="21"/>
          <w:szCs w:val="21"/>
          <w:lang w:bidi="ar"/>
        </w:rPr>
        <w:t>报告人</w:t>
      </w:r>
    </w:p>
    <w:tbl>
      <w:tblPr>
        <w:tblStyle w:val="15"/>
        <w:tblpPr w:leftFromText="454" w:rightFromText="454" w:vertAnchor="page" w:horzAnchor="page" w:tblpX="1679" w:tblpY="14281"/>
        <w:tblOverlap w:val="never"/>
        <w:tblW w:w="0" w:type="auto"/>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84"/>
        <w:gridCol w:w="8278"/>
        <w:gridCol w:w="284"/>
      </w:tblGrid>
      <w:tr w14:paraId="724F2C09">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539" w:hRule="exact"/>
        </w:trPr>
        <w:tc>
          <w:tcPr>
            <w:tcW w:w="284" w:type="dxa"/>
            <w:noWrap w:val="0"/>
            <w:vAlign w:val="top"/>
          </w:tcPr>
          <w:p w14:paraId="4651EF86">
            <w:pPr>
              <w:pStyle w:val="29"/>
              <w:ind w:firstLine="560"/>
              <w:rPr>
                <w:rFonts w:hint="default" w:ascii="Times New Roman" w:hAnsi="Times New Roman" w:eastAsia="宋体" w:cs="Times New Roman"/>
                <w:sz w:val="32"/>
                <w:szCs w:val="32"/>
                <w:lang w:eastAsia="zh-CN"/>
              </w:rPr>
            </w:pPr>
          </w:p>
          <w:p w14:paraId="2224AD38">
            <w:pPr>
              <w:pStyle w:val="29"/>
              <w:ind w:firstLine="560"/>
              <w:rPr>
                <w:rFonts w:hint="default" w:ascii="Times New Roman" w:hAnsi="Times New Roman" w:eastAsia="宋体" w:cs="Times New Roman"/>
                <w:sz w:val="32"/>
                <w:szCs w:val="32"/>
              </w:rPr>
            </w:pPr>
          </w:p>
          <w:p w14:paraId="0A084409">
            <w:pPr>
              <w:pStyle w:val="29"/>
              <w:spacing w:line="360" w:lineRule="auto"/>
              <w:ind w:firstLine="0" w:firstLineChars="0"/>
              <w:rPr>
                <w:rFonts w:hint="default" w:ascii="Times New Roman" w:hAnsi="Times New Roman" w:eastAsia="宋体" w:cs="Times New Roman"/>
                <w:color w:val="auto"/>
                <w:kern w:val="0"/>
                <w:sz w:val="52"/>
                <w:szCs w:val="52"/>
              </w:rPr>
            </w:pPr>
            <w:r>
              <w:rPr>
                <w:rFonts w:hint="default" w:ascii="Times New Roman" w:hAnsi="Times New Roman" w:eastAsia="宋体" w:cs="Times New Roman"/>
                <w:color w:val="auto"/>
                <w:kern w:val="0"/>
                <w:sz w:val="52"/>
                <w:szCs w:val="52"/>
              </w:rPr>
              <w:t>连云区突发环境事件应急预案</w:t>
            </w:r>
          </w:p>
          <w:p w14:paraId="308DC335">
            <w:pPr>
              <w:pStyle w:val="29"/>
              <w:spacing w:line="360" w:lineRule="auto"/>
              <w:ind w:firstLine="0" w:firstLineChars="0"/>
              <w:rPr>
                <w:rFonts w:hint="default" w:ascii="Times New Roman" w:hAnsi="Times New Roman" w:eastAsia="宋体" w:cs="Times New Roman"/>
                <w:color w:val="auto"/>
                <w:kern w:val="0"/>
                <w:sz w:val="52"/>
                <w:szCs w:val="52"/>
                <w:lang w:eastAsia="zh-CN"/>
              </w:rPr>
            </w:pPr>
          </w:p>
          <w:p w14:paraId="42FD0DB2">
            <w:pPr>
              <w:pStyle w:val="29"/>
              <w:spacing w:line="360" w:lineRule="auto"/>
              <w:ind w:firstLine="0" w:firstLineChars="0"/>
              <w:rPr>
                <w:rFonts w:hint="default" w:ascii="Times New Roman" w:hAnsi="Times New Roman" w:eastAsia="宋体" w:cs="Times New Roman"/>
                <w:color w:val="auto"/>
                <w:kern w:val="0"/>
                <w:sz w:val="52"/>
                <w:szCs w:val="52"/>
              </w:rPr>
            </w:pPr>
          </w:p>
          <w:p w14:paraId="03CF2347">
            <w:pPr>
              <w:pStyle w:val="29"/>
              <w:spacing w:line="360" w:lineRule="auto"/>
              <w:ind w:firstLine="0" w:firstLineChars="0"/>
              <w:rPr>
                <w:rFonts w:hint="default" w:ascii="Times New Roman" w:hAnsi="Times New Roman" w:eastAsia="宋体" w:cs="Times New Roman"/>
                <w:color w:val="auto"/>
                <w:kern w:val="0"/>
                <w:sz w:val="52"/>
                <w:szCs w:val="52"/>
              </w:rPr>
            </w:pPr>
          </w:p>
          <w:p w14:paraId="205452F7">
            <w:pPr>
              <w:ind w:firstLine="560"/>
              <w:rPr>
                <w:rFonts w:hint="default" w:ascii="Times New Roman" w:hAnsi="Times New Roman" w:eastAsia="宋体" w:cs="Times New Roman"/>
                <w:sz w:val="32"/>
                <w:szCs w:val="32"/>
              </w:rPr>
            </w:pPr>
          </w:p>
          <w:p w14:paraId="2EB67DE1">
            <w:pPr>
              <w:pStyle w:val="29"/>
              <w:spacing w:line="360" w:lineRule="auto"/>
              <w:ind w:firstLine="0" w:firstLineChars="0"/>
              <w:rPr>
                <w:rFonts w:hint="default" w:ascii="Times New Roman" w:hAnsi="Times New Roman" w:eastAsia="宋体" w:cs="Times New Roman"/>
                <w:sz w:val="32"/>
                <w:szCs w:val="32"/>
              </w:rPr>
            </w:pPr>
          </w:p>
          <w:p w14:paraId="64B5FB56">
            <w:pPr>
              <w:ind w:firstLine="560"/>
              <w:rPr>
                <w:rFonts w:hint="default" w:ascii="Times New Roman" w:hAnsi="Times New Roman" w:eastAsia="宋体" w:cs="Times New Roman"/>
                <w:sz w:val="32"/>
                <w:szCs w:val="32"/>
              </w:rPr>
            </w:pPr>
          </w:p>
          <w:p w14:paraId="6443C074">
            <w:pPr>
              <w:ind w:firstLine="560"/>
              <w:rPr>
                <w:rFonts w:hint="default" w:ascii="Times New Roman" w:hAnsi="Times New Roman" w:eastAsia="宋体" w:cs="Times New Roman"/>
                <w:sz w:val="32"/>
                <w:szCs w:val="32"/>
              </w:rPr>
            </w:pPr>
          </w:p>
          <w:p w14:paraId="45BF1751">
            <w:pPr>
              <w:ind w:firstLine="560"/>
              <w:rPr>
                <w:rFonts w:hint="default" w:ascii="Times New Roman" w:hAnsi="Times New Roman" w:eastAsia="宋体" w:cs="Times New Roman"/>
                <w:sz w:val="32"/>
                <w:szCs w:val="32"/>
              </w:rPr>
            </w:pPr>
          </w:p>
          <w:p w14:paraId="040B966A">
            <w:pPr>
              <w:ind w:firstLine="560"/>
              <w:rPr>
                <w:rFonts w:hint="default" w:ascii="Times New Roman" w:hAnsi="Times New Roman" w:eastAsia="宋体" w:cs="Times New Roman"/>
                <w:sz w:val="32"/>
                <w:szCs w:val="32"/>
              </w:rPr>
            </w:pPr>
          </w:p>
          <w:p w14:paraId="4BAC10FC">
            <w:pPr>
              <w:ind w:firstLine="560"/>
              <w:rPr>
                <w:rFonts w:hint="default" w:ascii="Times New Roman" w:hAnsi="Times New Roman" w:eastAsia="宋体" w:cs="Times New Roman"/>
                <w:sz w:val="32"/>
                <w:szCs w:val="32"/>
              </w:rPr>
            </w:pPr>
          </w:p>
          <w:p w14:paraId="02427526">
            <w:pPr>
              <w:ind w:firstLine="560"/>
              <w:rPr>
                <w:rFonts w:hint="default" w:ascii="Times New Roman" w:hAnsi="Times New Roman" w:eastAsia="宋体" w:cs="Times New Roman"/>
                <w:sz w:val="32"/>
                <w:szCs w:val="32"/>
              </w:rPr>
            </w:pPr>
          </w:p>
          <w:p w14:paraId="3C0A914C">
            <w:pPr>
              <w:ind w:firstLine="560"/>
              <w:rPr>
                <w:rFonts w:hint="default" w:ascii="Times New Roman" w:hAnsi="Times New Roman" w:eastAsia="宋体" w:cs="Times New Roman"/>
                <w:sz w:val="32"/>
                <w:szCs w:val="32"/>
              </w:rPr>
            </w:pPr>
          </w:p>
          <w:p w14:paraId="5A17D2AB">
            <w:pPr>
              <w:ind w:firstLine="560"/>
              <w:rPr>
                <w:rFonts w:hint="default" w:ascii="Times New Roman" w:hAnsi="Times New Roman" w:eastAsia="宋体" w:cs="Times New Roman"/>
                <w:sz w:val="32"/>
                <w:szCs w:val="32"/>
              </w:rPr>
            </w:pPr>
          </w:p>
          <w:p w14:paraId="5C078A2D">
            <w:pPr>
              <w:ind w:firstLine="560"/>
              <w:rPr>
                <w:rFonts w:hint="default" w:ascii="Times New Roman" w:hAnsi="Times New Roman" w:eastAsia="宋体" w:cs="Times New Roman"/>
                <w:sz w:val="32"/>
                <w:szCs w:val="32"/>
              </w:rPr>
            </w:pPr>
          </w:p>
          <w:p w14:paraId="48E42E46">
            <w:pPr>
              <w:ind w:firstLine="560"/>
              <w:rPr>
                <w:rFonts w:hint="default" w:ascii="Times New Roman" w:hAnsi="Times New Roman" w:eastAsia="宋体" w:cs="Times New Roman"/>
                <w:color w:val="FF0000"/>
                <w:sz w:val="32"/>
                <w:szCs w:val="32"/>
              </w:rPr>
            </w:pPr>
          </w:p>
          <w:p w14:paraId="3061ADBC">
            <w:pPr>
              <w:ind w:firstLine="560"/>
              <w:rPr>
                <w:rFonts w:hint="default" w:ascii="Times New Roman" w:hAnsi="Times New Roman" w:eastAsia="宋体" w:cs="Times New Roman"/>
                <w:color w:val="FF0000"/>
                <w:sz w:val="32"/>
                <w:szCs w:val="32"/>
              </w:rPr>
            </w:pPr>
          </w:p>
          <w:p w14:paraId="5C5D7ED6">
            <w:pPr>
              <w:ind w:firstLine="560"/>
              <w:rPr>
                <w:rFonts w:hint="default" w:ascii="Times New Roman" w:hAnsi="Times New Roman" w:eastAsia="宋体" w:cs="Times New Roman"/>
                <w:color w:val="FF0000"/>
                <w:sz w:val="32"/>
                <w:szCs w:val="32"/>
              </w:rPr>
            </w:pPr>
          </w:p>
          <w:p w14:paraId="6ED312E3">
            <w:pPr>
              <w:ind w:firstLine="560"/>
              <w:rPr>
                <w:rFonts w:hint="default" w:ascii="Times New Roman" w:hAnsi="Times New Roman" w:eastAsia="宋体" w:cs="Times New Roman"/>
                <w:color w:val="FF0000"/>
                <w:sz w:val="32"/>
                <w:szCs w:val="32"/>
              </w:rPr>
            </w:pPr>
          </w:p>
          <w:p w14:paraId="7262A48B">
            <w:pPr>
              <w:overflowPunct w:val="0"/>
              <w:snapToGrid/>
              <w:spacing w:line="560" w:lineRule="exact"/>
              <w:ind w:firstLine="550"/>
              <w:jc w:val="center"/>
              <w:rPr>
                <w:rFonts w:hint="default" w:ascii="Times New Roman" w:hAnsi="Times New Roman" w:eastAsia="宋体" w:cs="Times New Roman"/>
                <w:sz w:val="32"/>
                <w:szCs w:val="32"/>
              </w:rPr>
            </w:pPr>
            <w:r>
              <w:rPr>
                <w:rFonts w:hint="default" w:ascii="Times New Roman" w:hAnsi="Times New Roman" w:eastAsia="宋体" w:cs="Times New Roman"/>
                <w:color w:val="auto"/>
                <w:kern w:val="0"/>
                <w:sz w:val="32"/>
                <w:szCs w:val="32"/>
              </w:rPr>
              <w:t>二〇二四年</w:t>
            </w:r>
            <w:r>
              <w:rPr>
                <w:rFonts w:hint="default" w:ascii="Times New Roman" w:hAnsi="Times New Roman" w:eastAsia="宋体" w:cs="Times New Roman"/>
                <w:color w:val="auto"/>
                <w:kern w:val="0"/>
                <w:sz w:val="32"/>
                <w:szCs w:val="32"/>
                <w:lang w:val="en-US" w:eastAsia="zh-CN"/>
              </w:rPr>
              <w:t>七</w:t>
            </w:r>
            <w:r>
              <w:rPr>
                <w:rFonts w:hint="default" w:ascii="Times New Roman" w:hAnsi="Times New Roman" w:eastAsia="宋体" w:cs="Times New Roman"/>
                <w:color w:val="auto"/>
                <w:kern w:val="0"/>
                <w:sz w:val="32"/>
                <w:szCs w:val="32"/>
              </w:rPr>
              <w:t>月</w:t>
            </w:r>
            <w:r>
              <w:rPr>
                <w:rFonts w:hint="default" w:ascii="Times New Roman" w:hAnsi="Times New Roman" w:eastAsia="宋体" w:cs="Times New Roman"/>
                <w:sz w:val="32"/>
                <w:szCs w:val="32"/>
              </w:rPr>
              <w:t>目录</w:t>
            </w:r>
          </w:p>
          <w:p w14:paraId="6C79E67F">
            <w:pPr>
              <w:overflowPunct w:val="0"/>
              <w:snapToGrid/>
              <w:spacing w:line="560" w:lineRule="exact"/>
              <w:ind w:firstLine="550"/>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1总则</w:t>
            </w:r>
          </w:p>
          <w:p w14:paraId="7AC91722">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1.1编制目的</w:t>
            </w:r>
            <w:r>
              <w:rPr>
                <w:rFonts w:hint="default" w:ascii="Times New Roman" w:hAnsi="Times New Roman" w:eastAsia="宋体" w:cs="Times New Roman"/>
                <w:sz w:val="32"/>
                <w:szCs w:val="32"/>
              </w:rPr>
              <w:tab/>
            </w:r>
          </w:p>
          <w:p w14:paraId="3A965301">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1.2工作原则</w:t>
            </w:r>
          </w:p>
          <w:p w14:paraId="7FE633CD">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1.3编制依据</w:t>
            </w:r>
          </w:p>
          <w:p w14:paraId="3D205FE4">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1.4适用范围</w:t>
            </w:r>
          </w:p>
          <w:p w14:paraId="289A17F9">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1.5事件分级</w:t>
            </w:r>
            <w:r>
              <w:rPr>
                <w:rFonts w:hint="default" w:ascii="Times New Roman" w:hAnsi="Times New Roman" w:eastAsia="宋体" w:cs="Times New Roman"/>
                <w:sz w:val="32"/>
                <w:szCs w:val="32"/>
              </w:rPr>
              <w:tab/>
            </w:r>
          </w:p>
          <w:p w14:paraId="7C53CF1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2连云区环境风险概况</w:t>
            </w:r>
          </w:p>
          <w:p w14:paraId="5BBEE17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3应急指挥体系与职责</w:t>
            </w:r>
            <w:r>
              <w:rPr>
                <w:rFonts w:hint="default" w:ascii="Times New Roman" w:hAnsi="Times New Roman" w:eastAsia="宋体" w:cs="Times New Roman"/>
                <w:sz w:val="32"/>
                <w:szCs w:val="32"/>
              </w:rPr>
              <w:tab/>
            </w:r>
          </w:p>
          <w:p w14:paraId="5A4D3AC7">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3.1应急指挥机构</w:t>
            </w:r>
            <w:r>
              <w:rPr>
                <w:rFonts w:hint="default" w:ascii="Times New Roman" w:hAnsi="Times New Roman" w:eastAsia="宋体" w:cs="Times New Roman"/>
                <w:sz w:val="32"/>
                <w:szCs w:val="32"/>
              </w:rPr>
              <w:tab/>
            </w:r>
          </w:p>
          <w:p w14:paraId="5F73C5CB">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3.2各乡街、开发区管委会职责</w:t>
            </w:r>
            <w:r>
              <w:rPr>
                <w:rFonts w:hint="default" w:ascii="Times New Roman" w:hAnsi="Times New Roman" w:eastAsia="宋体" w:cs="Times New Roman"/>
                <w:sz w:val="32"/>
                <w:szCs w:val="32"/>
              </w:rPr>
              <w:tab/>
            </w:r>
          </w:p>
          <w:p w14:paraId="2FD0C59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4应急准备</w:t>
            </w:r>
            <w:r>
              <w:rPr>
                <w:rFonts w:hint="default" w:ascii="Times New Roman" w:hAnsi="Times New Roman" w:eastAsia="宋体" w:cs="Times New Roman"/>
                <w:sz w:val="32"/>
                <w:szCs w:val="32"/>
              </w:rPr>
              <w:tab/>
            </w:r>
          </w:p>
          <w:p w14:paraId="6515C214">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4.1预案准备</w:t>
            </w:r>
            <w:r>
              <w:rPr>
                <w:rFonts w:hint="default" w:ascii="Times New Roman" w:hAnsi="Times New Roman" w:eastAsia="宋体" w:cs="Times New Roman"/>
                <w:sz w:val="32"/>
                <w:szCs w:val="32"/>
              </w:rPr>
              <w:tab/>
            </w:r>
          </w:p>
          <w:p w14:paraId="5845FEA4">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4.2值守准备</w:t>
            </w:r>
            <w:r>
              <w:rPr>
                <w:rFonts w:hint="default" w:ascii="Times New Roman" w:hAnsi="Times New Roman" w:eastAsia="宋体" w:cs="Times New Roman"/>
                <w:sz w:val="32"/>
                <w:szCs w:val="32"/>
              </w:rPr>
              <w:tab/>
            </w:r>
          </w:p>
          <w:p w14:paraId="79C16A10">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4.3联动机制</w:t>
            </w:r>
            <w:r>
              <w:rPr>
                <w:rFonts w:hint="default" w:ascii="Times New Roman" w:hAnsi="Times New Roman" w:eastAsia="宋体" w:cs="Times New Roman"/>
                <w:sz w:val="32"/>
                <w:szCs w:val="32"/>
              </w:rPr>
              <w:tab/>
            </w:r>
          </w:p>
          <w:p w14:paraId="6BB59642">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4.4应急救援队伍</w:t>
            </w:r>
            <w:r>
              <w:rPr>
                <w:rFonts w:hint="default" w:ascii="Times New Roman" w:hAnsi="Times New Roman" w:eastAsia="宋体" w:cs="Times New Roman"/>
                <w:sz w:val="32"/>
                <w:szCs w:val="32"/>
              </w:rPr>
              <w:tab/>
            </w:r>
          </w:p>
          <w:p w14:paraId="345B65AD">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4.5物资装备准备</w:t>
            </w:r>
            <w:r>
              <w:rPr>
                <w:rFonts w:hint="default" w:ascii="Times New Roman" w:hAnsi="Times New Roman" w:eastAsia="宋体" w:cs="Times New Roman"/>
                <w:sz w:val="32"/>
                <w:szCs w:val="32"/>
              </w:rPr>
              <w:tab/>
            </w:r>
          </w:p>
          <w:p w14:paraId="04ED45A7">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4.6应急资金准备</w:t>
            </w:r>
            <w:r>
              <w:rPr>
                <w:rFonts w:hint="default" w:ascii="Times New Roman" w:hAnsi="Times New Roman" w:eastAsia="宋体" w:cs="Times New Roman"/>
                <w:sz w:val="32"/>
                <w:szCs w:val="32"/>
              </w:rPr>
              <w:tab/>
            </w:r>
          </w:p>
          <w:p w14:paraId="47DDE626">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4.7安全防护</w:t>
            </w:r>
            <w:r>
              <w:rPr>
                <w:rFonts w:hint="default" w:ascii="Times New Roman" w:hAnsi="Times New Roman" w:eastAsia="宋体" w:cs="Times New Roman"/>
                <w:sz w:val="32"/>
                <w:szCs w:val="32"/>
              </w:rPr>
              <w:tab/>
            </w:r>
          </w:p>
          <w:p w14:paraId="59A74D9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5预防和预警</w:t>
            </w:r>
            <w:r>
              <w:rPr>
                <w:rFonts w:hint="default" w:ascii="Times New Roman" w:hAnsi="Times New Roman" w:eastAsia="宋体" w:cs="Times New Roman"/>
                <w:sz w:val="32"/>
                <w:szCs w:val="32"/>
              </w:rPr>
              <w:tab/>
            </w:r>
          </w:p>
          <w:p w14:paraId="05ACB4FB">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5.1预防</w:t>
            </w:r>
            <w:r>
              <w:rPr>
                <w:rFonts w:hint="default" w:ascii="Times New Roman" w:hAnsi="Times New Roman" w:eastAsia="宋体" w:cs="Times New Roman"/>
                <w:sz w:val="32"/>
                <w:szCs w:val="32"/>
              </w:rPr>
              <w:tab/>
            </w:r>
          </w:p>
          <w:p w14:paraId="2E08B748">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5.2预警信息</w:t>
            </w:r>
            <w:r>
              <w:rPr>
                <w:rFonts w:hint="default" w:ascii="Times New Roman" w:hAnsi="Times New Roman" w:eastAsia="宋体" w:cs="Times New Roman"/>
                <w:sz w:val="32"/>
                <w:szCs w:val="32"/>
              </w:rPr>
              <w:tab/>
            </w:r>
          </w:p>
          <w:p w14:paraId="43D36716">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5.3预警措施</w:t>
            </w:r>
            <w:r>
              <w:rPr>
                <w:rFonts w:hint="default" w:ascii="Times New Roman" w:hAnsi="Times New Roman" w:eastAsia="宋体" w:cs="Times New Roman"/>
                <w:sz w:val="32"/>
                <w:szCs w:val="32"/>
              </w:rPr>
              <w:tab/>
            </w:r>
          </w:p>
          <w:p w14:paraId="365D677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6应急响应</w:t>
            </w:r>
            <w:r>
              <w:rPr>
                <w:rFonts w:hint="default" w:ascii="Times New Roman" w:hAnsi="Times New Roman" w:eastAsia="宋体" w:cs="Times New Roman"/>
                <w:sz w:val="32"/>
                <w:szCs w:val="32"/>
              </w:rPr>
              <w:tab/>
            </w:r>
          </w:p>
          <w:p w14:paraId="46EE1CED">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6.1分级响应机制</w:t>
            </w:r>
          </w:p>
          <w:p w14:paraId="0AA7CE71">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6.2应急响应行动</w:t>
            </w:r>
          </w:p>
          <w:p w14:paraId="5C763CC1">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6.3指挥与协调</w:t>
            </w:r>
            <w:r>
              <w:rPr>
                <w:rFonts w:hint="default" w:ascii="Times New Roman" w:hAnsi="Times New Roman" w:eastAsia="宋体" w:cs="Times New Roman"/>
                <w:sz w:val="32"/>
                <w:szCs w:val="32"/>
              </w:rPr>
              <w:tab/>
            </w:r>
          </w:p>
          <w:p w14:paraId="7FB4F52F">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6.4处置措施</w:t>
            </w:r>
            <w:r>
              <w:rPr>
                <w:rFonts w:hint="default" w:ascii="Times New Roman" w:hAnsi="Times New Roman" w:eastAsia="宋体" w:cs="Times New Roman"/>
                <w:sz w:val="32"/>
                <w:szCs w:val="32"/>
              </w:rPr>
              <w:tab/>
            </w:r>
          </w:p>
          <w:p w14:paraId="0D3FB79C">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6.5应急监测</w:t>
            </w:r>
            <w:r>
              <w:rPr>
                <w:rFonts w:hint="default" w:ascii="Times New Roman" w:hAnsi="Times New Roman" w:eastAsia="宋体" w:cs="Times New Roman"/>
                <w:sz w:val="32"/>
                <w:szCs w:val="32"/>
              </w:rPr>
              <w:tab/>
            </w:r>
          </w:p>
          <w:p w14:paraId="6BBCE45B">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6.6信息报送与处理</w:t>
            </w:r>
          </w:p>
          <w:p w14:paraId="37AF3BEF">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6.7新闻发布</w:t>
            </w:r>
          </w:p>
          <w:p w14:paraId="3B2038BF">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6.8应急终止</w:t>
            </w:r>
            <w:r>
              <w:rPr>
                <w:rFonts w:hint="default" w:ascii="Times New Roman" w:hAnsi="Times New Roman" w:eastAsia="宋体" w:cs="Times New Roman"/>
                <w:sz w:val="32"/>
                <w:szCs w:val="32"/>
              </w:rPr>
              <w:tab/>
            </w:r>
          </w:p>
          <w:p w14:paraId="6164A4FB">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6.9人员防护</w:t>
            </w:r>
            <w:r>
              <w:rPr>
                <w:rFonts w:hint="default" w:ascii="Times New Roman" w:hAnsi="Times New Roman" w:eastAsia="宋体" w:cs="Times New Roman"/>
                <w:sz w:val="32"/>
                <w:szCs w:val="32"/>
              </w:rPr>
              <w:tab/>
            </w:r>
          </w:p>
          <w:p w14:paraId="775DB96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7后期处置</w:t>
            </w:r>
          </w:p>
          <w:p w14:paraId="629B4343">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7.1调查</w:t>
            </w:r>
          </w:p>
          <w:p w14:paraId="37DC151C">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7.2总结</w:t>
            </w:r>
            <w:r>
              <w:rPr>
                <w:rFonts w:hint="default" w:ascii="Times New Roman" w:hAnsi="Times New Roman" w:eastAsia="宋体" w:cs="Times New Roman"/>
                <w:sz w:val="32"/>
                <w:szCs w:val="32"/>
              </w:rPr>
              <w:tab/>
            </w:r>
          </w:p>
          <w:p w14:paraId="6CE5243E">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7.3善后工作</w:t>
            </w:r>
            <w:r>
              <w:rPr>
                <w:rFonts w:hint="default" w:ascii="Times New Roman" w:hAnsi="Times New Roman" w:eastAsia="宋体" w:cs="Times New Roman"/>
                <w:sz w:val="32"/>
                <w:szCs w:val="32"/>
              </w:rPr>
              <w:tab/>
            </w:r>
          </w:p>
          <w:p w14:paraId="39E01771">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7.4保险</w:t>
            </w:r>
            <w:r>
              <w:rPr>
                <w:rFonts w:hint="default" w:ascii="Times New Roman" w:hAnsi="Times New Roman" w:eastAsia="宋体" w:cs="Times New Roman"/>
                <w:sz w:val="32"/>
                <w:szCs w:val="32"/>
              </w:rPr>
              <w:tab/>
            </w:r>
          </w:p>
          <w:p w14:paraId="520AFB1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8应急预案的衔接</w:t>
            </w:r>
          </w:p>
          <w:p w14:paraId="47A4E599">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8.1应急组织机构、人员衔接</w:t>
            </w:r>
            <w:r>
              <w:rPr>
                <w:rFonts w:hint="default" w:ascii="Times New Roman" w:hAnsi="Times New Roman" w:eastAsia="宋体" w:cs="Times New Roman"/>
                <w:sz w:val="32"/>
                <w:szCs w:val="32"/>
              </w:rPr>
              <w:tab/>
            </w:r>
          </w:p>
          <w:p w14:paraId="48725D02">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8.2预案分级响应衔接</w:t>
            </w:r>
            <w:r>
              <w:rPr>
                <w:rFonts w:hint="default" w:ascii="Times New Roman" w:hAnsi="Times New Roman" w:eastAsia="宋体" w:cs="Times New Roman"/>
                <w:sz w:val="32"/>
                <w:szCs w:val="32"/>
              </w:rPr>
              <w:tab/>
            </w:r>
          </w:p>
          <w:p w14:paraId="5D32D936">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8.3应急救援保障衔接</w:t>
            </w:r>
            <w:r>
              <w:rPr>
                <w:rFonts w:hint="default" w:ascii="Times New Roman" w:hAnsi="Times New Roman" w:eastAsia="宋体" w:cs="Times New Roman"/>
                <w:sz w:val="32"/>
                <w:szCs w:val="32"/>
              </w:rPr>
              <w:tab/>
            </w:r>
          </w:p>
          <w:p w14:paraId="1ADC1E53">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8.4各类应急预案内容的衔接</w:t>
            </w:r>
            <w:r>
              <w:rPr>
                <w:rFonts w:hint="default" w:ascii="Times New Roman" w:hAnsi="Times New Roman" w:eastAsia="宋体" w:cs="Times New Roman"/>
                <w:sz w:val="32"/>
                <w:szCs w:val="32"/>
              </w:rPr>
              <w:tab/>
            </w:r>
          </w:p>
          <w:p w14:paraId="7CCA4B8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9宣传教育、培训与演练</w:t>
            </w:r>
            <w:r>
              <w:rPr>
                <w:rFonts w:hint="default" w:ascii="Times New Roman" w:hAnsi="Times New Roman" w:eastAsia="宋体" w:cs="Times New Roman"/>
                <w:sz w:val="32"/>
                <w:szCs w:val="32"/>
              </w:rPr>
              <w:tab/>
            </w:r>
          </w:p>
          <w:p w14:paraId="62C0BBBD">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9.1公众宣传教育</w:t>
            </w:r>
          </w:p>
          <w:p w14:paraId="4FC5D87D">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9.2培训</w:t>
            </w:r>
          </w:p>
          <w:p w14:paraId="22AA20DC">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9.3演练</w:t>
            </w:r>
          </w:p>
          <w:p w14:paraId="2B57EDC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10奖励与责任追究</w:t>
            </w:r>
          </w:p>
          <w:p w14:paraId="757F3458">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10.1奖励</w:t>
            </w:r>
            <w:r>
              <w:rPr>
                <w:rFonts w:hint="default" w:ascii="Times New Roman" w:hAnsi="Times New Roman" w:eastAsia="宋体" w:cs="Times New Roman"/>
                <w:sz w:val="32"/>
                <w:szCs w:val="32"/>
              </w:rPr>
              <w:tab/>
            </w:r>
          </w:p>
          <w:p w14:paraId="00D33752">
            <w:pPr>
              <w:overflowPunct w:val="0"/>
              <w:snapToGrid/>
              <w:spacing w:line="560" w:lineRule="exact"/>
              <w:ind w:firstLine="942" w:firstLineChars="2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10.2责任追究</w:t>
            </w:r>
            <w:r>
              <w:rPr>
                <w:rFonts w:hint="default" w:ascii="Times New Roman" w:hAnsi="Times New Roman" w:eastAsia="宋体" w:cs="Times New Roman"/>
                <w:sz w:val="32"/>
                <w:szCs w:val="32"/>
              </w:rPr>
              <w:tab/>
            </w:r>
          </w:p>
          <w:p w14:paraId="387EF62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11附则</w:t>
            </w:r>
            <w:r>
              <w:rPr>
                <w:rFonts w:hint="default" w:ascii="Times New Roman" w:hAnsi="Times New Roman" w:eastAsia="宋体" w:cs="Times New Roman"/>
                <w:sz w:val="32"/>
                <w:szCs w:val="32"/>
              </w:rPr>
              <w:tab/>
            </w:r>
          </w:p>
          <w:p w14:paraId="7437A424">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11.1预案管理</w:t>
            </w:r>
          </w:p>
          <w:p w14:paraId="467057D3">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11.2预案解释部门</w:t>
            </w:r>
          </w:p>
          <w:p w14:paraId="74A201F0">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11.3预案施行时间</w:t>
            </w:r>
            <w:r>
              <w:rPr>
                <w:rFonts w:hint="default" w:ascii="Times New Roman" w:hAnsi="Times New Roman" w:eastAsia="宋体" w:cs="Times New Roman"/>
                <w:sz w:val="32"/>
                <w:szCs w:val="32"/>
              </w:rPr>
              <w:tab/>
            </w:r>
          </w:p>
          <w:p w14:paraId="689F6021">
            <w:pPr>
              <w:overflowPunct w:val="0"/>
              <w:snapToGrid/>
              <w:spacing w:line="560" w:lineRule="exact"/>
              <w:ind w:firstLine="1100" w:firstLineChars="34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11.4名词术语</w:t>
            </w:r>
            <w:r>
              <w:rPr>
                <w:rFonts w:hint="default" w:ascii="Times New Roman" w:hAnsi="Times New Roman" w:eastAsia="宋体" w:cs="Times New Roman"/>
                <w:sz w:val="32"/>
                <w:szCs w:val="32"/>
              </w:rPr>
              <w:tab/>
            </w:r>
          </w:p>
          <w:p w14:paraId="271AA0A2">
            <w:pPr>
              <w:overflowPunct w:val="0"/>
              <w:snapToGrid/>
              <w:spacing w:line="560" w:lineRule="exact"/>
              <w:ind w:firstLine="626" w:firstLineChars="198"/>
              <w:rPr>
                <w:rFonts w:hint="default" w:ascii="Times New Roman" w:hAnsi="Times New Roman" w:eastAsia="宋体" w:cs="Times New Roman"/>
                <w:sz w:val="32"/>
                <w:szCs w:val="32"/>
              </w:rPr>
            </w:pPr>
          </w:p>
          <w:p w14:paraId="6301CB12">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1</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总则</w:t>
            </w:r>
          </w:p>
          <w:p w14:paraId="319F324A">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编制目的</w:t>
            </w:r>
          </w:p>
          <w:p w14:paraId="1102F6D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为建立统一、高效、科学、规范的突发环境事件应急指挥、保障和防控体系，保障人民群众生命财产安全和社会公共安全，保持社会政治稳定，制定本预案。</w:t>
            </w:r>
          </w:p>
          <w:p w14:paraId="2337354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本预案是连云区人民政府统一组织、指挥、协调应对全区突发环境事件的工作方案，是指导全区各机构、各部门做好突发环境事件应急处置工作的依据。</w:t>
            </w:r>
          </w:p>
          <w:p w14:paraId="43F6E2E9">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工作原则</w:t>
            </w:r>
          </w:p>
          <w:p w14:paraId="22F1960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以人为本。加强对环境风险源的监测、监控并实施监督管理，建立环境事件风险防范体系，积极预防、及时控制、消除隐患，提高环境事件防范和处理能力，尽可能地避免或减少突发环境事件的发生，消除或减轻环境事件造成的中长期影响，最大程度地保障公众健康，保护人民群众生命财产安全。</w:t>
            </w:r>
          </w:p>
          <w:p w14:paraId="6F332AF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依法规范。应急预案的制定、修订与实施，应当以有关法律、法规、规章为依据，与有关政策相衔接，与完善政府社会管理和公共服务职能、深化行政管理体制改革相结合；要按照有关程序制定、修订应急预案；要依法实施应急预案。</w:t>
            </w:r>
          </w:p>
          <w:p w14:paraId="4545095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分级负责。坚持分级管理、分级响应、条块结合、属地管理为主的原则。区人民政府是指导、处置本行政区域一般（Ⅳ级）、较大（Ⅲ级）突发环境事件的责任主体。根据突发环境事件的严重性、可控性、所需动用的资源、影响范围等因素，分级设定和启动应急预案，落实岗位责任制，明确责任人及其指挥权限。</w:t>
            </w:r>
          </w:p>
          <w:p w14:paraId="2C1FD66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资源整合。按照条块结合、资源整合、降低行政成本，提高效率的要求，充分利用现有人力、技术、物资和信息应急资源，避免重复建设；明确不同类型突发环境事件应急处置的牵头部门及其职责和权限，其他相关部门、单位密切配合。</w:t>
            </w:r>
          </w:p>
          <w:p w14:paraId="4260B1C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防为主。要贯彻预防为主的思想，树立常备不懈的观念，经常性地做好应对突发环境事件的思想准备、预案准备、机制准备和工作准备。要重点建立健全信息报告体系、科学决策体系、防灾救灾体系和恢复重建体系。要建立健全应急处置专业队伍，做好对广大人民群众的宣传教育工作，并定期进行演练、演习；要加强环境安全的科学研究，采用先进的预防、预警、预测和应急处置技术，提高预防和应对突发环境事件的科技水平。</w:t>
            </w:r>
          </w:p>
          <w:p w14:paraId="43E6000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补偿原则。行政机关应当及时返还为处置突发环境事件征用的公民、法人或者其他组织的财产；不能返还或者财产毁损的，应当依法给予补偿。行政机关为处置突发环境事件征收公民、法人或者其他组织财产的，应当按照被征收财产的实际价值给予补偿。</w:t>
            </w:r>
          </w:p>
          <w:p w14:paraId="70421A16">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编制依据</w:t>
            </w:r>
          </w:p>
          <w:p w14:paraId="50E992F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根据《中华人民共和国突发事件应对法》《中华人民共和国环境保护法》《国家突发环境事件应急预案》以及《江苏省实施〈中华人民共和国突发事件应对法〉办法》《江苏省突发环境事件应急预案》《连云港市突发环境事件应急预案》等相关法律、法规、规章及规范性文件，结合连云区实际，编制本预案。</w:t>
            </w:r>
          </w:p>
          <w:p w14:paraId="5BABC9F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适用范围</w:t>
            </w:r>
          </w:p>
          <w:p w14:paraId="42E36BA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预案适用于指导、预防和处置发生在连云区管辖范围内、或发生在相邻行政区域但污染已经或即将扩散至本区，需要由本区处置或参与处置的各类突发环境事件，主要包括大气环境污染事件、水环境污染事件、土壤</w:t>
            </w:r>
            <w:r>
              <w:rPr>
                <w:rFonts w:hint="default" w:ascii="Times New Roman" w:hAnsi="Times New Roman" w:eastAsia="宋体" w:cs="Times New Roman"/>
                <w:sz w:val="32"/>
                <w:szCs w:val="32"/>
                <w:lang w:val="en-US" w:eastAsia="zh-CN"/>
              </w:rPr>
              <w:t>地下水</w:t>
            </w:r>
            <w:r>
              <w:rPr>
                <w:rFonts w:hint="default" w:ascii="Times New Roman" w:hAnsi="Times New Roman" w:eastAsia="宋体" w:cs="Times New Roman"/>
                <w:sz w:val="32"/>
                <w:szCs w:val="32"/>
              </w:rPr>
              <w:t>环境污染事件等生态环境污染事件的应对工作。</w:t>
            </w:r>
          </w:p>
          <w:p w14:paraId="0C5CCC0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因生产安全、交通运输、自然灾害及人为破坏或恐怖袭击引发的以环境污染为次要灾害的突发事件，启动其他相关应急预案。</w:t>
            </w:r>
          </w:p>
          <w:p w14:paraId="5F54870D">
            <w:pPr>
              <w:overflowPunct w:val="0"/>
              <w:snapToGrid/>
              <w:spacing w:line="560" w:lineRule="exact"/>
              <w:ind w:firstLine="626" w:firstLineChars="198"/>
              <w:rPr>
                <w:rFonts w:hint="default" w:ascii="Times New Roman" w:hAnsi="Times New Roman" w:eastAsia="宋体" w:cs="Times New Roman"/>
                <w:sz w:val="32"/>
                <w:szCs w:val="32"/>
                <w:lang w:eastAsia="zh-CN"/>
              </w:rPr>
            </w:pPr>
            <w:r>
              <w:rPr>
                <w:rFonts w:hint="default" w:ascii="Times New Roman" w:hAnsi="Times New Roman" w:eastAsia="宋体" w:cs="Times New Roman"/>
                <w:sz w:val="32"/>
                <w:szCs w:val="32"/>
              </w:rPr>
              <w:t>核与辐射事件应急预案</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海上溢油事件、船舶污染事件、重污染天气等事件应对工作，按照各自相应的应急预案执行</w:t>
            </w:r>
            <w:r>
              <w:rPr>
                <w:rFonts w:hint="default" w:ascii="Times New Roman" w:hAnsi="Times New Roman" w:eastAsia="宋体" w:cs="Times New Roman"/>
                <w:sz w:val="32"/>
                <w:szCs w:val="32"/>
                <w:lang w:eastAsia="zh-CN"/>
              </w:rPr>
              <w:t>。</w:t>
            </w:r>
          </w:p>
          <w:p w14:paraId="5CA3EC1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事件分级</w:t>
            </w:r>
          </w:p>
          <w:p w14:paraId="017A8F2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按照突发环境事件严重性和紧急程度，突发环境事件分为特别重大（Ⅰ级）、重大（Ⅱ级）、较大（Ⅲ级）和一般（Ⅳ级）。</w:t>
            </w:r>
          </w:p>
          <w:p w14:paraId="2E6AD20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特别重大（Ⅰ级）突发环境事件</w:t>
            </w:r>
          </w:p>
          <w:p w14:paraId="3F6FC82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凡符合下列情形之一的，为特别重大突发环境事件：</w:t>
            </w:r>
          </w:p>
          <w:p w14:paraId="2907499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（1）因环境污染直接导致30人以上死亡或100人以上中毒或重伤的。</w:t>
            </w:r>
          </w:p>
          <w:p w14:paraId="481DAA4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（2）因环境污染疏散、转移人员5万人以上的。</w:t>
            </w:r>
          </w:p>
          <w:p w14:paraId="469F334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（3）因环境污染造成直接经济损失1亿元以上的。</w:t>
            </w:r>
          </w:p>
          <w:p w14:paraId="329EC9A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（4）因环境污染造成区域生态功能丧失或该区域国家重点保护物种灭绝的。</w:t>
            </w:r>
          </w:p>
          <w:p w14:paraId="32D59E7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（5）因环境污染造成设区的市级集中式饮用水水源地取水中断的。</w:t>
            </w:r>
          </w:p>
          <w:p w14:paraId="5BB202B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重大（Ⅱ级）突发环境事件</w:t>
            </w:r>
          </w:p>
          <w:p w14:paraId="3AD4BAC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凡符合下列情形之一的，为重大突发环境事件：</w:t>
            </w:r>
          </w:p>
          <w:p w14:paraId="04872F2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（1）因环境污染直接导致10人以上30人以下死亡或50人以上100人以下中毒或重伤的。</w:t>
            </w:r>
          </w:p>
          <w:p w14:paraId="204C650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（2）因环境污染疏散、转移人员1万人以上5万人以下的。</w:t>
            </w:r>
          </w:p>
          <w:p w14:paraId="52A983B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（3）因环境污染造成直接经济损失2000万元以上1亿元以下的。</w:t>
            </w:r>
          </w:p>
          <w:p w14:paraId="45ECEC0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（4）因环境污染造成区域生态功能部分丧失或该区域国家重点保护野生动植物种群大批死亡的。</w:t>
            </w:r>
          </w:p>
          <w:p w14:paraId="6B47460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（5）因环境污染造成县区级集中式饮用水水源地取水中断的。</w:t>
            </w:r>
          </w:p>
          <w:p w14:paraId="665DACF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（6）造成跨县区级行政区域影响的突发环境事件。</w:t>
            </w:r>
          </w:p>
          <w:p w14:paraId="6FF3370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较大（Ⅲ级）突发环境事件</w:t>
            </w:r>
          </w:p>
          <w:p w14:paraId="565A8F1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凡符合下列情形之一的，为较大突发环境事件：</w:t>
            </w:r>
          </w:p>
          <w:p w14:paraId="3679A43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（1）因环境污染直接导致3人以上10人以下死亡或10人以上50人以下中毒或重伤的。</w:t>
            </w:r>
          </w:p>
          <w:p w14:paraId="4470535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（2）因环境污染疏散、转移人员5000人以上1万人以下的。</w:t>
            </w:r>
          </w:p>
          <w:p w14:paraId="0CD17CF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（3）因环境污染造成直接经济损失500万元以上2000万元以下的。</w:t>
            </w:r>
          </w:p>
          <w:p w14:paraId="3359460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（4）因环境污染造成国家重点保护的动植物物种受到破坏的。</w:t>
            </w:r>
          </w:p>
          <w:p w14:paraId="5226D4A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（5）因环境污染造成乡镇集中式饮用水水源地取水中断的。</w:t>
            </w:r>
          </w:p>
          <w:p w14:paraId="2A718CD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（6）造成跨乡镇级行政区域影响的突发环境事件。</w:t>
            </w:r>
          </w:p>
          <w:p w14:paraId="4E0DA15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一般（Ⅳ级）突发环境事件</w:t>
            </w:r>
          </w:p>
          <w:p w14:paraId="27B6503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凡符合下列情形之一的，为一般突发环境事件：</w:t>
            </w:r>
          </w:p>
          <w:p w14:paraId="7C5E2BE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（1）因环境污染直接导致3人以下死亡，或10人以下中毒或重伤的。</w:t>
            </w:r>
          </w:p>
          <w:p w14:paraId="1EA8C7A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（2）因环境污染疏散、转移人员5000人以下的。</w:t>
            </w:r>
          </w:p>
          <w:p w14:paraId="5C60F9B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（3）因环境污染造成直接经济损失500万元以下的。</w:t>
            </w:r>
          </w:p>
          <w:p w14:paraId="62C7A62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（4）突发事件对环境造成一定影响，尚未达到较大突发环境事件级别的。</w:t>
            </w:r>
          </w:p>
          <w:p w14:paraId="6EAA975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其他类型突发环境事件</w:t>
            </w:r>
          </w:p>
          <w:p w14:paraId="63CDCBE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对居民聚集区、学校、医院等敏感区域和人群造成影响的；已引发大规模群体性事件的；地方人民政府认为其他有必要的突发环境事件视为重大或者特别重大突发环境事件处置。</w:t>
            </w:r>
          </w:p>
          <w:p w14:paraId="5DC16807">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2</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连云区环境风险概况</w:t>
            </w:r>
          </w:p>
          <w:p w14:paraId="0052246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根据行政区划，连云区下辖9个乡街（海州湾街道、墟沟街道、连云街道、连岛街道、云山街道、板桥街道、宿城街道、高公岛街道、前三岛乡）及1个开发区（连云开发区）。</w:t>
            </w:r>
          </w:p>
          <w:p w14:paraId="4B9BEA6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连云区环境风险源主要有环境风险企业（包括江苏核电有限公司田湾核电站中非放射性部分）、港口码头（连云港港）、涉及环境风险物质运输的道路运输载具、集中式污水处理厂、加油站及加气站等。</w:t>
            </w:r>
          </w:p>
          <w:p w14:paraId="2F3B21BB">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3</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应急指挥体系与职责</w:t>
            </w:r>
          </w:p>
          <w:p w14:paraId="5CD411F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区突发环境事件应急指挥体系由连云区突发环境事件应急指挥中心、现场指挥部、专家组、环境应急救援队伍</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连云港区环境应急管理办公室组成。</w:t>
            </w:r>
          </w:p>
          <w:p w14:paraId="2A8FCB3B">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应急指挥机构</w:t>
            </w:r>
          </w:p>
          <w:p w14:paraId="305326E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连云区突发环境事件应急指挥中心</w:t>
            </w:r>
          </w:p>
          <w:p w14:paraId="50CD9A8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连云区突发环境事件应急指挥中心（以下简称“区应急指挥中心”）是区本级突发环境事件应急处置及救援的指挥机构，负责统一领导在连云区管辖范围内发生的突发环境事件的应对工作。区应急指挥中心由区长担任总指挥，分管副区长任副总指挥。</w:t>
            </w:r>
          </w:p>
          <w:p w14:paraId="27CBFE0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区应急指挥中心成员单位：区委宣传部、区经济发展局、区民政局、区司法局、区财政局、区林业和海洋局、区住房和城乡建设局、区农业农村局、区文化体育和旅游局、</w:t>
            </w:r>
            <w:r>
              <w:rPr>
                <w:rFonts w:hint="default" w:ascii="Times New Roman" w:hAnsi="Times New Roman" w:eastAsia="宋体" w:cs="Times New Roman"/>
                <w:sz w:val="32"/>
                <w:szCs w:val="32"/>
                <w:lang w:eastAsia="zh-CN"/>
              </w:rPr>
              <w:t>区气象局、</w:t>
            </w:r>
            <w:r>
              <w:rPr>
                <w:rFonts w:hint="default" w:ascii="Times New Roman" w:hAnsi="Times New Roman" w:eastAsia="宋体" w:cs="Times New Roman"/>
                <w:sz w:val="32"/>
                <w:szCs w:val="32"/>
              </w:rPr>
              <w:t>区卫生健康委员会、区应急管理局、连云生态环境局、市公安局连云分局、连云区消防救援大队、市交警支队连云大队、各街道办事处、前三岛乡、连云开发区管委会等。</w:t>
            </w:r>
          </w:p>
          <w:p w14:paraId="48DAD8C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主要职责：（1）定期召开会议，听取各单位、各有关部门有关突发环境事件预防、应急准备、应急处置、事后恢复与重建工作的汇报，分析有关突发环境事件的重要信息、发展趋势；（2）审议、决定突发环境事件应对工作中的重大事项，统一领导和协调全区各级突发环境事件应急处置机构；（3）判定是否启动预警，是否启动突发环境事件应急预案；（4）组织力量处置一般、较大的突发事件，协助、配合连云港市人民政府先期处置连云区管辖范围内的重大、特别重大突发环境事件；（5）检查、督促有关部门贯彻执行国家有关保障人身及社会财产安全的法律和政策，及时协调应急处置工作中出现的问题。</w:t>
            </w:r>
          </w:p>
          <w:p w14:paraId="445241C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直各有关部门负责各自专业领域的应急协调保障工作。各有关成员单位之间建立应急联系工作机制，保证信息通畅和信息共享；按照各自职责制定本部门的环境应急救援和保障方面的应急预案，并负责管理和实施；需要其他部门增援时，有关部门向区应急指挥中心提出增援请求。</w:t>
            </w:r>
          </w:p>
          <w:p w14:paraId="4F9089C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各成员单位主要职责：</w:t>
            </w:r>
          </w:p>
          <w:p w14:paraId="1E55C4E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（1）区委宣传部：负责指导协调突发环境事件宣传报道工作。</w:t>
            </w:r>
          </w:p>
          <w:p w14:paraId="42F1FFC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（2）区经济发展局：负责</w:t>
            </w:r>
            <w:r>
              <w:rPr>
                <w:rFonts w:hint="default" w:ascii="Times New Roman" w:hAnsi="Times New Roman" w:eastAsia="宋体" w:cs="Times New Roman"/>
                <w:sz w:val="32"/>
                <w:szCs w:val="32"/>
                <w:lang w:eastAsia="zh-CN"/>
              </w:rPr>
              <w:t>职责内的</w:t>
            </w:r>
            <w:r>
              <w:rPr>
                <w:rFonts w:hint="default" w:ascii="Times New Roman" w:hAnsi="Times New Roman" w:eastAsia="宋体" w:cs="Times New Roman"/>
                <w:sz w:val="32"/>
                <w:szCs w:val="32"/>
              </w:rPr>
              <w:t>突发环境事件中重要物资及应急储备物资的收储、日常管理及事故状态下的调配和供应。</w:t>
            </w:r>
          </w:p>
          <w:p w14:paraId="698BB49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（3）区民政局：负责组织、协调灾民救助工作；负责做好遇难人员遗体的处置工作。</w:t>
            </w:r>
          </w:p>
          <w:p w14:paraId="59549D7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（4）区司法局：提供相关涉及突发环境事件的法律援助。</w:t>
            </w:r>
          </w:p>
          <w:p w14:paraId="06AD7A4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（5）区财政局：负责落实突发环境事件应急工作的区级经费保障。</w:t>
            </w:r>
          </w:p>
          <w:p w14:paraId="392447A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（6）区林业和海洋局：负责</w:t>
            </w:r>
            <w:r>
              <w:rPr>
                <w:rFonts w:hint="default" w:ascii="Times New Roman" w:hAnsi="Times New Roman" w:eastAsia="宋体" w:cs="Times New Roman"/>
                <w:sz w:val="32"/>
                <w:szCs w:val="32"/>
                <w:lang w:eastAsia="zh-CN"/>
              </w:rPr>
              <w:t>组织开展对</w:t>
            </w:r>
            <w:r>
              <w:rPr>
                <w:rFonts w:hint="default" w:ascii="Times New Roman" w:hAnsi="Times New Roman" w:eastAsia="宋体" w:cs="Times New Roman"/>
                <w:sz w:val="32"/>
                <w:szCs w:val="32"/>
              </w:rPr>
              <w:t>林业</w:t>
            </w:r>
            <w:r>
              <w:rPr>
                <w:rFonts w:hint="default" w:ascii="Times New Roman" w:hAnsi="Times New Roman" w:eastAsia="宋体" w:cs="Times New Roman"/>
                <w:sz w:val="32"/>
                <w:szCs w:val="32"/>
                <w:lang w:eastAsia="zh-CN"/>
              </w:rPr>
              <w:t>、渔业资源造成影响的</w:t>
            </w:r>
            <w:r>
              <w:rPr>
                <w:rFonts w:hint="default" w:ascii="Times New Roman" w:hAnsi="Times New Roman" w:eastAsia="宋体" w:cs="Times New Roman"/>
                <w:sz w:val="32"/>
                <w:szCs w:val="32"/>
              </w:rPr>
              <w:t>突发环境事件的调</w:t>
            </w:r>
            <w:r>
              <w:rPr>
                <w:rFonts w:hint="default" w:ascii="Times New Roman" w:hAnsi="Times New Roman" w:eastAsia="宋体" w:cs="Times New Roman"/>
                <w:sz w:val="32"/>
                <w:szCs w:val="32"/>
                <w:lang w:eastAsia="zh-CN"/>
              </w:rPr>
              <w:t>查</w:t>
            </w:r>
            <w:r>
              <w:rPr>
                <w:rFonts w:hint="default" w:ascii="Times New Roman" w:hAnsi="Times New Roman" w:eastAsia="宋体" w:cs="Times New Roman"/>
                <w:sz w:val="32"/>
                <w:szCs w:val="32"/>
              </w:rPr>
              <w:t>与</w:t>
            </w:r>
            <w:r>
              <w:rPr>
                <w:rFonts w:hint="default" w:ascii="Times New Roman" w:hAnsi="Times New Roman" w:eastAsia="宋体" w:cs="Times New Roman"/>
                <w:sz w:val="32"/>
                <w:szCs w:val="32"/>
                <w:lang w:eastAsia="zh-CN"/>
              </w:rPr>
              <w:t>评估</w:t>
            </w:r>
            <w:r>
              <w:rPr>
                <w:rFonts w:hint="default" w:ascii="Times New Roman" w:hAnsi="Times New Roman" w:eastAsia="宋体" w:cs="Times New Roman"/>
                <w:sz w:val="32"/>
                <w:szCs w:val="32"/>
              </w:rPr>
              <w:t>工作；负责提供地理信息作为决策支撑。</w:t>
            </w:r>
          </w:p>
          <w:p w14:paraId="7B6A48B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（7）区住房和城乡建设局：负责指导饮用水供水安全应急处置工作；负责配合涉及燃气热力、环境卫生等城市市政公用基础设施的突发环境事件的调查和应急处置工作。</w:t>
            </w:r>
          </w:p>
          <w:p w14:paraId="2D9B2C7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（8）区农业农村局：负责组织开展对水利、农业生产造成影响的突发环境事件的调查和评估工作；负责事故状态下水利设施的调度。</w:t>
            </w:r>
          </w:p>
          <w:p w14:paraId="185F595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（9）区文化体育和旅游局：负责指导、督促广播电视台发布预警信息；负责组织开展涉及景点、文物等突发环境事件的应急处置工作。</w:t>
            </w:r>
          </w:p>
          <w:p w14:paraId="27EDDAD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（10）区卫生健康委员会：负责组织、协调、指导开展突发环境事件中受伤（中毒）人员现场急救、转诊救治、洗消和卫生防疫等紧急医学救援工作。</w:t>
            </w:r>
          </w:p>
          <w:p w14:paraId="72C07F3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（11）区应急管理局：负责工矿商贸行业安全生产监督管理工作；</w:t>
            </w:r>
            <w:r>
              <w:rPr>
                <w:rFonts w:hint="default" w:ascii="Times New Roman" w:hAnsi="Times New Roman" w:eastAsia="宋体" w:cs="Times New Roman"/>
                <w:sz w:val="32"/>
                <w:szCs w:val="32"/>
                <w:lang w:eastAsia="zh-CN"/>
              </w:rPr>
              <w:t>协助</w:t>
            </w:r>
            <w:r>
              <w:rPr>
                <w:rFonts w:hint="default" w:ascii="Times New Roman" w:hAnsi="Times New Roman" w:eastAsia="宋体" w:cs="Times New Roman"/>
                <w:sz w:val="32"/>
                <w:szCs w:val="32"/>
              </w:rPr>
              <w:t>开展安全生产类、自然灾害类等事件导致突发环境事件的应急处置和调查。</w:t>
            </w:r>
          </w:p>
          <w:p w14:paraId="5854188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12）连云生态环境局：负责组织编制、修订连云区突发环境事件应急预案；指导辖区内突发环境事件应急预案编制修订工作、开展突发环境事件污染源排查；组织专家制定环境应急处置和生态重建方案；负责组织开展突发环境事件应急监测；负责突发环境事件的污染损害调查、定级，配合有关部门做好责任追究；负责专家库的组建、维护和动态更新；实施环境污染的行政处罚工作。</w:t>
            </w:r>
          </w:p>
          <w:p w14:paraId="0A15417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（13）市公安局连云分局：负责对突发环境事件中涉及刑事犯罪人员进行立案侦查。</w:t>
            </w:r>
          </w:p>
          <w:p w14:paraId="2D968C2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（14）连云区消防救援大队：负责易燃易爆物质的清理及火灾爆炸事件的现场处置工作。</w:t>
            </w:r>
          </w:p>
          <w:p w14:paraId="4669445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（15）市交警支队连云大队：协调相关部门开展公路（含高速）交通事故引起环境污染的应急处置工作；负责公路（含高速）交通事故可能引起环境污染的信息报告。</w:t>
            </w:r>
          </w:p>
          <w:p w14:paraId="0CE63A94">
            <w:pPr>
              <w:overflowPunct w:val="0"/>
              <w:snapToGrid/>
              <w:spacing w:line="560" w:lineRule="exact"/>
              <w:ind w:firstLine="626" w:firstLineChars="198"/>
              <w:rPr>
                <w:rFonts w:hint="default" w:ascii="Times New Roman" w:hAnsi="Times New Roman" w:eastAsia="宋体" w:cs="Times New Roman"/>
                <w:sz w:val="32"/>
                <w:szCs w:val="32"/>
                <w:lang w:val="en-US" w:eastAsia="zh-CN"/>
              </w:rPr>
            </w:pPr>
            <w:r>
              <w:rPr>
                <w:rFonts w:hint="default" w:ascii="Times New Roman" w:hAnsi="Times New Roman" w:eastAsia="宋体" w:cs="Times New Roman"/>
                <w:sz w:val="32"/>
                <w:szCs w:val="32"/>
              </w:rPr>
              <w:t>（</w:t>
            </w:r>
            <w:r>
              <w:rPr>
                <w:rFonts w:hint="default" w:ascii="Times New Roman" w:hAnsi="Times New Roman" w:eastAsia="宋体" w:cs="Times New Roman"/>
                <w:sz w:val="32"/>
                <w:szCs w:val="32"/>
                <w:lang w:val="en-US" w:eastAsia="zh-CN"/>
              </w:rPr>
              <w:t>16</w:t>
            </w:r>
            <w:r>
              <w:rPr>
                <w:rFonts w:hint="default" w:ascii="Times New Roman" w:hAnsi="Times New Roman" w:eastAsia="宋体" w:cs="Times New Roman"/>
                <w:sz w:val="32"/>
                <w:szCs w:val="32"/>
              </w:rPr>
              <w:t>）</w:t>
            </w:r>
            <w:r>
              <w:rPr>
                <w:rFonts w:hint="default" w:ascii="Times New Roman" w:hAnsi="Times New Roman" w:eastAsia="宋体" w:cs="Times New Roman"/>
                <w:sz w:val="32"/>
                <w:szCs w:val="32"/>
                <w:lang w:val="en-US" w:eastAsia="zh-CN"/>
              </w:rPr>
              <w:t>区气象局：负责配合应急监测。</w:t>
            </w:r>
          </w:p>
          <w:p w14:paraId="0BD0EBD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另外，各乡街及连云开发区管委会做好本区域内突发事件信息报告工作，配合区政府和现场指挥部在本地的应急处置或先期处置工作。</w:t>
            </w:r>
          </w:p>
          <w:p w14:paraId="7319125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环境应急管理办公室</w:t>
            </w:r>
          </w:p>
          <w:p w14:paraId="1DCE7A3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于连云生态环境局设立区环境应急管理办公室（以下简称“区环境应急办”），负责区应急指挥中心的日常工作，办公室主任由连云生态环境局局长兼任，办公室成员由区应急指挥中心成员单位业务科室负责人组成。</w:t>
            </w:r>
          </w:p>
          <w:p w14:paraId="5D485EE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环境应急办主要职责：（1）落实区政府有关环境应急工作指示和要求，统一协调、指导全区突发环境事件的应急管理工作，协调各级政府组织处理环境应急工作；（2）负责拟定区突发环境事件的应急预案，并组织实施；（3）负责全区突发环境事件信息的统一收集、汇总、整理和发布工作；（4）负责区级应急平台建设，制定全区应急管理制度，重点实现监测监控、信息报告、综合研判、指挥调度等功能，为省级应急平台报送所需数据、图像、语音和资料等；（5）指导各乡街、开发区及有关部门做好突发环境事件应急救援，部署连云区环境应急知识及工作任务的公众宣传和教育。</w:t>
            </w:r>
          </w:p>
          <w:p w14:paraId="2B0C471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现场指挥部</w:t>
            </w:r>
          </w:p>
          <w:p w14:paraId="3DC55FB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预案启动后，区应急指挥中心根据突发环境事件的性质和处置工作实际需要，成立现场指挥部。现场指挥部总指挥原则上由指挥中心总指挥担任，成员由事故发生地（受影响地）所在乡街、开发区、指挥中心相关成员单位、区应急联动及应急保障部门负责人组成。现场指挥部在区应急指挥中心和相关类别环境事件专业指挥机构的指导下，按照有关应急预案的规定，负责事故发生地（受影响地）的现场应急处置工作。</w:t>
            </w:r>
          </w:p>
          <w:p w14:paraId="4F52D0E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现场指挥部由综合协调组、应急监测组、污染处置组、应急保障组、医疗救治组、新闻宣传组、社会维稳组、调查评估组、应急专家组等。工作组的设置、组成和职责可根据工作需要作适当调整。</w:t>
            </w:r>
          </w:p>
          <w:p w14:paraId="43E8D95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（1）综合协调组。由现场指挥部主要责任部门牵头。</w:t>
            </w:r>
          </w:p>
          <w:p w14:paraId="7C749C3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负责总体协调、工作指导、督办核查等工作，负责沟通衔接、工作保障、有关会议安排、材料起草、信息汇总报送等工作；协调公安、消防有关力量参与应急处置。</w:t>
            </w:r>
          </w:p>
          <w:p w14:paraId="7539E9E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（2）应急监测组。由连云生态环境局牵头，区住房和城乡建设局、区农业农村局、区林业和海洋局等单位及有关部门组成。</w:t>
            </w:r>
          </w:p>
          <w:p w14:paraId="416BD3E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协助专业监测队伍对可能受影响区域内的空气质量、敏感水体（如饮用水水源地）水质、海水等进行快速监测，并提出初步应对建议；组织开展突发环境事件污染物种类、性质的调查，根据现场情况明确相应的应急监测方案及监测方法，预测污染物扩散范围，明确监测布点和监测频次；做好大气、水体、土壤等应急监测及数据汇总分析，为突发环境事件应急处置提供决策依据。</w:t>
            </w:r>
          </w:p>
          <w:p w14:paraId="7FDEDB4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（3）污染处置组。由连云生态环境局牵头，区林业和海洋局、区农业农村局、区应急管理局、市公安局连云分局、连云区消防救援大队</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lang w:val="en-US" w:eastAsia="zh-CN"/>
              </w:rPr>
              <w:t>区住房和城乡建设局</w:t>
            </w:r>
            <w:r>
              <w:rPr>
                <w:rFonts w:hint="default" w:ascii="Times New Roman" w:hAnsi="Times New Roman" w:eastAsia="宋体" w:cs="Times New Roman"/>
                <w:sz w:val="32"/>
                <w:szCs w:val="32"/>
              </w:rPr>
              <w:t>等单位和事发地相关机构组成。</w:t>
            </w:r>
          </w:p>
          <w:p w14:paraId="391AA07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组织开展现场调查和应急测绘，收集汇总相关数据，组织技术研判和事态分析；分析污染途径，明确防止污染物扩散的方案；组织采取有效措施，迅速切断污染源，消除或减轻已经造成的污染；明确现场处置人员的个人防护措施；组织落实相关企业停、限产措施；组织建立现场警戒区域和交通管制区域，确定重点防护区域，确定受威胁人员疏散的方式和途径，疏散转移受威胁人员至应急避灾场所。</w:t>
            </w:r>
          </w:p>
          <w:p w14:paraId="619BD55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（4）应急保障组。由事发地乡街、开发区牵头，区经济发展局、区民政局、区财政局、区住房和城乡建设局、区应急管理局、连云生态环境局、市交警支队连云大队等单位和事发地相关机构组成。</w:t>
            </w:r>
          </w:p>
          <w:p w14:paraId="0AF1424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负责调配救援队伍和装备；组织做好应急救援物资及临时安置重要物资的紧急生产、储备调拨和紧急配送工作；做好受影响居民临时基本生活救助工作；负责事件应对的区一级经费保障。</w:t>
            </w:r>
          </w:p>
          <w:p w14:paraId="6B79EC5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（5）医疗救治组。由区卫生健康委员会牵头，事发地相关医疗机构组成。</w:t>
            </w:r>
          </w:p>
          <w:p w14:paraId="5EFC3FC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负责组派医疗卫生救援队伍，开展伤病员医学救治、应急心理援助；指导和协助开展受污染人员的去污及洗消工作；提出保护公众健康的措施建议。</w:t>
            </w:r>
          </w:p>
          <w:p w14:paraId="627C7B5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（6）新闻宣传组。由区委宣传部牵头，连云生态环境局、区应急管理局、市公安局连云分局和事发地相关机构组成。</w:t>
            </w:r>
          </w:p>
          <w:p w14:paraId="4F4E01E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组织开展事件进展、应急工作情况等权威信息发布，加强新闻宣传报道；收集、分析、研判和处置相关舆情，加强与媒体沟通协调，正确引导舆论；通过多种方式，通俗、权威、全面、前瞻地做好相关知识普及；及时澄清不实信息，回应社会关切。</w:t>
            </w:r>
          </w:p>
          <w:p w14:paraId="182CED7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（7）社会维稳组。由市公安局连云分局牵头，乡街、开发区等事发地相关机构组成。</w:t>
            </w:r>
          </w:p>
          <w:p w14:paraId="3C5B628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加强受影响地区社会治安管理，严厉打击借机传播谣言、哄抢物资等违法行为；加强转移人员安置点、救灾物资存放点等重点地区治安管控；做好受影响人员与涉事单位、地方人民政府及有关部门矛盾纠纷化解工作，防止出现群体性事件，维护社会稳定，对发生的群体性事件，组织专业力量稳妥处置。</w:t>
            </w:r>
          </w:p>
          <w:p w14:paraId="74FCE7B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（8）调查评估组。根据事故类型，由事发地乡街、开发区牵头或有关单位、部门和受影响区域的地方机构组成。</w:t>
            </w:r>
          </w:p>
          <w:p w14:paraId="15E18D3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开展突发环境事件污染损害调查，委托开展评估、核实事件造成的损失情况；对突发环境事件的起因、性质、影响、责任、经验教训和恢复重建等问题进行调查评估；对应急处置过程、有关人员的责任、应急处置工作的经验、存在的问题等情况进行分析。</w:t>
            </w:r>
          </w:p>
          <w:p w14:paraId="5065439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（9）应急专家组。专家组成员主要为</w:t>
            </w:r>
            <w:r>
              <w:rPr>
                <w:rFonts w:hint="default" w:ascii="Times New Roman" w:hAnsi="Times New Roman" w:eastAsia="宋体" w:cs="Times New Roman"/>
                <w:snapToGrid w:val="0"/>
                <w:sz w:val="32"/>
                <w:szCs w:val="32"/>
              </w:rPr>
              <w:t>江苏省环境应急专家库成员（苏环办</w:t>
            </w:r>
            <w:r>
              <w:rPr>
                <w:rFonts w:hint="default" w:ascii="Times New Roman" w:hAnsi="Times New Roman" w:eastAsia="宋体" w:cs="Times New Roman"/>
                <w:snapToGrid w:val="0"/>
                <w:sz w:val="32"/>
                <w:szCs w:val="32"/>
                <w:lang w:eastAsia="zh-CN"/>
              </w:rPr>
              <w:t>〔</w:t>
            </w:r>
            <w:r>
              <w:rPr>
                <w:rFonts w:hint="default" w:ascii="Times New Roman" w:hAnsi="Times New Roman" w:eastAsia="宋体" w:cs="Times New Roman"/>
                <w:snapToGrid w:val="0"/>
                <w:sz w:val="32"/>
                <w:szCs w:val="32"/>
              </w:rPr>
              <w:t>2023</w:t>
            </w:r>
            <w:r>
              <w:rPr>
                <w:rFonts w:hint="default" w:ascii="Times New Roman" w:hAnsi="Times New Roman" w:eastAsia="宋体" w:cs="Times New Roman"/>
                <w:snapToGrid w:val="0"/>
                <w:sz w:val="32"/>
                <w:szCs w:val="32"/>
                <w:lang w:eastAsia="zh-CN"/>
              </w:rPr>
              <w:t>〕</w:t>
            </w:r>
            <w:r>
              <w:rPr>
                <w:rFonts w:hint="default" w:ascii="Times New Roman" w:hAnsi="Times New Roman" w:eastAsia="宋体" w:cs="Times New Roman"/>
                <w:snapToGrid w:val="0"/>
                <w:sz w:val="32"/>
                <w:szCs w:val="32"/>
              </w:rPr>
              <w:t>203号）</w:t>
            </w:r>
            <w:r>
              <w:rPr>
                <w:rFonts w:hint="default" w:ascii="Times New Roman" w:hAnsi="Times New Roman" w:eastAsia="宋体" w:cs="Times New Roman"/>
                <w:sz w:val="32"/>
                <w:szCs w:val="32"/>
              </w:rPr>
              <w:t>，或由连云生态环境局按突发环境事件情形及事故处置需求聘请科研单位、高等院校、驻军、重点事业、企业单位环境监测、环境评估、环境保护、危险化学品、防化、水利水文、气象、船舶污染、损害索赔等相关专家。</w:t>
            </w:r>
          </w:p>
          <w:p w14:paraId="3D736D2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负责参与指导突发环境事件的应急处置，为环境应急指挥部提供分析评估、决策咨询和处置意见，提出突发环境事件的环境危害和生态恢复的措施。</w:t>
            </w:r>
          </w:p>
          <w:p w14:paraId="7343B95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现场应急救援队伍和人员必须服从现场指挥部的指挥，现场指挥部应为参与应急救援的队伍和人员提供必要的工作条件。</w:t>
            </w:r>
          </w:p>
          <w:p w14:paraId="62BF25A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各乡街、开发区管委会职责</w:t>
            </w:r>
          </w:p>
          <w:p w14:paraId="37E0AB1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建立本辖区突发环境事件应急管理工作制度，按需制定本辖区突发环境事件应急预案，组织开展突发环境事件的应急演练；做好环境应急队伍建设和应急人员培训工作，加强环境应急值守和突发环境事件的信息上报工作；做好本辖区内的环境风险防范和监测预警工作；负责指挥、组织、协调本辖区内一般突发环境事件的应对工作；负责较大以上突发环境事件的先期处置工作；按现场指挥部的要求，做好较大以上突发环境事件的现场处置、应急保障和生态修复工作；组织实施突发环境事件事发地的社会稳定工作。</w:t>
            </w:r>
          </w:p>
          <w:p w14:paraId="6784CC02">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4</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应急准备</w:t>
            </w:r>
          </w:p>
          <w:p w14:paraId="4D6BE88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为保障突发环境事件应对处置顺利开展，应在日常工作中充分做好各项应急准备工作。</w:t>
            </w:r>
          </w:p>
          <w:p w14:paraId="1AB384B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预案准备</w:t>
            </w:r>
          </w:p>
          <w:p w14:paraId="694C7A7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连云生态环境局根据国家相关法律法规及《江苏省突发公共事件总体应急预案》、《江苏省突发环境事件应急预案》、《连云港市突发公共事件总体应急预案》、《连云港市突发环境事件应急预案》要求，制定、完善突发环境事件应急预案，督促连云区范围内各企事业单位按规定编制突发环境事件应急预案并及时备案，做到“责任落实、组织落实、方案落实、保障落实”。</w:t>
            </w:r>
          </w:p>
          <w:p w14:paraId="70E99B43">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值守准备</w:t>
            </w:r>
          </w:p>
          <w:p w14:paraId="6ED9F5A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完善日常值班与应急值守相结合的接报、出警机制，并严格组织实施；充分做好值守状态时的人员、设备、车辆、通讯及资料准备工作，确保突发环境事件现场指挥所需各项科技手段顺畅，做到常态管理与非常态管理全面、有效衔接。</w:t>
            </w:r>
          </w:p>
          <w:p w14:paraId="7938A93E">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联动机制</w:t>
            </w:r>
          </w:p>
          <w:p w14:paraId="7D1BD3D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加强生态环境部门与其他部门的联动机制建设，明确突发环境事件牵头部门和支持协作部门的职责、权限和处置程序，协同高效处置各类突发环境事件。</w:t>
            </w:r>
          </w:p>
          <w:p w14:paraId="03E43D9B">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应急救援队伍</w:t>
            </w:r>
          </w:p>
          <w:p w14:paraId="4197674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进一步加强公安、交警、消防部门处置突发环境事件的能力，同时依托社会力量，建立专业化的突发环境事件应急救援队伍；加强各级应急队伍的培训、演练和管理，提高应急救援人员的素质和能力；规范应急救援队伍调动程序，确保能迅速参与并完成突发环境事件应急处置工作。</w:t>
            </w:r>
          </w:p>
          <w:p w14:paraId="67136D6C">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物资装备准备</w:t>
            </w:r>
          </w:p>
          <w:p w14:paraId="3D92E2D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建立健全突发环境事件应急救援物资储备制度。开发区管委会、江苏核电有限公司、连云港港口控股集团有限公司及其他企事业单位</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江苏三吉利化工股份有限公司</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益海（连云港）粮油工业有限公司</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丰益表面活性材料（连云港）有限公司</w:t>
            </w:r>
            <w:r>
              <w:rPr>
                <w:rFonts w:hint="default" w:ascii="Times New Roman" w:hAnsi="Times New Roman" w:eastAsia="宋体" w:cs="Times New Roman"/>
                <w:sz w:val="32"/>
                <w:szCs w:val="32"/>
                <w:lang w:val="en-US" w:eastAsia="zh-CN"/>
              </w:rPr>
              <w:t>等</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rPr>
              <w:t>应会同有关部门，制定环境应急物资储备计划，建立应急物资储备库，组织应急物资的监管、生产、储存、更新、补充、调拨和紧急配送等工作。</w:t>
            </w:r>
          </w:p>
          <w:p w14:paraId="1B71E159">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应急资金准备</w:t>
            </w:r>
          </w:p>
          <w:p w14:paraId="7A28797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财政部门应按照分级负担原则为应急处置工作提供必要的资金保障。</w:t>
            </w:r>
          </w:p>
          <w:p w14:paraId="041ACB37">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4.7</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安全防护</w:t>
            </w:r>
          </w:p>
          <w:p w14:paraId="2F9ED18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根据突发环境事件的特点，采取安全防护措施，配备相应的专业防护设备，严格执行环境应急人员出入事发现场的程序。</w:t>
            </w:r>
          </w:p>
          <w:p w14:paraId="20288ABA">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5</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预防和预警</w:t>
            </w:r>
          </w:p>
          <w:p w14:paraId="2A0D399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按照“早预防、早发现、早报告、早处置”的原则，区环境应急办负责突发环境事件的预防、监督和管理工作，并按照突发环境事件发生、发展的等级、趋势和危险程度，及时向区应急指挥中心提出相应的预警建议。</w:t>
            </w:r>
          </w:p>
          <w:p w14:paraId="136AB3A5">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预防</w:t>
            </w:r>
          </w:p>
          <w:p w14:paraId="4D2FC97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加强调查，建立环境污染源数据库</w:t>
            </w:r>
          </w:p>
          <w:p w14:paraId="3D8F499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政府组织应急管理、公安、生态环境等有关部门开展对生产、贮存、运输、使用危险化学品和销毁废弃危险化学品、处置危险废物以及易发生爆炸、泄漏等非正常排放造成环境污染事件单位的普查并进行汇总，掌握辖区内环境污染源的产生、种类及分布情况，及时了解国内外有关技术信息、进展情况和动态。建立环境污染防范单位数据库报区环境应急办。</w:t>
            </w:r>
          </w:p>
          <w:p w14:paraId="1647D4A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加强监管，督促重点防范单位进行治理整改</w:t>
            </w:r>
          </w:p>
          <w:p w14:paraId="577B005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着“预防为主、重点突出、标本兼治”的原则，各乡街、开发区、各有关单位及部门要加强对辖区内重大危险源和重大事故隐患的日常监督管理和安全防范工作，确定本辖区突发环境事件重点防范单位名单，组织、监督重点防范单位对事故隐患进行治理整改，并开展突发环境事件的假设、分析和评估工作，指导企业建立完善的应急组织体系和应急处置预案。</w:t>
            </w:r>
          </w:p>
          <w:p w14:paraId="13E4401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落实责任，制定多层面、多角度的环境事件应急预案，明确防范职责，制定严格的管理规章制度和应急工作预案。各乡街、开发区、各有关单位及部门应制定相应的突发环境事件应急预案，做到“组织落实、责任落实、装备落实、人员落实”。</w:t>
            </w:r>
          </w:p>
          <w:p w14:paraId="1BE2D4A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预警信息</w:t>
            </w:r>
          </w:p>
          <w:p w14:paraId="40B8C81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区环境应急办负责全区突发环境事件预警工作的监督和综合管理。</w:t>
            </w:r>
          </w:p>
          <w:p w14:paraId="0FED4A3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区应急指挥中心按照统一发布、多部门资源共享的原则，具体负责管辖范围内突发环境事件预警信息发布业务的实施，承担发布区政府审批同意的突发环境事件预警信息。</w:t>
            </w:r>
          </w:p>
          <w:p w14:paraId="212F973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预警分级</w:t>
            </w:r>
          </w:p>
          <w:p w14:paraId="125F1A2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预警信息的级别，按照突发环境事件发生的紧急程度、发展态势和可能造成的危害程度分为Ⅰ级、Ⅱ级、Ⅲ级和Ⅳ级，分别用红色、橙色、黄色和蓝色标示，Ⅰ级为最高级别。根据事态的发展情况和采取措施的效果，预警可以升级、降级或解除。</w:t>
            </w:r>
          </w:p>
          <w:p w14:paraId="4E9EB07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蓝色（Ⅳ级）预警：可能发生一般突发环境事件的；</w:t>
            </w:r>
          </w:p>
          <w:p w14:paraId="6AB9914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黄色（Ⅲ级）预警：可能发生较大突发环境事件的；</w:t>
            </w:r>
          </w:p>
          <w:p w14:paraId="3880406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橙色（Ⅱ级）预警：可能发生重大突发环境事件的；</w:t>
            </w:r>
          </w:p>
          <w:p w14:paraId="5965529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红色（Ⅰ级）预警：可能发生特别重大突发环境事件的。</w:t>
            </w:r>
          </w:p>
          <w:p w14:paraId="50D5C73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预警信息处理</w:t>
            </w:r>
          </w:p>
          <w:p w14:paraId="79E6F0E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区环境应急办应通过有关单位、部门、媒体和公众等多渠道收集突发环境事件信息。</w:t>
            </w:r>
          </w:p>
          <w:p w14:paraId="4C49289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当其他突发事件可能引发环境污染时，各有关单位及部门应开展对环境污染信息的收集、综合分析、风险评估工作，并及时向区环境应急办报告。</w:t>
            </w:r>
          </w:p>
          <w:p w14:paraId="7867986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（1）企业事业单位泄漏或非正常排污引发的突发环境事件信息接收、报告、处理、统计分析、预警信息监控由连云生态环境局负责；</w:t>
            </w:r>
          </w:p>
          <w:p w14:paraId="38955A7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（2）生产安全事故引发的突发环境事件信息接收、报告、处理、统计分析、预警信息监控由区应急管理局负责；</w:t>
            </w:r>
          </w:p>
          <w:p w14:paraId="0606B5A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（3）交通事故引发的突发环境事件信息接收、报告、处理、统计分析、预警信息监控由市交警支队连云大队负责；</w:t>
            </w:r>
          </w:p>
          <w:p w14:paraId="036A1EF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（4）由调引水或水质性缺水引发饮用水源地突发水环境事件信息接收、报告、处理、统计分析、预警信息监控由区住房和城乡建设局负责；</w:t>
            </w:r>
          </w:p>
          <w:p w14:paraId="6645964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（5）溢油事故等海上突发环境事件信息接收、报告、处理、统计分析、预警信息监控由区林业与海洋局负责。</w:t>
            </w:r>
          </w:p>
          <w:p w14:paraId="20711A0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5.2.3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预警信息发布</w:t>
            </w:r>
          </w:p>
          <w:p w14:paraId="7B2512F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预警信息发布应实行严格的审签制。区环境应急办应当针对可能出现的突发环境事件进行研判，必要时组织有关专家学者、专业技术人员进行会商，形成预警信息发布建议报送指挥中心确认。</w:t>
            </w:r>
          </w:p>
          <w:p w14:paraId="74AE5E7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预警信息签发按照《连云港市突发环境事件应急预案》要求执行：Ⅰ级、Ⅱ级预警信息需报请省应急指挥中心审批，发布Ⅰ级预警信息由省长签发，发布Ⅱ级预警信息由省应急指挥中心总指挥签发；Ⅲ级预警信息应由市应急指挥部批准后发布；Ⅳ级预警信息发布应由区应急指挥中心或受委托的部门、单位主要负责人签发。</w:t>
            </w:r>
          </w:p>
          <w:p w14:paraId="5FBC620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发布可能引起公众恐慌、影响社会稳定的预警信息，需上报经省、市人民政府批准。</w:t>
            </w:r>
          </w:p>
          <w:p w14:paraId="7ECAEA8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预警信息的发布、调整和解除可通过广播、电视、报刊、互联网、警报器、宣传车或组织人员逐户通知等方式进行，对老、幼、病、残、孕等特殊人群以及学校等特殊场所和警报盲区应当采取有针对性的公告方式。</w:t>
            </w:r>
          </w:p>
          <w:p w14:paraId="00423C5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发布预警信息的部门、单位应加强对预警信息动态管理，根据事态发展变化，适时调整预警级别、更新预警信息内容，并重新发布、报告和通报有关情况。</w:t>
            </w:r>
          </w:p>
          <w:p w14:paraId="3B93DDED">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预警措施</w:t>
            </w:r>
          </w:p>
          <w:p w14:paraId="6E5A2E8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Ⅲ、Ⅳ级预警措施</w:t>
            </w:r>
          </w:p>
          <w:p w14:paraId="569B9AA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发布Ⅲ、Ⅳ级预警后，根据事件具体情况和可能造成的影响及后果，区人民政府及有关部门应采取以下措施：</w:t>
            </w:r>
          </w:p>
          <w:p w14:paraId="49276C1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（1）立即启动相关应急预案。</w:t>
            </w:r>
          </w:p>
          <w:p w14:paraId="732B9A5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（2）及时收集、报告有关信息，加强对突发环境事件监测、预报和预警工作。</w:t>
            </w:r>
          </w:p>
          <w:p w14:paraId="7431454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（3）组织有关部门、机构和专家，随时对突发环境事件信息进行分析评估，预测突发环境事件可能性、影响范围和强度以及可能发生的突发环境事件的级别。</w:t>
            </w:r>
          </w:p>
          <w:p w14:paraId="241E257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（4）调集环境应急处置所需物资、装备设备，确保环境应急保障工作。</w:t>
            </w:r>
          </w:p>
          <w:p w14:paraId="24F0FB6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（5）及时按照有关规定向社会发布避免、减轻突发环境事件危害常识。</w:t>
            </w:r>
          </w:p>
          <w:p w14:paraId="378559A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Ⅰ、Ⅱ级预警措施</w:t>
            </w:r>
          </w:p>
          <w:p w14:paraId="146A0BD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发布Ⅰ、Ⅱ级预警后，在采取Ⅲ、Ⅳ级预警响应措施的基础上，还应当针对即将发生的突发事件的特点和可能造成的危害，采取下列一项或多项措施：</w:t>
            </w:r>
          </w:p>
          <w:p w14:paraId="59D2060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（1）转移、撤离或者疏散可能受到危害影响的人员，并进行妥善安置。</w:t>
            </w:r>
          </w:p>
          <w:p w14:paraId="4633800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（2）指令各应急救援队伍进入应急状态，并动员后备人员做好参加应急救援和处置工作的准备；环境监测人员立即开展应急监测，随时掌握并报告事态进展情况。</w:t>
            </w:r>
          </w:p>
          <w:p w14:paraId="701404F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（3）针对突发环境事件可能造成的危害，封闭、隔离或者限制使用有关场所，中止可能导致危害扩大的行为和活动。</w:t>
            </w:r>
          </w:p>
          <w:p w14:paraId="121CCCD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（4）各相关成员单位实行24小时值守制度，保持通讯畅通，加强监测和会商，及时上报预警响应措施的执行情况。</w:t>
            </w:r>
          </w:p>
          <w:p w14:paraId="7F0AAE1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5.3.3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预警结束</w:t>
            </w:r>
          </w:p>
          <w:p w14:paraId="6AE2FC0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发生以下情况时，区应急指挥中心根据事态的发展，报请区人民政府立即宣布解除警报。已经宣布进入预警期的，应当立即宣布终止预警，解除已经采取的有关措施。</w:t>
            </w:r>
          </w:p>
          <w:p w14:paraId="24000BF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（1）预警事件发生的风险不存在或已经全部消除；</w:t>
            </w:r>
          </w:p>
          <w:p w14:paraId="4C0A6F7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（2）预警事件发生的风险已经被有效控制；</w:t>
            </w:r>
          </w:p>
          <w:p w14:paraId="18C326C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（3）预警响应范围内的单位已经全部解除预警状态；</w:t>
            </w:r>
          </w:p>
          <w:p w14:paraId="35F538B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（4）事件已经发生，从预警状态转入应急状态，预警自动解除。</w:t>
            </w:r>
          </w:p>
          <w:p w14:paraId="26ACB7C7">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6</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应急响应</w:t>
            </w:r>
          </w:p>
          <w:p w14:paraId="4AD502F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分级响应机制</w:t>
            </w:r>
          </w:p>
          <w:p w14:paraId="694199D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按突发环境事件的可控性、严重程度和影响范围，突发环境事件的应急响应分为一般（Ⅳ级响应）、较大（Ⅲ级响应）、重大（Ⅱ级响应）、特别重大（Ⅰ级响应）四级，IV级应急响应由区应急指挥中心组织实施。超出本级应急处置能力时，应及时请求连云港市人民政府启动市一级应急预案。</w:t>
            </w:r>
          </w:p>
          <w:p w14:paraId="12C27638">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6.2应急响应行动</w:t>
            </w:r>
          </w:p>
          <w:p w14:paraId="169F050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生环境事件时，事发地乡街、开发区或单位除按照本预案有关规定及时进行报告和处理外，应立即组织开展有关应急处置。要重点组织保护好可能受危害的居民住区、饮用水源、自然保护区、风景名胜区、水产养殖区等敏感保护目标；督促事故责任单位采取措施减轻或消除危害，接受并配合调查处理。</w:t>
            </w:r>
          </w:p>
          <w:p w14:paraId="771E01F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一般突发环境事件发生时，由区应急指挥中心启动本预案，并成立现场指挥部，负责组织现场应急救援工作。除按照本预案有关规定及时进行报告和处理外，应及时组织环保机构迅速赶赴现场，开展应急监测，快速判断污染物种类、污染物浓度、污染范围。必要时应取得专家系统的支持和其他相关部门的技术支持和支援。</w:t>
            </w:r>
          </w:p>
          <w:p w14:paraId="456BFD6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较大、重大或特别重大突发环境事件发生时，由区应急指挥中心启动本预案，成立现场指挥部，负责组织现场应急救援工作。较大环境事件由区政府分管领导带队赶赴现场，重大、特别重大环境事件由区政府主要领导带队赶赴现场，指导和协调现场指挥部开展现场应急处置工作，并立即将相关情况上报连云港市人民政府，请求上级政府和有关部门的技术支持和支援。</w:t>
            </w:r>
          </w:p>
          <w:p w14:paraId="1B4926F4">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指挥与协调</w:t>
            </w:r>
          </w:p>
          <w:p w14:paraId="2FC353A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6.3.1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指挥与协调机制</w:t>
            </w:r>
          </w:p>
          <w:p w14:paraId="0C403C5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各有关单位接到突发环境事件报告后，应当立即按要求派出应急救援队伍和有关人员赶赴事发现场，在现场应急救援指挥部成立前，各应急救援队伍和有关人员应当按各部门专业应急预案要求，在事故发生地或影响地所在乡街、开发区和单位的配合下实施先期应急处置，果断控制或切断污染源，全力控制事件态势，严防二次污染和次生、衍生事件的发生。</w:t>
            </w:r>
          </w:p>
          <w:p w14:paraId="77E27CE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区应急指挥中心立即启动应急预案，迅速成立现场指挥部开展现场应急处置工作。</w:t>
            </w:r>
          </w:p>
          <w:p w14:paraId="04108A3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各应急救援队伍和有关人员要在现场指挥部的统一指挥下，按照有关应急预案和处置规程，相互协同，密切配合，共同做好现场应急处置工作。</w:t>
            </w:r>
          </w:p>
          <w:p w14:paraId="07D628B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现场指挥部要及时组织有关专家，参加现场应急救援指挥工作，对事件信息进行分析、评估，提出应急处置方案和建议，供指挥部决策时参考；根据事件发展情况，提出相应的对策和意见；对突发环境事件的危害范围、发展趋势做出科学预测，为环境应急领导机构的决策和指挥提供科学依据；参与污染程度、危害范围、事件等级的判定，为污染区域的隔离与解禁、人员撤离与回返等重大防护措施的决策提供技术依据；指导各应急救援队伍进行应急处置；指导环境应急工作的评价，进行事件的中长期环境影响评估。</w:t>
            </w:r>
          </w:p>
          <w:p w14:paraId="38567BC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发生突发环境事件的有关单位要及时、主动地向现场指挥部提供与应急救援工作有关的基础资料。有关部门要提供事件发生前的监督检查资料，为现场指挥部研究确定救援和处置方案提供决策依据。</w:t>
            </w:r>
          </w:p>
          <w:p w14:paraId="0AC2BDD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6.3.2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指挥与协调主要内容</w:t>
            </w:r>
          </w:p>
          <w:p w14:paraId="2F458A4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现场指挥部协调的主要内容包括：</w:t>
            </w:r>
          </w:p>
          <w:p w14:paraId="2099D8D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（1）提出现场应急行动原则要求；</w:t>
            </w:r>
          </w:p>
          <w:p w14:paraId="12C3594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（2）派出有关专家和工作人员参与现场应急救援指挥部的应急指挥工作；</w:t>
            </w:r>
          </w:p>
          <w:p w14:paraId="611689C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（3）协调各级、各专业应急力量实施应急支援行动；</w:t>
            </w:r>
          </w:p>
          <w:p w14:paraId="3E755B8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（4）协调受威胁的周边地区危险源的监控工作；</w:t>
            </w:r>
          </w:p>
          <w:p w14:paraId="4EFA19C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（5）协调建立现场警戒区和交通管制区域，确定重点防护区域；</w:t>
            </w:r>
          </w:p>
          <w:p w14:paraId="0037184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（6）根据现场监测结果，确定被转移、疏散群众返回的时间。</w:t>
            </w:r>
          </w:p>
          <w:p w14:paraId="6482906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（7）及时向区应急指挥中心报告应急行动的进展情况。</w:t>
            </w:r>
          </w:p>
          <w:p w14:paraId="2B61CF6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6.4处置措施</w:t>
            </w:r>
          </w:p>
          <w:p w14:paraId="5317BF5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6.4.1先期应急处置措施</w:t>
            </w:r>
          </w:p>
          <w:p w14:paraId="03C2CF3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发生或即将发生突发环境事件的信息得到核实后，在尚未确定突发环境事件级别之前，由事故发生地或影响地有关单位及应急救援力量负责先期处置。先期处置可采取如下应急措施：</w:t>
            </w:r>
          </w:p>
          <w:p w14:paraId="6C69FB3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（1）向社会发出避险警告。必要时实施紧急疏散。</w:t>
            </w:r>
          </w:p>
          <w:p w14:paraId="00B41FE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（2）调配区域内的应急资源用于应急处置。</w:t>
            </w:r>
          </w:p>
          <w:p w14:paraId="5D096B2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（3）波及其他区域的，要及时相互通报。</w:t>
            </w:r>
          </w:p>
          <w:p w14:paraId="5162CE3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6.4.2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扩大应急处置措施</w:t>
            </w:r>
          </w:p>
          <w:p w14:paraId="2C35876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在采取先期应急处置措施基础上，根据事故发生地或影响地有关单位及应急救援力量报告的情况，达到一般（IV级）突发环境事件标准以上的，由区政府启动本预案。对突发环境事件的应急处置措施，按照国家相关应急预案的规定执行。</w:t>
            </w:r>
          </w:p>
          <w:p w14:paraId="4C123ABC">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应急监测</w:t>
            </w:r>
          </w:p>
          <w:p w14:paraId="78EC31E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连云生态环境局负责组织协调突发环境事件地区的环境应急监测工作，在区住房和城乡建设局、区农业农村局、区林业和海洋局</w:t>
            </w:r>
            <w:r>
              <w:rPr>
                <w:rFonts w:hint="default" w:ascii="Times New Roman" w:hAnsi="Times New Roman" w:eastAsia="宋体" w:cs="Times New Roman"/>
                <w:sz w:val="32"/>
                <w:szCs w:val="32"/>
                <w:lang w:eastAsia="zh-CN"/>
              </w:rPr>
              <w:t>、</w:t>
            </w:r>
            <w:r>
              <w:rPr>
                <w:rFonts w:hint="default" w:ascii="Times New Roman" w:hAnsi="Times New Roman" w:eastAsia="宋体" w:cs="Times New Roman"/>
                <w:sz w:val="32"/>
                <w:szCs w:val="32"/>
                <w:lang w:val="en-US" w:eastAsia="zh-CN"/>
              </w:rPr>
              <w:t>区气象局</w:t>
            </w:r>
            <w:r>
              <w:rPr>
                <w:rFonts w:hint="default" w:ascii="Times New Roman" w:hAnsi="Times New Roman" w:eastAsia="宋体" w:cs="Times New Roman"/>
                <w:sz w:val="32"/>
                <w:szCs w:val="32"/>
              </w:rPr>
              <w:t>等部门的配合下，指导环境监测机构开展应急监测工作。</w:t>
            </w:r>
          </w:p>
          <w:p w14:paraId="1AE479A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根据突发环境事件污染物的特性和事件发生地的气象、水文和地域特点，确定污染物扩散范围。在此范围内布设相应数量的现场应急监测点位，并根据污染物的扩散情况和监测结果的变化趋势调整监测频次和监测点位。</w:t>
            </w:r>
          </w:p>
          <w:p w14:paraId="4773FEE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（2）根据监测结果，综合分析突发环境事件污染变化趋势，并通过专家咨询和讨论的方式，预测并报告突发环境事件的发展情况和污染物的变化情况，作为突发环境事件应急决策的依据。</w:t>
            </w:r>
          </w:p>
          <w:p w14:paraId="3F5E5BE3">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信息报送与处理</w:t>
            </w:r>
          </w:p>
          <w:p w14:paraId="44DF291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突发事件信息归口管理制度</w:t>
            </w:r>
          </w:p>
          <w:p w14:paraId="216236F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环境应急办负责全区突发环境事件信息的收集汇总、分析研判、报告处置。信息报送应贯穿于突发环境事件的预防与应急准备、监测与预警、应急处置与救援、事后恢复与重建等应对活动的全过程。现场指挥部、各有关单位及部门应按规定将突发事件预测预警信息、初始信息、续报信息和处置报告报送区环境应急办。</w:t>
            </w:r>
          </w:p>
          <w:p w14:paraId="60FB9D1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预测预警信息和初始信息报告</w:t>
            </w:r>
          </w:p>
          <w:p w14:paraId="1C43674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w:t>
            </w:r>
            <w:r>
              <w:rPr>
                <w:rFonts w:hint="default" w:ascii="Times New Roman" w:hAnsi="Times New Roman" w:eastAsia="宋体" w:cs="Times New Roman"/>
                <w:sz w:val="32"/>
                <w:szCs w:val="32"/>
                <w:lang w:val="en-US" w:eastAsia="zh-CN"/>
              </w:rPr>
              <w:t>重点</w:t>
            </w:r>
            <w:r>
              <w:rPr>
                <w:rFonts w:hint="default" w:ascii="Times New Roman" w:hAnsi="Times New Roman" w:eastAsia="宋体" w:cs="Times New Roman"/>
                <w:sz w:val="32"/>
                <w:szCs w:val="32"/>
              </w:rPr>
              <w:t>单位及其工作人员，发现突发事件可能发生、即将发生或者已经发生的，应当在第一时间向区环境应急办或区有关主管部门报告。</w:t>
            </w:r>
          </w:p>
          <w:p w14:paraId="4C30BCC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（2）其他单位和个人发现突发环境事件可能发生、即将发生或者已经发生的，有义务立即向区环境应急办、区应急指挥中心及主管部门和责任单位报告，或通过110、119或12345等专线电话等途径报警。</w:t>
            </w:r>
          </w:p>
          <w:p w14:paraId="081D459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建立和完善区突发环境事件信息共享与通报机制，有效实现区突发环境事件信息报送的无缝联接。接到报告的部门应立即按照突发环境事件分级标准，对事件性质、严重程度、可控性和影响范围等因素进行核实和综合研判，作出初步判断。必要时，根据突发环境事件类别，组织相关部门、有关专家咨询，评估发生突发事件的可能性。认为可能发生重大及以上突发事件的，区应急指挥中心应当及时向连云港市生态环境局报告，同时向可能受到危害的毗邻县、区政府通报。事发地区突发事件报告须经上报单位主要领导或授权的分管领导签发，确保信息真实、准确、及时、口径统一。</w:t>
            </w:r>
          </w:p>
          <w:p w14:paraId="2D4ADC3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（4）区环境应急办收集各类基础信息和动态信息后，应迅速进行信息处理，及时上报区政府及区应急指挥中心，并通报各联动单位。</w:t>
            </w:r>
          </w:p>
          <w:p w14:paraId="0C6AA49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实行突发环境事件信息即发即报、即收即报、核实续报的体制。发生突发环境事件后，区环境应急办应按规定及时将信息报到区应急指挥中心，并随时续报汇总现场采集的相关动态信息。现场信息采集报送由现场指挥部总指挥负总责，具体报送人员由现场指挥部总指挥指定，一般由事件处置牵头单位或事发地相关部门承担。现场具体信息专报员确定后及时报告区环境应急办和应急指挥中心，现场救援处置动态信息应主动、快速、及时、不间断报送给区应急办和应急指挥中心，直至事件处置完毕。</w:t>
            </w:r>
          </w:p>
          <w:p w14:paraId="587B5AE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区环境应急办要组织有关专家迅速对事件信息进行分析、评估，筛选提出紧急处置方案和建议，供区应急指挥中心指挥决策参考。各有关部门要及时、主动为区应急指挥中心的紧急决策提供信息服务和支持。</w:t>
            </w:r>
          </w:p>
          <w:p w14:paraId="061143F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（7）对于暂时无法判明等级的突发事件，应迅速核实，同时根据事件可能达到或演化的级别和影响程度，参照上述规定做好信息上报和续报。</w:t>
            </w:r>
          </w:p>
          <w:p w14:paraId="05B05DD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突发事件信息上报内容</w:t>
            </w:r>
          </w:p>
          <w:p w14:paraId="01F9604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突发环境事件信息上报内容应包括:时间、地点、信息来源、事件性质、危害程度、影响范围、事件趋势、初步原因、已采取措施等，并及时续报事件处置进展情况。信息报告应当做到客观、真实、及时，不得迟报、漏报、谎报、瞒报。</w:t>
            </w:r>
          </w:p>
          <w:p w14:paraId="1AB0087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报告时限</w:t>
            </w:r>
          </w:p>
          <w:p w14:paraId="5DE98C6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凡属报告范围的突发环境事件，事发地乡街、开发区牵头或有关单位、部门必须严格遵守突发事件应急信息限时报送制度规定。一般或较大突发事件，应在事件发生后及时向区人民政府报告；重大或特别重大突发事件，必须立即上报连云港市人民政府。</w:t>
            </w:r>
          </w:p>
          <w:p w14:paraId="6F7A432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6.6.5</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人员伤亡和失踪信息报送</w:t>
            </w:r>
          </w:p>
          <w:p w14:paraId="0152EB0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死亡、受伤和失踪人员的数量、姓名等信息，由事件单位提供，现场指挥部掌握并发布，同时报区应急指挥中心。</w:t>
            </w:r>
          </w:p>
          <w:p w14:paraId="7A972D8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6.6.6</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信息通报</w:t>
            </w:r>
          </w:p>
          <w:p w14:paraId="5015BE9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发生突发事件，涉及或影响到连云区外时，按照事件的实际级别与相关县、区实行对等通报。发生Ⅳ级、Ⅲ级事件时，由区应急指挥中心及时通报相关县、区级政府；发生Ⅱ级和I级事件时，由区应急指挥中心及时报请江苏省环境应急与事故调查中心办理。</w:t>
            </w:r>
          </w:p>
          <w:p w14:paraId="2178DF5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6.6.7</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特殊情况处理</w:t>
            </w:r>
          </w:p>
          <w:p w14:paraId="0EF50ED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环境事件的伤亡、失踪、被困人员中有港澳台人员或外籍人员，需要向香港、澳门、台湾地区有关机构或有关国家进行通报时，有关部门应及时报告市台办、市外事办、市侨办。</w:t>
            </w:r>
          </w:p>
          <w:p w14:paraId="61AEF6A2">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6.7</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新闻发布</w:t>
            </w:r>
          </w:p>
          <w:p w14:paraId="290FA11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在区委宣传部的指导下负责突发环境事件信息统一发布工作。突发环境事件发生后，要及时发布准确、权威的信息，正确引导社会舆论。对于较为复杂的事件，可分阶段发布，先简要发布基本事实；对灾害造成的直接经济损失数字的发布，应征求评估部门的意见。对影响重大的突发事件处理结果，根据需要及时发布。</w:t>
            </w:r>
          </w:p>
          <w:p w14:paraId="00ECFDD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6.8</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应急终止</w:t>
            </w:r>
          </w:p>
          <w:p w14:paraId="0DEA349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6.8.1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应急终止的条件</w:t>
            </w:r>
          </w:p>
          <w:p w14:paraId="0B2D592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符合下列条件之一，即满足应急结束条件：</w:t>
            </w:r>
          </w:p>
          <w:p w14:paraId="58798FA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（1）环境事件现场得到有效控制，事件条件已经消除；污染源的泄漏或释放已降至规定限值以内；事件所造成的危害已经被彻底消除，无继发可能。</w:t>
            </w:r>
          </w:p>
          <w:p w14:paraId="3315E98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（2）环境事件现场的各种专业应急处置行动已无继续的必要。</w:t>
            </w:r>
          </w:p>
          <w:p w14:paraId="2125BB7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（3）已采取了一切必要的防护措施以保护公众免受再次危害，并使事件可能引起的中长期影响降低到最低水平。</w:t>
            </w:r>
          </w:p>
          <w:p w14:paraId="5699229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6.8.2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应急终止的宣布</w:t>
            </w:r>
          </w:p>
          <w:p w14:paraId="33D47FC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一般环境事件由区人民政府宣布应急终止；较大环境事件由连云港市人民政府宣布应急终止；重大和特别重大环境事件的应急终止应请示江苏省人民政府同意后宣布。造成跨行政区域纠纷的环境事件，应请示江苏省人民政府同意后宣布应急终止。</w:t>
            </w:r>
          </w:p>
          <w:p w14:paraId="1E540B5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6.8.3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应急终止后的后续工作</w:t>
            </w:r>
          </w:p>
          <w:p w14:paraId="20077A5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应急终止后，根据上级有关部门的指示和实际情况，继续进行环境监测和评价工作，直至其他补救措施无需继续进行为止。</w:t>
            </w:r>
          </w:p>
          <w:p w14:paraId="613884D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6.9</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人员防护</w:t>
            </w:r>
          </w:p>
          <w:p w14:paraId="27901D5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最早抵达事发现场的救援队伍，在处置环境突发事件的同时，要迅速做好事发地群众的安全防护工作。</w:t>
            </w:r>
          </w:p>
          <w:p w14:paraId="36D03A7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（1）根据突发环境事件的性质、特点，告知群众应采取的安全防护措施；</w:t>
            </w:r>
          </w:p>
          <w:p w14:paraId="482C211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（2）根据事发时当地的气象、地理环境、人员密集度等，确定群众疏散的方式，组织好群众安全疏散与撤离；</w:t>
            </w:r>
          </w:p>
          <w:p w14:paraId="0FF0627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（3）在事发地安全边界以外，设立临时紧急避难场所。</w:t>
            </w:r>
          </w:p>
          <w:p w14:paraId="2B15F7B7">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7</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后期处置</w:t>
            </w:r>
          </w:p>
          <w:p w14:paraId="49290779">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调查</w:t>
            </w:r>
          </w:p>
          <w:p w14:paraId="05D02F1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一般、较大环境事件由区政府负责调查；重大、特别重大环境事件由连云港市人民政府组成突发环境事件调查组。</w:t>
            </w:r>
          </w:p>
          <w:p w14:paraId="29789DA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区政府调查一般环境事件时，根据有关法律法规组成突发环境事件调查组，突发环境事件的责任单位、个人和涉及的相关单位要予以配合。</w:t>
            </w:r>
          </w:p>
          <w:p w14:paraId="49D3ABB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突发环境事件调查组应当及时、准确地查清事件，查明事件的原因和责任，提出防范和改进的措施。属于责任事件的，应对负有责任的单位和个人提出处理意见；涉嫌犯罪的，移交司法机关依法追究刑事责任。</w:t>
            </w:r>
          </w:p>
          <w:p w14:paraId="2DA96462">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总结</w:t>
            </w:r>
          </w:p>
          <w:p w14:paraId="508D7D3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负责处置突发环境事件的乡街、开发区和相应机构要及时总结经验、吸取教训，将应急处置工作的全过程记录整理后，形成系统的书面材料报区应急指挥中心和区政府备案，为今后妥善处置突发环境事件积累经验。</w:t>
            </w:r>
          </w:p>
          <w:p w14:paraId="4902AB0B">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善后工作</w:t>
            </w:r>
          </w:p>
          <w:p w14:paraId="488534F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应急指挥中心要组织有关专家对受灾范围进行科学评估，提出补偿方案（包括人员安置，赔偿，以及污染物收集、清理与处置等），事发地乡街、开发区应采取有效措施，确保受灾群众的正常生活，所需救济经费由区财政安排。同时，积极鼓励和利用社会资源进行救济救助，积极提倡和鼓励企事业单位和个人捐助，逐步加大社会救助的比重。</w:t>
            </w:r>
          </w:p>
          <w:p w14:paraId="22CE6D4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一般、较大环境事件的善后工作由区政府组织实施，重大、特别重大环境事件的善后工作由连云港市人民政府组织实施。</w:t>
            </w:r>
          </w:p>
          <w:p w14:paraId="3A3C584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保险</w:t>
            </w:r>
          </w:p>
          <w:p w14:paraId="44A9932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应建立突发环境事件社会保险机制，对环境应急工作人员办理意外伤害保险。可能引起环境污染的企业事业单位，要依法办理相关责任险和其他险种。</w:t>
            </w:r>
          </w:p>
          <w:p w14:paraId="35646576">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8</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应急预案的衔接</w:t>
            </w:r>
          </w:p>
          <w:p w14:paraId="7B129668">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应急组织机构、人员衔接</w:t>
            </w:r>
          </w:p>
          <w:p w14:paraId="58FB91D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当发生风险事故时，区环境应急办应及时承担起与区政府及各职能管理部门的应急指挥机构的联系工作，及时将事故发生情况及最新进展向政府及有关部门汇报，并将上级指挥机构的命令及时向指挥中心汇报；编制环境污染事故报告，并将报告向上级部门汇报。</w:t>
            </w:r>
          </w:p>
          <w:p w14:paraId="0D336362">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预案分级响应衔接</w:t>
            </w:r>
          </w:p>
          <w:p w14:paraId="01ED395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（1）可能发生一般环境污染事故：在污染事故现场处置妥当后，经现场指挥部研究确定后，向区应急指挥中心及连云区政府、当地生态环境部门报告处理结果。</w:t>
            </w:r>
          </w:p>
          <w:p w14:paraId="1979765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可能发生较大环境污染事故：区环境应急办在接到事故报警后，及时向区应急指挥中心报告，并请求支援；区应急指挥中心进行紧急动员，适时启动连云区突发环境事件应急预案，迅速调集救援力量，指挥区域应急救援成员单位、相关职能部门，根据连云区突发环境事件应急预案组成现场指挥部，按照各自的职责和现场救援具体方案开展抢险救援工作。现场指挥部同时将有关进展情况向区应急指挥中心及区政府汇报；污染事故基本控制稳定后，现场指挥部将根据专家意见，迅速调集后援力量展开事故处置工作。现场应急处理结束。</w:t>
            </w:r>
          </w:p>
          <w:p w14:paraId="109F9B7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当污染事故有进一步扩大、发展趋势，或因事故衍生问题造成重大社会不稳定事态，现场指挥部将根据事态发展，及时调整应急响应级别，发布预警信息，同时向连云港市生态环境局、连云港市政府请求援助，由连云港市政府启动相应级别应急预案，必要时由连云港市政府向江苏省环境应急与事故调查中心办理汇报并请求援助。</w:t>
            </w:r>
          </w:p>
          <w:p w14:paraId="63200220">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应急救援保障衔接</w:t>
            </w:r>
          </w:p>
          <w:p w14:paraId="4C841B8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（1）区域企业互助体系：区域各企业建立良好的应急互助关系，在突发环境事件发生后，能够相互支援。</w:t>
            </w:r>
          </w:p>
          <w:p w14:paraId="5BA153C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（2）公共援助力量：连云区可上报连云港市生态环境局，并由市生态环境局协调连云港市各类公共力量以及各相关职能部门，请求救援物资、设备的支持。</w:t>
            </w:r>
          </w:p>
          <w:p w14:paraId="45EB02EB">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（3）专家援助：建立专家库，在紧急情况下，可以联系获取技术支持。</w:t>
            </w:r>
          </w:p>
          <w:p w14:paraId="76FFEC6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各类应急预案内容的衔接</w:t>
            </w:r>
          </w:p>
          <w:p w14:paraId="47DDBFF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连云区编制有《连云区重污染天气应急预案》等专项应急预案，当出现重污染天气，应以各专项应急预案为基准、以本预案为原则，开展预警、响应及事故处置等工作。</w:t>
            </w:r>
          </w:p>
          <w:p w14:paraId="49287730">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9</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宣传教育、培训与演练</w:t>
            </w:r>
          </w:p>
          <w:p w14:paraId="311333B3">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公众宣传教育</w:t>
            </w:r>
          </w:p>
          <w:p w14:paraId="4613EA3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各有关单位及部门要充分利用各种媒体，采取多种形式，加强对社会公众的宣传教育，广泛宣传突发环境事件的预防、避险、自救、互救等知识，不断增强公众防范、应对突发环境事件的意识和能力，提高企事业单位应对突发环境事件的能力。</w:t>
            </w:r>
          </w:p>
          <w:p w14:paraId="476E3201">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培训</w:t>
            </w:r>
          </w:p>
          <w:p w14:paraId="405E4FA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各有关单位及部门要根据处置突发环境事件的需要，加强对环境事件专业技术人员的培训和管理。通过培训，不断提高其处置突发环境事件的能力，努力做到业务精通、反应迅速。</w:t>
            </w:r>
          </w:p>
          <w:p w14:paraId="7FEEE9BD">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9.3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演练</w:t>
            </w:r>
          </w:p>
          <w:p w14:paraId="5385609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lang w:val="en-US" w:eastAsia="zh-CN"/>
              </w:rPr>
              <w:t>全区统筹，</w:t>
            </w:r>
            <w:r>
              <w:rPr>
                <w:rFonts w:hint="default" w:ascii="Times New Roman" w:hAnsi="Times New Roman" w:eastAsia="宋体" w:cs="Times New Roman"/>
                <w:sz w:val="32"/>
                <w:szCs w:val="32"/>
              </w:rPr>
              <w:t>结合当地实际，提出应急演习方案并按照程序报批或备案后，组织突发环境事件预警演习和应急救援演练，锻炼应急队伍，提高应急处置能力。</w:t>
            </w:r>
          </w:p>
          <w:p w14:paraId="1FDA2428">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10</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奖励与责任追究</w:t>
            </w:r>
          </w:p>
          <w:p w14:paraId="44F01A2D">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奖励</w:t>
            </w:r>
          </w:p>
          <w:p w14:paraId="4D6578D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对在处置突发环境事件中信息准确、预警及时、预案周密、处置有力、措施得当、成绩显著的单位和个人，给予表彰奖励。</w:t>
            </w:r>
          </w:p>
          <w:p w14:paraId="244BE81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在突发环境事件应急救援工作中，有下列事迹之一的单位和个人，应依据有关规定给予奖励：</w:t>
            </w:r>
          </w:p>
          <w:p w14:paraId="69B1577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（1）出色完成突发环境事件应急处置任务，成绩显著的；</w:t>
            </w:r>
          </w:p>
          <w:p w14:paraId="6396F87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（2）对防止或挽救突发环境事件有功，使国家、集体的财物和人民群众的生命财产免受或者减少损失的；</w:t>
            </w:r>
          </w:p>
          <w:p w14:paraId="770302B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（3）对事件应急准备与响应提出重大建议，经实施效果显著的；</w:t>
            </w:r>
          </w:p>
          <w:p w14:paraId="66873AD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（4）有其他特殊贡献的。</w:t>
            </w:r>
          </w:p>
          <w:p w14:paraId="722FDC42">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10.2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责任追究</w:t>
            </w:r>
          </w:p>
          <w:p w14:paraId="0A0C730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在突发环境事件应急救援中，有下列行为之一的，按照有关法律和规定，对有关责任人员视情节和危害后果，由其所在单位或者上级机关给予行政处分；其中，对国家公务员和国家行政机关任命的其他人员，分别由任免机关或者监察机关给予行政处分；构成犯罪的，由司法机关依法追究刑事责任：</w:t>
            </w:r>
          </w:p>
          <w:p w14:paraId="6C9A74E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（1）不认真履行国家有关法律、法规而引发环境事件的；</w:t>
            </w:r>
          </w:p>
          <w:p w14:paraId="3EB83311">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（2）不按照规定制定突发环境事件应急预案，拒绝承担突发环境事件应急准备义务的；</w:t>
            </w:r>
          </w:p>
          <w:p w14:paraId="16E542A8">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（3）不按规定报告、通报突发环境事件真实情况的；</w:t>
            </w:r>
          </w:p>
          <w:p w14:paraId="7988972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（4）拒不执行突发环境事件应急预案，不服从命令和指挥，或者在事件应急响应时临阵脱逃的；</w:t>
            </w:r>
          </w:p>
          <w:p w14:paraId="610114C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（5）盗窃、贪污、挪用环境事件应急救援资金、装备和物资的；</w:t>
            </w:r>
          </w:p>
          <w:p w14:paraId="185306F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（6）阻碍环境事件应急救援人员依法执行职务或者进行破坏活动的；</w:t>
            </w:r>
          </w:p>
          <w:p w14:paraId="05765D1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（7）散布谣言，扰乱社会秩序的；</w:t>
            </w:r>
          </w:p>
          <w:p w14:paraId="21387B3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（8）有其他对环境事件应急救援造成危害行为的。</w:t>
            </w:r>
          </w:p>
          <w:p w14:paraId="587A9EE2">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11</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附则</w:t>
            </w:r>
          </w:p>
          <w:p w14:paraId="05235720">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预案管理</w:t>
            </w:r>
          </w:p>
          <w:p w14:paraId="749D4E60">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11.1.1</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预案制定</w:t>
            </w:r>
          </w:p>
          <w:p w14:paraId="65CB5EA7">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本预案由连云生态环境局牵头制定，报区人民政府批准。</w:t>
            </w:r>
          </w:p>
          <w:p w14:paraId="251E378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区政府有关部门应当根据《连云区突发环境事件应急预案》，制定与预案相衔接、配套的工作预案。</w:t>
            </w:r>
          </w:p>
          <w:p w14:paraId="27A2943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预案修订</w:t>
            </w:r>
          </w:p>
          <w:p w14:paraId="478C288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随着突发环境事件应急救援相关法律法规的制定、修订和完善，部门职责或应急资源发生变化，或在应急过程中发现存在的问题和出现新的情况，连云生态环境局应会同区政府有关部门及时修订完善本预案，报区人民政府批准。区直有关部门根据本预案的规定，制定本部门职责范围内的具体工作方案。</w:t>
            </w:r>
          </w:p>
          <w:p w14:paraId="1A944A6C">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11.2</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预案解释部门</w:t>
            </w:r>
          </w:p>
          <w:p w14:paraId="35C48B5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本预案由连云生态环境局负责解释。</w:t>
            </w:r>
          </w:p>
          <w:p w14:paraId="5EB8FA8A">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11.3</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预案施行时间</w:t>
            </w:r>
          </w:p>
          <w:p w14:paraId="28087F5C">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本预案自印发之日起施行。</w:t>
            </w:r>
          </w:p>
          <w:p w14:paraId="5CF3938F">
            <w:pPr>
              <w:overflowPunct w:val="0"/>
              <w:snapToGrid/>
              <w:spacing w:line="560" w:lineRule="exact"/>
              <w:ind w:firstLine="626" w:firstLineChars="198"/>
              <w:outlineLvl w:val="1"/>
              <w:rPr>
                <w:rFonts w:hint="default" w:ascii="Times New Roman" w:hAnsi="Times New Roman" w:eastAsia="宋体" w:cs="Times New Roman"/>
                <w:sz w:val="32"/>
                <w:szCs w:val="32"/>
              </w:rPr>
            </w:pPr>
            <w:r>
              <w:rPr>
                <w:rFonts w:hint="default" w:ascii="Times New Roman" w:hAnsi="Times New Roman" w:eastAsia="宋体" w:cs="Times New Roman"/>
                <w:sz w:val="32"/>
                <w:szCs w:val="32"/>
              </w:rPr>
              <w:t>11.4</w:t>
            </w:r>
            <w:r>
              <w:rPr>
                <w:rFonts w:hint="default" w:ascii="Times New Roman" w:hAnsi="Times New Roman" w:eastAsia="宋体" w:cs="Times New Roman"/>
                <w:sz w:val="32"/>
                <w:szCs w:val="32"/>
                <w:lang w:val="en-US" w:eastAsia="zh-CN"/>
              </w:rPr>
              <w:t xml:space="preserve"> </w:t>
            </w:r>
            <w:r>
              <w:rPr>
                <w:rFonts w:hint="default" w:ascii="Times New Roman" w:hAnsi="Times New Roman" w:eastAsia="宋体" w:cs="Times New Roman"/>
                <w:sz w:val="32"/>
                <w:szCs w:val="32"/>
              </w:rPr>
              <w:t>名词术语</w:t>
            </w:r>
          </w:p>
          <w:p w14:paraId="4C4B8C8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危险物质：指《危险化学品目录》中的物质和易燃易爆物品。</w:t>
            </w:r>
          </w:p>
          <w:p w14:paraId="289559F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危险废物：指列入《国家危险废物名录》或者根据《危险废物鉴别标准和危险废物鉴别技术规范》（GB5085.6-2007）认定的具有危险特性的固体废物。</w:t>
            </w:r>
          </w:p>
          <w:p w14:paraId="7E6E9D5A">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环境风险源：指可能导致突发环境事件的污染源，以及生产、贮存、经营、使用、运输危险物质或产生、收集、利用、处置危险废物的场所、设备和装置。</w:t>
            </w:r>
          </w:p>
          <w:p w14:paraId="4D8E1A5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环境敏感区：根据《建设项目环境影响评价分类管理名录》规定，指依法设立的各级各类自然、文化保护地，以及对建设项目的某类污染因子或者生态影响因子特别敏感的区域。</w:t>
            </w:r>
          </w:p>
          <w:p w14:paraId="4805A8A5">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环境保护目标：指在突发环境事件应急中，需要保护的环境敏感区域中可能受到影响的对象。</w:t>
            </w:r>
          </w:p>
          <w:p w14:paraId="7645D3DF">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环境事件：指由于违反环境保护法律法规的经济、社会活动与行为，以及由于意外因素的影响或不可抗拒的自然灾害等原因致使环境受到污染，生态系统受到干扰，人体健康受到危害，社会财富受到损失，造成不良社会影响的事件。</w:t>
            </w:r>
          </w:p>
          <w:p w14:paraId="6D23D9B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次生衍生事件：某一突发公共事件所派生或者因处置不当而引发的环境事件。</w:t>
            </w:r>
          </w:p>
          <w:p w14:paraId="2375E6A3">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突发环境事件：指由于污染物排放或者自然灾害、生产安全事故等因素，导致污染物或者放射性物质等有毒害害物质进入大气、水体、土壤等环境介质，突然造成或者可能造成环境质量下降，危及公众身体健康和财产安全，或者造成生态环境破坏，或者造成重大社会影响，需要采取紧急措施予以应对的事件。</w:t>
            </w:r>
          </w:p>
          <w:p w14:paraId="3DBB7126">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应急救援：指突发环境事件发生时，采取的消除、减少事件危害和防止事件恶化，最大限度降低事件损失的措施。</w:t>
            </w:r>
          </w:p>
          <w:p w14:paraId="7B1DCC7D">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应急监测：指在环境应急情况下，为发现和查明环境污染情况和污染范围而进行的环境监测，包括定点监测和动态监测。</w:t>
            </w:r>
          </w:p>
          <w:p w14:paraId="461EEC2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恢复：指在突发环境事件的影响得到初步控制后，为使生产、生活和生态环境尽快恢复到正常状态而采取的措施或行动。</w:t>
            </w:r>
          </w:p>
          <w:p w14:paraId="717DC0C2">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急预案：指根据对可能发生的环境事件的类别、危害程度的预测，而制定的突发环境事件应急救援方案。要充分考虑现有物质、人员及环境风险源的具体条件，能及时、有效地统筹指导突发环境事件应急救援行动。</w:t>
            </w:r>
          </w:p>
          <w:p w14:paraId="53A78F34">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分类：指根据突发环境事件的发生过程、性质和机理，对不同环境事件划分的类别。</w:t>
            </w:r>
          </w:p>
          <w:p w14:paraId="401C8A9E">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分级：分级指按照突发环境事件严重性、紧急程度及危害程度，对不同环境事件划分的级别。</w:t>
            </w:r>
          </w:p>
          <w:p w14:paraId="18395AB9">
            <w:pPr>
              <w:overflowPunct w:val="0"/>
              <w:snapToGrid/>
              <w:spacing w:line="560" w:lineRule="exact"/>
              <w:ind w:firstLine="626" w:firstLineChars="198"/>
              <w:rPr>
                <w:rFonts w:hint="default" w:ascii="Times New Roman" w:hAnsi="Times New Roman" w:eastAsia="宋体" w:cs="Times New Roman"/>
                <w:sz w:val="32"/>
                <w:szCs w:val="32"/>
              </w:rPr>
            </w:pPr>
            <w:r>
              <w:rPr>
                <w:rFonts w:hint="default" w:ascii="Times New Roman" w:hAnsi="Times New Roman" w:eastAsia="宋体" w:cs="Times New Roman"/>
                <w:sz w:val="32"/>
                <w:szCs w:val="32"/>
              </w:rPr>
              <w:t>应急演练：为检验应急预案的有效性、应急准备的完善性、应急响应能力的适应性和应急人员的协同性而进行的一种模拟应急响应的实践活动。根据所涉及的内容和范围的不同，可分为单项演练、综合演练和指挥中心、现场应急组织联合进行的联合演练。</w:t>
            </w:r>
          </w:p>
          <w:p w14:paraId="213C22BE">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F1</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应急指挥体系</w:t>
            </w:r>
          </w:p>
          <w:p w14:paraId="19A092E8">
            <w:pPr>
              <w:spacing w:line="240" w:lineRule="auto"/>
              <w:ind w:left="0" w:leftChars="0" w:firstLine="0" w:firstLineChars="0"/>
              <w:rPr>
                <w:rFonts w:hint="default" w:ascii="Times New Roman" w:hAnsi="Times New Roman" w:eastAsia="宋体" w:cs="Times New Roman"/>
                <w:sz w:val="32"/>
                <w:szCs w:val="32"/>
              </w:rPr>
            </w:pPr>
            <w:r>
              <w:rPr>
                <w:rFonts w:hint="default" w:ascii="Times New Roman" w:hAnsi="Times New Roman" w:cs="Times New Roman"/>
              </w:rPr>
              <w:drawing>
                <wp:inline distT="0" distB="0" distL="114300" distR="114300">
                  <wp:extent cx="5749290" cy="5639435"/>
                  <wp:effectExtent l="0" t="0" r="3810" b="1841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23"/>
                          <a:stretch>
                            <a:fillRect/>
                          </a:stretch>
                        </pic:blipFill>
                        <pic:spPr>
                          <a:xfrm>
                            <a:off x="0" y="0"/>
                            <a:ext cx="5749290" cy="5639435"/>
                          </a:xfrm>
                          <a:prstGeom prst="rect">
                            <a:avLst/>
                          </a:prstGeom>
                          <a:noFill/>
                          <a:ln>
                            <a:noFill/>
                          </a:ln>
                        </pic:spPr>
                      </pic:pic>
                    </a:graphicData>
                  </a:graphic>
                </wp:inline>
              </w:drawing>
            </w:r>
          </w:p>
          <w:p w14:paraId="12E97700">
            <w:pPr>
              <w:ind w:firstLine="560"/>
              <w:rPr>
                <w:rFonts w:hint="default" w:ascii="Times New Roman" w:hAnsi="Times New Roman" w:eastAsia="宋体" w:cs="Times New Roman"/>
                <w:sz w:val="32"/>
                <w:szCs w:val="32"/>
              </w:rPr>
            </w:pPr>
          </w:p>
          <w:p w14:paraId="4B82CF65">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F2</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环境应急专家组</w:t>
            </w:r>
          </w:p>
          <w:p w14:paraId="5827B97D">
            <w:pPr>
              <w:pStyle w:val="50"/>
              <w:snapToGrid w:val="0"/>
              <w:spacing w:line="560" w:lineRule="exact"/>
              <w:ind w:firstLine="560"/>
              <w:jc w:val="left"/>
              <w:rPr>
                <w:rFonts w:hint="default" w:ascii="Times New Roman" w:hAnsi="Times New Roman" w:eastAsia="宋体" w:cs="Times New Roman"/>
                <w:snapToGrid w:val="0"/>
                <w:sz w:val="32"/>
                <w:szCs w:val="32"/>
              </w:rPr>
            </w:pPr>
            <w:r>
              <w:rPr>
                <w:rFonts w:hint="default" w:ascii="Times New Roman" w:hAnsi="Times New Roman" w:eastAsia="宋体" w:cs="Times New Roman"/>
                <w:snapToGrid w:val="0"/>
                <w:sz w:val="32"/>
                <w:szCs w:val="32"/>
              </w:rPr>
              <w:t>连云区环境应急专家库基于江苏省生态环境厅公布的江苏省环境应急专家库成员（苏环办</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2023</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203号）、连云港市生态环境局发布的连云港市环境应急专家库名单（连环发</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2022</w:t>
            </w:r>
            <w:r>
              <w:rPr>
                <w:rFonts w:hint="default" w:ascii="Times New Roman" w:hAnsi="Times New Roman" w:cs="Times New Roman"/>
                <w:snapToGrid w:val="0"/>
                <w:sz w:val="32"/>
                <w:szCs w:val="32"/>
                <w:lang w:eastAsia="zh-CN"/>
              </w:rPr>
              <w:t>〕</w:t>
            </w:r>
            <w:r>
              <w:rPr>
                <w:rFonts w:hint="default" w:ascii="Times New Roman" w:hAnsi="Times New Roman" w:eastAsia="宋体" w:cs="Times New Roman"/>
                <w:snapToGrid w:val="0"/>
                <w:sz w:val="32"/>
                <w:szCs w:val="32"/>
              </w:rPr>
              <w:t>254号），同时可按突发环境事件情形及事故处置需求聘请科研单位、高等院校、驻军、重点事业、企业单位环境监测、环境评估、环境保护、危险化学品、防化、水利水文、气象、船舶污染、损害索赔等相关专家，并将其中具备丰富事故处置经验的专家纳入区环境应急专家库。</w:t>
            </w:r>
          </w:p>
          <w:p w14:paraId="030CE8B7">
            <w:pPr>
              <w:pStyle w:val="51"/>
              <w:snapToGrid w:val="0"/>
              <w:spacing w:line="440" w:lineRule="exact"/>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省级环境应急专家组名单（排名按姓氏拼音）</w:t>
            </w:r>
          </w:p>
          <w:tbl>
            <w:tblPr>
              <w:tblStyle w:val="1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
              <w:gridCol w:w="26"/>
              <w:gridCol w:w="29"/>
              <w:gridCol w:w="69"/>
              <w:gridCol w:w="34"/>
              <w:gridCol w:w="35"/>
            </w:tblGrid>
            <w:tr w14:paraId="405401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bottom w:val="single" w:color="000000" w:sz="6" w:space="0"/>
                    <w:right w:val="single" w:color="000000" w:sz="6" w:space="0"/>
                  </w:tcBorders>
                  <w:noWrap w:val="0"/>
                  <w:vAlign w:val="center"/>
                </w:tcPr>
                <w:p w14:paraId="6A87CCC9">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序号</w:t>
                  </w:r>
                </w:p>
              </w:tc>
              <w:tc>
                <w:tcPr>
                  <w:tcW w:w="629" w:type="pct"/>
                  <w:tcBorders>
                    <w:left w:val="single" w:color="000000" w:sz="6" w:space="0"/>
                    <w:bottom w:val="single" w:color="000000" w:sz="6" w:space="0"/>
                    <w:right w:val="single" w:color="000000" w:sz="6" w:space="0"/>
                  </w:tcBorders>
                  <w:noWrap w:val="0"/>
                  <w:vAlign w:val="center"/>
                </w:tcPr>
                <w:p w14:paraId="358B9D5C">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姓名</w:t>
                  </w:r>
                </w:p>
              </w:tc>
              <w:tc>
                <w:tcPr>
                  <w:tcW w:w="695" w:type="pct"/>
                  <w:tcBorders>
                    <w:left w:val="single" w:color="000000" w:sz="6" w:space="0"/>
                    <w:bottom w:val="single" w:color="000000" w:sz="6" w:space="0"/>
                    <w:right w:val="single" w:color="000000" w:sz="6" w:space="0"/>
                  </w:tcBorders>
                  <w:noWrap w:val="0"/>
                  <w:vAlign w:val="center"/>
                </w:tcPr>
                <w:p w14:paraId="62092551">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擅长领域</w:t>
                  </w:r>
                </w:p>
              </w:tc>
              <w:tc>
                <w:tcPr>
                  <w:tcW w:w="1653" w:type="pct"/>
                  <w:tcBorders>
                    <w:left w:val="single" w:color="000000" w:sz="6" w:space="0"/>
                    <w:bottom w:val="single" w:color="000000" w:sz="6" w:space="0"/>
                    <w:right w:val="single" w:color="000000" w:sz="6" w:space="0"/>
                  </w:tcBorders>
                  <w:noWrap w:val="0"/>
                  <w:vAlign w:val="center"/>
                </w:tcPr>
                <w:p w14:paraId="18E66246">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单位</w:t>
                  </w:r>
                </w:p>
              </w:tc>
              <w:tc>
                <w:tcPr>
                  <w:tcW w:w="799" w:type="pct"/>
                  <w:tcBorders>
                    <w:left w:val="single" w:color="000000" w:sz="6" w:space="0"/>
                    <w:bottom w:val="single" w:color="000000" w:sz="6" w:space="0"/>
                    <w:right w:val="single" w:color="000000" w:sz="6" w:space="0"/>
                  </w:tcBorders>
                  <w:noWrap w:val="0"/>
                  <w:vAlign w:val="center"/>
                </w:tcPr>
                <w:p w14:paraId="292FE126">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资质职称</w:t>
                  </w:r>
                </w:p>
              </w:tc>
              <w:tc>
                <w:tcPr>
                  <w:tcW w:w="842" w:type="pct"/>
                  <w:tcBorders>
                    <w:left w:val="single" w:color="000000" w:sz="6" w:space="0"/>
                    <w:bottom w:val="single" w:color="000000" w:sz="6" w:space="0"/>
                  </w:tcBorders>
                  <w:noWrap w:val="0"/>
                  <w:vAlign w:val="center"/>
                </w:tcPr>
                <w:p w14:paraId="080ED08D">
                  <w:pPr>
                    <w:pStyle w:val="50"/>
                    <w:snapToGrid w:val="0"/>
                    <w:spacing w:line="240" w:lineRule="auto"/>
                    <w:ind w:left="0" w:leftChars="0"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手机</w:t>
                  </w:r>
                </w:p>
              </w:tc>
            </w:tr>
            <w:tr w14:paraId="54A3F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3AD733B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572636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陈程</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6C7231D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67A600D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2DBE29D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0220DCE2">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158******99</w:t>
                  </w:r>
                </w:p>
              </w:tc>
            </w:tr>
            <w:tr w14:paraId="37DBF6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7E7C4AF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2</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23A8723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董军玲</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4D53A8F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风险评估、环境管理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1DBD848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09D6F411">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77F2C69A">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189******98</w:t>
                  </w:r>
                </w:p>
              </w:tc>
            </w:tr>
            <w:tr w14:paraId="26A8D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7184542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3</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00EA4460">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贺心然</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5E1B4C61">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3BD361BA">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6082C24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研究员级高工</w:t>
                  </w:r>
                </w:p>
              </w:tc>
              <w:tc>
                <w:tcPr>
                  <w:tcW w:w="842" w:type="pct"/>
                  <w:tcBorders>
                    <w:top w:val="single" w:color="000000" w:sz="6" w:space="0"/>
                    <w:left w:val="single" w:color="000000" w:sz="6" w:space="0"/>
                    <w:bottom w:val="single" w:color="000000" w:sz="6" w:space="0"/>
                  </w:tcBorders>
                  <w:noWrap w:val="0"/>
                  <w:vAlign w:val="center"/>
                </w:tcPr>
                <w:p w14:paraId="006DB178">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138******79</w:t>
                  </w:r>
                </w:p>
              </w:tc>
            </w:tr>
            <w:tr w14:paraId="06A75F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2BF50A0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4</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549ECA9A">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姜玲</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0B798DD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577AB94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江苏省连云港环境监测中心</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066F961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w:t>
                  </w:r>
                </w:p>
              </w:tc>
              <w:tc>
                <w:tcPr>
                  <w:tcW w:w="842" w:type="pct"/>
                  <w:tcBorders>
                    <w:top w:val="single" w:color="000000" w:sz="6" w:space="0"/>
                    <w:left w:val="single" w:color="000000" w:sz="6" w:space="0"/>
                    <w:bottom w:val="single" w:color="000000" w:sz="6" w:space="0"/>
                  </w:tcBorders>
                  <w:noWrap w:val="0"/>
                  <w:vAlign w:val="center"/>
                </w:tcPr>
                <w:p w14:paraId="5A72E19F">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138******38</w:t>
                  </w:r>
                </w:p>
              </w:tc>
            </w:tr>
            <w:tr w14:paraId="08EB77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4C7052E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5</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4FA9BD2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金盛杨</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455D40D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土壤环境污染调查评估</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745BB95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连云港市生态环境局开发区分局</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33D996C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364E5906">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135******20</w:t>
                  </w:r>
                </w:p>
              </w:tc>
            </w:tr>
            <w:tr w14:paraId="41A96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0DC4764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6</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A3E56D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林浩宇</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0895F7E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环境监测、盐化工工艺</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37E35B97">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659D524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w:t>
                  </w:r>
                </w:p>
              </w:tc>
              <w:tc>
                <w:tcPr>
                  <w:tcW w:w="842" w:type="pct"/>
                  <w:tcBorders>
                    <w:top w:val="single" w:color="000000" w:sz="6" w:space="0"/>
                    <w:left w:val="single" w:color="000000" w:sz="6" w:space="0"/>
                    <w:bottom w:val="single" w:color="000000" w:sz="6" w:space="0"/>
                  </w:tcBorders>
                  <w:noWrap w:val="0"/>
                  <w:vAlign w:val="center"/>
                </w:tcPr>
                <w:p w14:paraId="5C1113E8">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138******60</w:t>
                  </w:r>
                </w:p>
              </w:tc>
            </w:tr>
            <w:tr w14:paraId="63290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20C5E91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7</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613E9DD">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时红霞</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1112D8CE">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3DE6F44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连云港市东海生态环境监测站</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1CEB506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4262CA51">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158******98</w:t>
                  </w:r>
                </w:p>
              </w:tc>
            </w:tr>
            <w:tr w14:paraId="3588A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3F71581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8</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6A0A721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王彬斌</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4C91732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生态损害评估、环境监测</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58BDF1E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连云港市污染防治攻坚办</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1E92868A">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036A19DC">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138******22</w:t>
                  </w:r>
                </w:p>
              </w:tc>
            </w:tr>
            <w:tr w14:paraId="1D9D6F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5416DB9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9</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5603A76">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王勋跃</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10CD29D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环境风险评估</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7B72C8E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江苏绿源工程设计研究有限公司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5F11139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1CFF2737">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189******10</w:t>
                  </w:r>
                </w:p>
              </w:tc>
            </w:tr>
            <w:tr w14:paraId="58CE1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645CCEEF">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10</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31BBFCF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吴刚</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1373A9D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环境科研、污染治理修复</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1CDADCA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连云港市环境科学学会</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0653060C">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18F97CFF">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137******70</w:t>
                  </w:r>
                </w:p>
              </w:tc>
            </w:tr>
            <w:tr w14:paraId="355963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097B4FA8">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11</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04063A79">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徐传江</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3A410CA4">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生态修复与管理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7FC149B5">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连云港市生态环境行政综合执法局（退休）</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431F6203">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2AEB1BEE">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136******89</w:t>
                  </w:r>
                </w:p>
              </w:tc>
            </w:tr>
            <w:tr w14:paraId="3867A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380" w:type="pct"/>
                  <w:tcBorders>
                    <w:top w:val="single" w:color="000000" w:sz="6" w:space="0"/>
                    <w:bottom w:val="single" w:color="000000" w:sz="6" w:space="0"/>
                    <w:right w:val="single" w:color="000000" w:sz="6" w:space="0"/>
                  </w:tcBorders>
                  <w:noWrap w:val="0"/>
                  <w:vAlign w:val="center"/>
                </w:tcPr>
                <w:p w14:paraId="21CEC6E9">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12</w:t>
                  </w:r>
                </w:p>
              </w:tc>
              <w:tc>
                <w:tcPr>
                  <w:tcW w:w="629" w:type="pct"/>
                  <w:tcBorders>
                    <w:top w:val="single" w:color="000000" w:sz="6" w:space="0"/>
                    <w:left w:val="single" w:color="000000" w:sz="6" w:space="0"/>
                    <w:bottom w:val="single" w:color="000000" w:sz="6" w:space="0"/>
                    <w:right w:val="single" w:color="000000" w:sz="6" w:space="0"/>
                  </w:tcBorders>
                  <w:noWrap w:val="0"/>
                  <w:vAlign w:val="center"/>
                </w:tcPr>
                <w:p w14:paraId="6A9B713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杨超喜</w:t>
                  </w:r>
                </w:p>
              </w:tc>
              <w:tc>
                <w:tcPr>
                  <w:tcW w:w="695" w:type="pct"/>
                  <w:tcBorders>
                    <w:top w:val="single" w:color="000000" w:sz="6" w:space="0"/>
                    <w:left w:val="single" w:color="000000" w:sz="6" w:space="0"/>
                    <w:bottom w:val="single" w:color="000000" w:sz="6" w:space="0"/>
                    <w:right w:val="single" w:color="000000" w:sz="6" w:space="0"/>
                  </w:tcBorders>
                  <w:noWrap w:val="0"/>
                  <w:vAlign w:val="center"/>
                </w:tcPr>
                <w:p w14:paraId="79B1EE6B">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生态修复与管理</w:t>
                  </w:r>
                </w:p>
              </w:tc>
              <w:tc>
                <w:tcPr>
                  <w:tcW w:w="1653" w:type="pct"/>
                  <w:tcBorders>
                    <w:top w:val="single" w:color="000000" w:sz="6" w:space="0"/>
                    <w:left w:val="single" w:color="000000" w:sz="6" w:space="0"/>
                    <w:bottom w:val="single" w:color="000000" w:sz="6" w:space="0"/>
                    <w:right w:val="single" w:color="000000" w:sz="6" w:space="0"/>
                  </w:tcBorders>
                  <w:noWrap w:val="0"/>
                  <w:vAlign w:val="center"/>
                </w:tcPr>
                <w:p w14:paraId="626936F2">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连云港龙展环保科技有限公司</w:t>
                  </w:r>
                </w:p>
              </w:tc>
              <w:tc>
                <w:tcPr>
                  <w:tcW w:w="799" w:type="pct"/>
                  <w:tcBorders>
                    <w:top w:val="single" w:color="000000" w:sz="6" w:space="0"/>
                    <w:left w:val="single" w:color="000000" w:sz="6" w:space="0"/>
                    <w:bottom w:val="single" w:color="000000" w:sz="6" w:space="0"/>
                    <w:right w:val="single" w:color="000000" w:sz="6" w:space="0"/>
                  </w:tcBorders>
                  <w:noWrap w:val="0"/>
                  <w:vAlign w:val="center"/>
                </w:tcPr>
                <w:p w14:paraId="659B1E50">
                  <w:pPr>
                    <w:pStyle w:val="50"/>
                    <w:snapToGrid w:val="0"/>
                    <w:spacing w:line="240" w:lineRule="auto"/>
                    <w:ind w:left="0" w:leftChars="0"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842" w:type="pct"/>
                  <w:tcBorders>
                    <w:top w:val="single" w:color="000000" w:sz="6" w:space="0"/>
                    <w:left w:val="single" w:color="000000" w:sz="6" w:space="0"/>
                    <w:bottom w:val="single" w:color="000000" w:sz="6" w:space="0"/>
                  </w:tcBorders>
                  <w:noWrap w:val="0"/>
                  <w:vAlign w:val="center"/>
                </w:tcPr>
                <w:p w14:paraId="58BCB58B">
                  <w:pPr>
                    <w:pStyle w:val="50"/>
                    <w:snapToGrid w:val="0"/>
                    <w:spacing w:line="240" w:lineRule="auto"/>
                    <w:ind w:left="0" w:leftChars="0"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150******66</w:t>
                  </w:r>
                </w:p>
              </w:tc>
            </w:tr>
          </w:tbl>
          <w:p w14:paraId="6AFB6999">
            <w:pPr>
              <w:pStyle w:val="51"/>
              <w:snapToGrid w:val="0"/>
              <w:spacing w:line="440" w:lineRule="exact"/>
              <w:rPr>
                <w:rFonts w:hint="default" w:ascii="Times New Roman" w:hAnsi="Times New Roman" w:eastAsia="宋体" w:cs="Times New Roman"/>
                <w:b/>
                <w:sz w:val="32"/>
                <w:szCs w:val="32"/>
              </w:rPr>
            </w:pPr>
            <w:r>
              <w:rPr>
                <w:rFonts w:hint="default" w:ascii="Times New Roman" w:hAnsi="Times New Roman" w:eastAsia="宋体" w:cs="Times New Roman"/>
                <w:b/>
                <w:sz w:val="32"/>
                <w:szCs w:val="32"/>
              </w:rPr>
              <w:t>市级环境应急专家组名单（排名按姓氏拼音）</w:t>
            </w:r>
          </w:p>
          <w:tbl>
            <w:tblPr>
              <w:tblStyle w:val="15"/>
              <w:tblW w:w="503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
              <w:gridCol w:w="19"/>
              <w:gridCol w:w="39"/>
              <w:gridCol w:w="49"/>
              <w:gridCol w:w="63"/>
              <w:gridCol w:w="31"/>
            </w:tblGrid>
            <w:tr w14:paraId="76D5F7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527E6B7B">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序号</w:t>
                  </w:r>
                </w:p>
              </w:tc>
              <w:tc>
                <w:tcPr>
                  <w:tcW w:w="455" w:type="pct"/>
                  <w:tcBorders>
                    <w:left w:val="single" w:color="000000" w:sz="6" w:space="0"/>
                    <w:bottom w:val="single" w:color="000000" w:sz="6" w:space="0"/>
                    <w:right w:val="single" w:color="000000" w:sz="6" w:space="0"/>
                  </w:tcBorders>
                  <w:noWrap w:val="0"/>
                  <w:vAlign w:val="center"/>
                </w:tcPr>
                <w:p w14:paraId="370B7C88">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姓名</w:t>
                  </w:r>
                </w:p>
              </w:tc>
              <w:tc>
                <w:tcPr>
                  <w:tcW w:w="923" w:type="pct"/>
                  <w:tcBorders>
                    <w:left w:val="single" w:color="000000" w:sz="6" w:space="0"/>
                    <w:bottom w:val="single" w:color="000000" w:sz="6" w:space="0"/>
                    <w:right w:val="single" w:color="000000" w:sz="6" w:space="0"/>
                  </w:tcBorders>
                  <w:noWrap w:val="0"/>
                  <w:vAlign w:val="center"/>
                </w:tcPr>
                <w:p w14:paraId="4B9CEFEF">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单位</w:t>
                  </w:r>
                </w:p>
              </w:tc>
              <w:tc>
                <w:tcPr>
                  <w:tcW w:w="1175" w:type="pct"/>
                  <w:tcBorders>
                    <w:left w:val="single" w:color="000000" w:sz="6" w:space="0"/>
                    <w:bottom w:val="single" w:color="000000" w:sz="6" w:space="0"/>
                    <w:right w:val="single" w:color="000000" w:sz="6" w:space="0"/>
                  </w:tcBorders>
                  <w:noWrap w:val="0"/>
                  <w:vAlign w:val="center"/>
                </w:tcPr>
                <w:p w14:paraId="4A2BCAC1">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技术职称</w:t>
                  </w:r>
                </w:p>
              </w:tc>
              <w:tc>
                <w:tcPr>
                  <w:tcW w:w="1509" w:type="pct"/>
                  <w:tcBorders>
                    <w:left w:val="single" w:color="000000" w:sz="6" w:space="0"/>
                    <w:bottom w:val="single" w:color="000000" w:sz="6" w:space="0"/>
                    <w:right w:val="single" w:color="000000" w:sz="6" w:space="0"/>
                  </w:tcBorders>
                  <w:noWrap w:val="0"/>
                  <w:vAlign w:val="center"/>
                </w:tcPr>
                <w:p w14:paraId="3D4D230B">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擅长领域</w:t>
                  </w:r>
                </w:p>
              </w:tc>
              <w:tc>
                <w:tcPr>
                  <w:tcW w:w="741" w:type="pct"/>
                  <w:tcBorders>
                    <w:left w:val="single" w:color="000000" w:sz="6" w:space="0"/>
                    <w:bottom w:val="single" w:color="000000" w:sz="6" w:space="0"/>
                  </w:tcBorders>
                  <w:noWrap w:val="0"/>
                  <w:vAlign w:val="center"/>
                </w:tcPr>
                <w:p w14:paraId="697A8E82">
                  <w:pPr>
                    <w:pStyle w:val="50"/>
                    <w:snapToGrid w:val="0"/>
                    <w:spacing w:line="240" w:lineRule="auto"/>
                    <w:ind w:firstLine="0" w:firstLineChars="0"/>
                    <w:jc w:val="center"/>
                    <w:rPr>
                      <w:rFonts w:hint="default" w:ascii="Times New Roman" w:hAnsi="Times New Roman" w:eastAsia="宋体" w:cs="Times New Roman"/>
                      <w:b/>
                      <w:bCs/>
                      <w:snapToGrid w:val="0"/>
                      <w:sz w:val="21"/>
                      <w:szCs w:val="21"/>
                    </w:rPr>
                  </w:pPr>
                  <w:r>
                    <w:rPr>
                      <w:rFonts w:hint="default" w:ascii="Times New Roman" w:hAnsi="Times New Roman" w:eastAsia="宋体" w:cs="Times New Roman"/>
                      <w:b/>
                      <w:bCs/>
                      <w:snapToGrid w:val="0"/>
                      <w:sz w:val="21"/>
                      <w:szCs w:val="21"/>
                    </w:rPr>
                    <w:t>手机</w:t>
                  </w:r>
                </w:p>
              </w:tc>
            </w:tr>
            <w:tr w14:paraId="73082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BCFABB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293AA9C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陈克雷</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4265E5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6CBB58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51820B1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环境工程、化学、环境风险评价、应急管理环境影响评价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187EBA64">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138******98</w:t>
                  </w:r>
                </w:p>
              </w:tc>
            </w:tr>
            <w:tr w14:paraId="40E31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EC86AE5">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F21471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陈文宾</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5373D0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EB893C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4314B02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环境科学、环境监测、精细化工、环境风险评价</w:t>
                  </w:r>
                </w:p>
              </w:tc>
              <w:tc>
                <w:tcPr>
                  <w:tcW w:w="741" w:type="pct"/>
                  <w:tcBorders>
                    <w:top w:val="single" w:color="000000" w:sz="6" w:space="0"/>
                    <w:left w:val="single" w:color="000000" w:sz="6" w:space="0"/>
                    <w:bottom w:val="single" w:color="000000" w:sz="6" w:space="0"/>
                  </w:tcBorders>
                  <w:noWrap w:val="0"/>
                  <w:vAlign w:val="center"/>
                </w:tcPr>
                <w:p w14:paraId="68040B24">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133******79</w:t>
                  </w:r>
                </w:p>
              </w:tc>
            </w:tr>
            <w:tr w14:paraId="128E5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4DD4B712">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226F7B8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迟程</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8F119B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连云港生态环境局开发区分局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C51229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46C0595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环境工程、环境监测、环境风险评价、化学</w:t>
                  </w:r>
                </w:p>
              </w:tc>
              <w:tc>
                <w:tcPr>
                  <w:tcW w:w="741" w:type="pct"/>
                  <w:tcBorders>
                    <w:top w:val="single" w:color="000000" w:sz="6" w:space="0"/>
                    <w:left w:val="single" w:color="000000" w:sz="6" w:space="0"/>
                    <w:bottom w:val="single" w:color="000000" w:sz="6" w:space="0"/>
                  </w:tcBorders>
                  <w:noWrap w:val="0"/>
                  <w:vAlign w:val="center"/>
                </w:tcPr>
                <w:p w14:paraId="2CD5176C">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138******60</w:t>
                  </w:r>
                </w:p>
              </w:tc>
            </w:tr>
            <w:tr w14:paraId="1F9C76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BB71FDA">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15B48EF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费文丽</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4ED77B5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6D4BB33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教授级高工（工业分析）</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D8F643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环境工程、环境风险评价、化学、精细化工</w:t>
                  </w:r>
                </w:p>
              </w:tc>
              <w:tc>
                <w:tcPr>
                  <w:tcW w:w="741" w:type="pct"/>
                  <w:tcBorders>
                    <w:top w:val="single" w:color="000000" w:sz="6" w:space="0"/>
                    <w:left w:val="single" w:color="000000" w:sz="6" w:space="0"/>
                    <w:bottom w:val="single" w:color="000000" w:sz="6" w:space="0"/>
                  </w:tcBorders>
                  <w:noWrap w:val="0"/>
                  <w:vAlign w:val="center"/>
                </w:tcPr>
                <w:p w14:paraId="697C962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188******66</w:t>
                  </w:r>
                </w:p>
              </w:tc>
            </w:tr>
            <w:tr w14:paraId="337BB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6D56EA52">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1329091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付玉梅</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11FB27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170332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BF2158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环境科学、环境风险评价、应急管理环境影响评价、环境监测</w:t>
                  </w:r>
                </w:p>
              </w:tc>
              <w:tc>
                <w:tcPr>
                  <w:tcW w:w="741" w:type="pct"/>
                  <w:tcBorders>
                    <w:top w:val="single" w:color="000000" w:sz="6" w:space="0"/>
                    <w:left w:val="single" w:color="000000" w:sz="6" w:space="0"/>
                    <w:bottom w:val="single" w:color="000000" w:sz="6" w:space="0"/>
                  </w:tcBorders>
                  <w:noWrap w:val="0"/>
                  <w:vAlign w:val="center"/>
                </w:tcPr>
                <w:p w14:paraId="395BB683">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139******61</w:t>
                  </w:r>
                </w:p>
              </w:tc>
            </w:tr>
            <w:tr w14:paraId="266CB8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ECF4689">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A7A38F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胡俊杰</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4D8519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4A6B81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高级工程师（化学工艺）</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73B9DB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应急管理化学、环境工程、精细化工、化学工程与工艺</w:t>
                  </w:r>
                </w:p>
              </w:tc>
              <w:tc>
                <w:tcPr>
                  <w:tcW w:w="741" w:type="pct"/>
                  <w:tcBorders>
                    <w:top w:val="single" w:color="000000" w:sz="6" w:space="0"/>
                    <w:left w:val="single" w:color="000000" w:sz="6" w:space="0"/>
                    <w:bottom w:val="single" w:color="000000" w:sz="6" w:space="0"/>
                  </w:tcBorders>
                  <w:noWrap w:val="0"/>
                  <w:vAlign w:val="center"/>
                </w:tcPr>
                <w:p w14:paraId="0E29A673">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136******08</w:t>
                  </w:r>
                </w:p>
              </w:tc>
            </w:tr>
            <w:tr w14:paraId="7225B7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4FB65832">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633408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李金鑫</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C5D88D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江苏赛科化学有限公司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F0F826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09C0BD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19C5258D">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189******06</w:t>
                  </w:r>
                </w:p>
              </w:tc>
            </w:tr>
            <w:tr w14:paraId="0D608D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71600A5">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8</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14C9CFB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李征芳</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44F799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1BFB7E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教授级高工（环境工程）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0B02700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环境工程、应急管理、精细化工、环境风险评价</w:t>
                  </w:r>
                </w:p>
              </w:tc>
              <w:tc>
                <w:tcPr>
                  <w:tcW w:w="741" w:type="pct"/>
                  <w:tcBorders>
                    <w:top w:val="single" w:color="000000" w:sz="6" w:space="0"/>
                    <w:left w:val="single" w:color="000000" w:sz="6" w:space="0"/>
                    <w:bottom w:val="single" w:color="000000" w:sz="6" w:space="0"/>
                  </w:tcBorders>
                  <w:noWrap w:val="0"/>
                  <w:vAlign w:val="center"/>
                </w:tcPr>
                <w:p w14:paraId="6783E78E">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138******80</w:t>
                  </w:r>
                </w:p>
              </w:tc>
            </w:tr>
            <w:tr w14:paraId="3570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3D2F7900">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9</w:t>
                  </w:r>
                </w:p>
              </w:tc>
              <w:tc>
                <w:tcPr>
                  <w:tcW w:w="455" w:type="pct"/>
                  <w:tcBorders>
                    <w:top w:val="single" w:color="000000" w:sz="6" w:space="0"/>
                    <w:left w:val="single" w:color="000000" w:sz="6" w:space="0"/>
                    <w:right w:val="single" w:color="000000" w:sz="6" w:space="0"/>
                  </w:tcBorders>
                  <w:noWrap w:val="0"/>
                  <w:vAlign w:val="center"/>
                </w:tcPr>
                <w:p w14:paraId="5371984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凌盼盼</w:t>
                  </w:r>
                </w:p>
              </w:tc>
              <w:tc>
                <w:tcPr>
                  <w:tcW w:w="923" w:type="pct"/>
                  <w:tcBorders>
                    <w:top w:val="single" w:color="000000" w:sz="6" w:space="0"/>
                    <w:left w:val="single" w:color="000000" w:sz="6" w:space="0"/>
                    <w:right w:val="single" w:color="000000" w:sz="6" w:space="0"/>
                  </w:tcBorders>
                  <w:noWrap w:val="0"/>
                  <w:vAlign w:val="center"/>
                </w:tcPr>
                <w:p w14:paraId="54D5902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1175" w:type="pct"/>
                  <w:tcBorders>
                    <w:top w:val="single" w:color="000000" w:sz="6" w:space="0"/>
                    <w:left w:val="single" w:color="000000" w:sz="6" w:space="0"/>
                    <w:right w:val="single" w:color="000000" w:sz="6" w:space="0"/>
                  </w:tcBorders>
                  <w:noWrap w:val="0"/>
                  <w:vAlign w:val="center"/>
                </w:tcPr>
                <w:p w14:paraId="399A549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top w:val="single" w:color="000000" w:sz="6" w:space="0"/>
                    <w:left w:val="single" w:color="000000" w:sz="6" w:space="0"/>
                    <w:right w:val="single" w:color="000000" w:sz="6" w:space="0"/>
                  </w:tcBorders>
                  <w:noWrap w:val="0"/>
                  <w:vAlign w:val="center"/>
                </w:tcPr>
                <w:p w14:paraId="29A563F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w:t>
                  </w:r>
                </w:p>
              </w:tc>
              <w:tc>
                <w:tcPr>
                  <w:tcW w:w="741" w:type="pct"/>
                  <w:tcBorders>
                    <w:top w:val="single" w:color="000000" w:sz="6" w:space="0"/>
                    <w:left w:val="single" w:color="000000" w:sz="6" w:space="0"/>
                  </w:tcBorders>
                  <w:noWrap w:val="0"/>
                  <w:vAlign w:val="center"/>
                </w:tcPr>
                <w:p w14:paraId="4FAED0CD">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150******80</w:t>
                  </w:r>
                </w:p>
              </w:tc>
            </w:tr>
            <w:tr w14:paraId="6C887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442472C7">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10</w:t>
                  </w:r>
                </w:p>
              </w:tc>
              <w:tc>
                <w:tcPr>
                  <w:tcW w:w="455" w:type="pct"/>
                  <w:tcBorders>
                    <w:left w:val="single" w:color="000000" w:sz="6" w:space="0"/>
                    <w:bottom w:val="single" w:color="000000" w:sz="6" w:space="0"/>
                    <w:right w:val="single" w:color="000000" w:sz="6" w:space="0"/>
                  </w:tcBorders>
                  <w:noWrap w:val="0"/>
                  <w:vAlign w:val="center"/>
                </w:tcPr>
                <w:p w14:paraId="46A053F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路学军</w:t>
                  </w:r>
                </w:p>
              </w:tc>
              <w:tc>
                <w:tcPr>
                  <w:tcW w:w="923" w:type="pct"/>
                  <w:tcBorders>
                    <w:left w:val="single" w:color="000000" w:sz="6" w:space="0"/>
                    <w:bottom w:val="single" w:color="000000" w:sz="6" w:space="0"/>
                    <w:right w:val="single" w:color="000000" w:sz="6" w:space="0"/>
                  </w:tcBorders>
                  <w:noWrap w:val="0"/>
                  <w:vAlign w:val="center"/>
                </w:tcPr>
                <w:p w14:paraId="14A5BB0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江苏连云港环境监测中心</w:t>
                  </w:r>
                </w:p>
              </w:tc>
              <w:tc>
                <w:tcPr>
                  <w:tcW w:w="1175" w:type="pct"/>
                  <w:tcBorders>
                    <w:left w:val="single" w:color="000000" w:sz="6" w:space="0"/>
                    <w:bottom w:val="single" w:color="000000" w:sz="6" w:space="0"/>
                    <w:right w:val="single" w:color="000000" w:sz="6" w:space="0"/>
                  </w:tcBorders>
                  <w:noWrap w:val="0"/>
                  <w:vAlign w:val="center"/>
                </w:tcPr>
                <w:p w14:paraId="773CBDF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left w:val="single" w:color="000000" w:sz="6" w:space="0"/>
                    <w:bottom w:val="single" w:color="000000" w:sz="6" w:space="0"/>
                    <w:right w:val="single" w:color="000000" w:sz="6" w:space="0"/>
                  </w:tcBorders>
                  <w:noWrap w:val="0"/>
                  <w:vAlign w:val="center"/>
                </w:tcPr>
                <w:p w14:paraId="2784BF6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环境监测、应急管理化学、环境风险评价、精细化工、应急管理环境影响评价</w:t>
                  </w:r>
                </w:p>
              </w:tc>
              <w:tc>
                <w:tcPr>
                  <w:tcW w:w="741" w:type="pct"/>
                  <w:tcBorders>
                    <w:left w:val="single" w:color="000000" w:sz="6" w:space="0"/>
                    <w:bottom w:val="single" w:color="000000" w:sz="6" w:space="0"/>
                  </w:tcBorders>
                  <w:noWrap w:val="0"/>
                  <w:vAlign w:val="center"/>
                </w:tcPr>
                <w:p w14:paraId="5BE65DB7">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139******32</w:t>
                  </w:r>
                </w:p>
              </w:tc>
            </w:tr>
            <w:tr w14:paraId="1024A5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131F87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715DC1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乔忠莲</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308304A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中蓝连海设计研究院有限公司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17D1D4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高级工程师（环保工程）、注册安全工程师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066A4DA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应急管理化工、环境工程、精细化工</w:t>
                  </w:r>
                </w:p>
              </w:tc>
              <w:tc>
                <w:tcPr>
                  <w:tcW w:w="741" w:type="pct"/>
                  <w:tcBorders>
                    <w:top w:val="single" w:color="000000" w:sz="6" w:space="0"/>
                    <w:left w:val="single" w:color="000000" w:sz="6" w:space="0"/>
                    <w:bottom w:val="single" w:color="000000" w:sz="6" w:space="0"/>
                  </w:tcBorders>
                  <w:noWrap w:val="0"/>
                  <w:vAlign w:val="center"/>
                </w:tcPr>
                <w:p w14:paraId="46F6B2CB">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138******85</w:t>
                  </w:r>
                </w:p>
              </w:tc>
            </w:tr>
            <w:tr w14:paraId="770A2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8DF952C">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F6D982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宋斌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1F0FB62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正大天晴药业集团股份有限公司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0A38E90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高级工程师（石化工程）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42DE0AE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5237A921">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159******99</w:t>
                  </w:r>
                </w:p>
              </w:tc>
            </w:tr>
            <w:tr w14:paraId="4B9C3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5B9FCB6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169B450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孙万钊</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64EB11A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连云港蔚莱环境科技有限公司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5DCFE4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53BAF74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3D344607">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180******55</w:t>
                  </w:r>
                </w:p>
              </w:tc>
            </w:tr>
            <w:tr w14:paraId="5F99D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CC52E4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5A4D7FC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43DF7F4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苏州大学卫生与环境技术研究所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BC2456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5265CD3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环境监测、化学工程与工艺</w:t>
                  </w:r>
                </w:p>
              </w:tc>
              <w:tc>
                <w:tcPr>
                  <w:tcW w:w="741" w:type="pct"/>
                  <w:tcBorders>
                    <w:top w:val="single" w:color="000000" w:sz="6" w:space="0"/>
                    <w:left w:val="single" w:color="000000" w:sz="6" w:space="0"/>
                    <w:bottom w:val="single" w:color="000000" w:sz="6" w:space="0"/>
                  </w:tcBorders>
                  <w:noWrap w:val="0"/>
                  <w:vAlign w:val="center"/>
                </w:tcPr>
                <w:p w14:paraId="3664601A">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138******48</w:t>
                  </w:r>
                </w:p>
              </w:tc>
            </w:tr>
            <w:tr w14:paraId="34D2FE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BD9E00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A71B45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王童远</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CFD6FD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原连云港市环境保护咨询中心（退休）</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7915E9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50745B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4DD08ABB">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139******21</w:t>
                  </w:r>
                </w:p>
              </w:tc>
            </w:tr>
            <w:tr w14:paraId="0FAF83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3973F51">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CBA8B8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王兴强</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3E7C8A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5D715D8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CA20E5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环境科学、环境风险评价</w:t>
                  </w:r>
                </w:p>
              </w:tc>
              <w:tc>
                <w:tcPr>
                  <w:tcW w:w="741" w:type="pct"/>
                  <w:tcBorders>
                    <w:top w:val="single" w:color="000000" w:sz="6" w:space="0"/>
                    <w:left w:val="single" w:color="000000" w:sz="6" w:space="0"/>
                    <w:bottom w:val="single" w:color="000000" w:sz="6" w:space="0"/>
                  </w:tcBorders>
                  <w:noWrap w:val="0"/>
                  <w:vAlign w:val="center"/>
                </w:tcPr>
                <w:p w14:paraId="54D94C9D">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158******79</w:t>
                  </w:r>
                </w:p>
              </w:tc>
            </w:tr>
            <w:tr w14:paraId="51734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339F29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8AC388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王学松</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1138FD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江苏海洋大学</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7718AA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5B41080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环境监测、环境风险评价、应急管理环境影响评价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5E1FC679">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189******93</w:t>
                  </w:r>
                </w:p>
              </w:tc>
            </w:tr>
            <w:tr w14:paraId="5C53C0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15896AB8">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18</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4DAB0C7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魏启华</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02BD838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连云港埃森化学有限公司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43516FA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副教授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1EE420F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精细化工、化学工程与工艺</w:t>
                  </w:r>
                </w:p>
              </w:tc>
              <w:tc>
                <w:tcPr>
                  <w:tcW w:w="741" w:type="pct"/>
                  <w:tcBorders>
                    <w:top w:val="single" w:color="000000" w:sz="6" w:space="0"/>
                    <w:left w:val="single" w:color="000000" w:sz="6" w:space="0"/>
                    <w:bottom w:val="single" w:color="000000" w:sz="6" w:space="0"/>
                  </w:tcBorders>
                  <w:noWrap w:val="0"/>
                  <w:vAlign w:val="center"/>
                </w:tcPr>
                <w:p w14:paraId="522552C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188******09</w:t>
                  </w:r>
                </w:p>
              </w:tc>
            </w:tr>
            <w:tr w14:paraId="02AF7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2B8D8CA5">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19</w:t>
                  </w:r>
                </w:p>
              </w:tc>
              <w:tc>
                <w:tcPr>
                  <w:tcW w:w="455" w:type="pct"/>
                  <w:tcBorders>
                    <w:top w:val="single" w:color="000000" w:sz="6" w:space="0"/>
                    <w:left w:val="single" w:color="000000" w:sz="6" w:space="0"/>
                    <w:right w:val="single" w:color="000000" w:sz="6" w:space="0"/>
                  </w:tcBorders>
                  <w:noWrap w:val="0"/>
                  <w:vAlign w:val="center"/>
                </w:tcPr>
                <w:p w14:paraId="7D405F7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吴刚</w:t>
                  </w:r>
                </w:p>
              </w:tc>
              <w:tc>
                <w:tcPr>
                  <w:tcW w:w="923" w:type="pct"/>
                  <w:tcBorders>
                    <w:top w:val="single" w:color="000000" w:sz="6" w:space="0"/>
                    <w:left w:val="single" w:color="000000" w:sz="6" w:space="0"/>
                    <w:right w:val="single" w:color="000000" w:sz="6" w:space="0"/>
                  </w:tcBorders>
                  <w:noWrap w:val="0"/>
                  <w:vAlign w:val="center"/>
                </w:tcPr>
                <w:p w14:paraId="70BBD9F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连云港市环境科学学会</w:t>
                  </w:r>
                </w:p>
              </w:tc>
              <w:tc>
                <w:tcPr>
                  <w:tcW w:w="1175" w:type="pct"/>
                  <w:tcBorders>
                    <w:top w:val="single" w:color="000000" w:sz="6" w:space="0"/>
                    <w:left w:val="single" w:color="000000" w:sz="6" w:space="0"/>
                    <w:right w:val="single" w:color="000000" w:sz="6" w:space="0"/>
                  </w:tcBorders>
                  <w:noWrap w:val="0"/>
                  <w:vAlign w:val="center"/>
                </w:tcPr>
                <w:p w14:paraId="21B66F9E">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right w:val="single" w:color="000000" w:sz="6" w:space="0"/>
                  </w:tcBorders>
                  <w:noWrap w:val="0"/>
                  <w:vAlign w:val="center"/>
                </w:tcPr>
                <w:p w14:paraId="3B5C9EB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环境工程、环境科学、环境监测、环境风险评价</w:t>
                  </w:r>
                </w:p>
              </w:tc>
              <w:tc>
                <w:tcPr>
                  <w:tcW w:w="741" w:type="pct"/>
                  <w:tcBorders>
                    <w:top w:val="single" w:color="000000" w:sz="6" w:space="0"/>
                    <w:left w:val="single" w:color="000000" w:sz="6" w:space="0"/>
                  </w:tcBorders>
                  <w:noWrap w:val="0"/>
                  <w:vAlign w:val="center"/>
                </w:tcPr>
                <w:p w14:paraId="70F6B451">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137******70</w:t>
                  </w:r>
                </w:p>
              </w:tc>
            </w:tr>
            <w:tr w14:paraId="2F4847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bottom w:val="single" w:color="000000" w:sz="6" w:space="0"/>
                    <w:right w:val="single" w:color="000000" w:sz="6" w:space="0"/>
                  </w:tcBorders>
                  <w:noWrap w:val="0"/>
                  <w:vAlign w:val="center"/>
                </w:tcPr>
                <w:p w14:paraId="67F3CB1A">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20</w:t>
                  </w:r>
                </w:p>
              </w:tc>
              <w:tc>
                <w:tcPr>
                  <w:tcW w:w="455" w:type="pct"/>
                  <w:tcBorders>
                    <w:left w:val="single" w:color="000000" w:sz="6" w:space="0"/>
                    <w:bottom w:val="single" w:color="000000" w:sz="6" w:space="0"/>
                    <w:right w:val="single" w:color="000000" w:sz="6" w:space="0"/>
                  </w:tcBorders>
                  <w:noWrap w:val="0"/>
                  <w:vAlign w:val="center"/>
                </w:tcPr>
                <w:p w14:paraId="75BE1680">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吴建军</w:t>
                  </w:r>
                </w:p>
              </w:tc>
              <w:tc>
                <w:tcPr>
                  <w:tcW w:w="923" w:type="pct"/>
                  <w:tcBorders>
                    <w:left w:val="single" w:color="000000" w:sz="6" w:space="0"/>
                    <w:bottom w:val="single" w:color="000000" w:sz="6" w:space="0"/>
                    <w:right w:val="single" w:color="000000" w:sz="6" w:space="0"/>
                  </w:tcBorders>
                  <w:noWrap w:val="0"/>
                  <w:vAlign w:val="center"/>
                </w:tcPr>
                <w:p w14:paraId="37A950C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南京中咨华环工程技术有限责任公司</w:t>
                  </w:r>
                </w:p>
              </w:tc>
              <w:tc>
                <w:tcPr>
                  <w:tcW w:w="1175" w:type="pct"/>
                  <w:tcBorders>
                    <w:left w:val="single" w:color="000000" w:sz="6" w:space="0"/>
                    <w:bottom w:val="single" w:color="000000" w:sz="6" w:space="0"/>
                    <w:right w:val="single" w:color="000000" w:sz="6" w:space="0"/>
                  </w:tcBorders>
                  <w:noWrap w:val="0"/>
                  <w:vAlign w:val="center"/>
                </w:tcPr>
                <w:p w14:paraId="5EA8A72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高级工程师(环境管理）</w:t>
                  </w:r>
                </w:p>
              </w:tc>
              <w:tc>
                <w:tcPr>
                  <w:tcW w:w="1509" w:type="pct"/>
                  <w:tcBorders>
                    <w:left w:val="single" w:color="000000" w:sz="6" w:space="0"/>
                    <w:bottom w:val="single" w:color="000000" w:sz="6" w:space="0"/>
                    <w:right w:val="single" w:color="000000" w:sz="6" w:space="0"/>
                  </w:tcBorders>
                  <w:noWrap w:val="0"/>
                  <w:vAlign w:val="center"/>
                </w:tcPr>
                <w:p w14:paraId="4A12B91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left w:val="single" w:color="000000" w:sz="6" w:space="0"/>
                    <w:bottom w:val="single" w:color="000000" w:sz="6" w:space="0"/>
                  </w:tcBorders>
                  <w:noWrap w:val="0"/>
                  <w:vAlign w:val="center"/>
                </w:tcPr>
                <w:p w14:paraId="6C432975">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177******14</w:t>
                  </w:r>
                </w:p>
              </w:tc>
            </w:tr>
            <w:tr w14:paraId="72045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20971BF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21</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F91F68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夏季春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3F335C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江苏方洋水务有限公司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DC9B4C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正高级工程师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0F12CFC4">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0300A731">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188******68</w:t>
                  </w:r>
                </w:p>
              </w:tc>
            </w:tr>
            <w:tr w14:paraId="27D80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046DB617">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22</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3A3C17D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杨斌</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572D9E5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连云港灌南生态环境局（退休）</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E6A89F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7535B5C9">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环境工程、环境监测、应急管理环境影响评价、精细化工</w:t>
                  </w:r>
                </w:p>
              </w:tc>
              <w:tc>
                <w:tcPr>
                  <w:tcW w:w="741" w:type="pct"/>
                  <w:tcBorders>
                    <w:top w:val="single" w:color="000000" w:sz="6" w:space="0"/>
                    <w:left w:val="single" w:color="000000" w:sz="6" w:space="0"/>
                    <w:bottom w:val="single" w:color="000000" w:sz="6" w:space="0"/>
                  </w:tcBorders>
                  <w:noWrap w:val="0"/>
                  <w:vAlign w:val="center"/>
                </w:tcPr>
                <w:p w14:paraId="02F9107C">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198******88</w:t>
                  </w:r>
                </w:p>
              </w:tc>
            </w:tr>
            <w:tr w14:paraId="084563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7675D303">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23</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7649229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张彬彬</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B7CCB17">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丰益高分子材料（连云港）有限公司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1ECA80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2C2A761B">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w:t>
                  </w:r>
                </w:p>
              </w:tc>
              <w:tc>
                <w:tcPr>
                  <w:tcW w:w="741" w:type="pct"/>
                  <w:tcBorders>
                    <w:top w:val="single" w:color="000000" w:sz="6" w:space="0"/>
                    <w:left w:val="single" w:color="000000" w:sz="6" w:space="0"/>
                    <w:bottom w:val="single" w:color="000000" w:sz="6" w:space="0"/>
                  </w:tcBorders>
                  <w:noWrap w:val="0"/>
                  <w:vAlign w:val="center"/>
                </w:tcPr>
                <w:p w14:paraId="707B706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180******66</w:t>
                  </w:r>
                </w:p>
              </w:tc>
            </w:tr>
            <w:tr w14:paraId="784080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35048424">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24</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D71AA31">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赵祥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6E2B27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江苏智盛环境科技有限公司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7A5E9A9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高级工程师（环保工程）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11AFBAF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环境工程、环境科学、环境风险评价、应急管理环境影响评价</w:t>
                  </w:r>
                </w:p>
              </w:tc>
              <w:tc>
                <w:tcPr>
                  <w:tcW w:w="741" w:type="pct"/>
                  <w:tcBorders>
                    <w:top w:val="single" w:color="000000" w:sz="6" w:space="0"/>
                    <w:left w:val="single" w:color="000000" w:sz="6" w:space="0"/>
                    <w:bottom w:val="single" w:color="000000" w:sz="6" w:space="0"/>
                  </w:tcBorders>
                  <w:noWrap w:val="0"/>
                  <w:vAlign w:val="center"/>
                </w:tcPr>
                <w:p w14:paraId="6F14AD16">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189******78</w:t>
                  </w:r>
                </w:p>
              </w:tc>
            </w:tr>
            <w:tr w14:paraId="485A1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7AED90C4">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25</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65B584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赵进步</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F16131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连云区环保局</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24E078B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律师、高级经济师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1EA6438D">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环境法学、环境风险评价</w:t>
                  </w:r>
                </w:p>
              </w:tc>
              <w:tc>
                <w:tcPr>
                  <w:tcW w:w="741" w:type="pct"/>
                  <w:tcBorders>
                    <w:top w:val="single" w:color="000000" w:sz="6" w:space="0"/>
                    <w:left w:val="single" w:color="000000" w:sz="6" w:space="0"/>
                    <w:bottom w:val="single" w:color="000000" w:sz="6" w:space="0"/>
                  </w:tcBorders>
                  <w:noWrap w:val="0"/>
                  <w:vAlign w:val="center"/>
                </w:tcPr>
                <w:p w14:paraId="75C205B7">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189******26</w:t>
                  </w:r>
                </w:p>
              </w:tc>
            </w:tr>
            <w:tr w14:paraId="7D0C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0B8FD547">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26</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69B88C9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董自胜</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74938F9A">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连云港供电公司</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64D71F06">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高级工程师（电力工程）</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39CBCD2F">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电磁辐射</w:t>
                  </w:r>
                </w:p>
              </w:tc>
              <w:tc>
                <w:tcPr>
                  <w:tcW w:w="741" w:type="pct"/>
                  <w:tcBorders>
                    <w:top w:val="single" w:color="000000" w:sz="6" w:space="0"/>
                    <w:left w:val="single" w:color="000000" w:sz="6" w:space="0"/>
                    <w:bottom w:val="single" w:color="000000" w:sz="6" w:space="0"/>
                  </w:tcBorders>
                  <w:noWrap w:val="0"/>
                  <w:vAlign w:val="center"/>
                </w:tcPr>
                <w:p w14:paraId="345ED273">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183******19</w:t>
                  </w:r>
                </w:p>
              </w:tc>
            </w:tr>
            <w:tr w14:paraId="4C855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bottom w:val="single" w:color="000000" w:sz="6" w:space="0"/>
                    <w:right w:val="single" w:color="000000" w:sz="6" w:space="0"/>
                  </w:tcBorders>
                  <w:noWrap w:val="0"/>
                  <w:vAlign w:val="center"/>
                </w:tcPr>
                <w:p w14:paraId="099425CF">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27</w:t>
                  </w:r>
                </w:p>
              </w:tc>
              <w:tc>
                <w:tcPr>
                  <w:tcW w:w="455" w:type="pct"/>
                  <w:tcBorders>
                    <w:top w:val="single" w:color="000000" w:sz="6" w:space="0"/>
                    <w:left w:val="single" w:color="000000" w:sz="6" w:space="0"/>
                    <w:bottom w:val="single" w:color="000000" w:sz="6" w:space="0"/>
                    <w:right w:val="single" w:color="000000" w:sz="6" w:space="0"/>
                  </w:tcBorders>
                  <w:noWrap w:val="0"/>
                  <w:vAlign w:val="center"/>
                </w:tcPr>
                <w:p w14:paraId="0B970065">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李强</w:t>
                  </w:r>
                </w:p>
              </w:tc>
              <w:tc>
                <w:tcPr>
                  <w:tcW w:w="923" w:type="pct"/>
                  <w:tcBorders>
                    <w:top w:val="single" w:color="000000" w:sz="6" w:space="0"/>
                    <w:left w:val="single" w:color="000000" w:sz="6" w:space="0"/>
                    <w:bottom w:val="single" w:color="000000" w:sz="6" w:space="0"/>
                    <w:right w:val="single" w:color="000000" w:sz="6" w:space="0"/>
                  </w:tcBorders>
                  <w:noWrap w:val="0"/>
                  <w:vAlign w:val="center"/>
                </w:tcPr>
                <w:p w14:paraId="266FB6C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连云港辐射环境管理站</w:t>
                  </w:r>
                </w:p>
              </w:tc>
              <w:tc>
                <w:tcPr>
                  <w:tcW w:w="1175" w:type="pct"/>
                  <w:tcBorders>
                    <w:top w:val="single" w:color="000000" w:sz="6" w:space="0"/>
                    <w:left w:val="single" w:color="000000" w:sz="6" w:space="0"/>
                    <w:bottom w:val="single" w:color="000000" w:sz="6" w:space="0"/>
                    <w:right w:val="single" w:color="000000" w:sz="6" w:space="0"/>
                  </w:tcBorders>
                  <w:noWrap w:val="0"/>
                  <w:vAlign w:val="center"/>
                </w:tcPr>
                <w:p w14:paraId="181AB358">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bottom w:val="single" w:color="000000" w:sz="6" w:space="0"/>
                    <w:right w:val="single" w:color="000000" w:sz="6" w:space="0"/>
                  </w:tcBorders>
                  <w:noWrap w:val="0"/>
                  <w:vAlign w:val="center"/>
                </w:tcPr>
                <w:p w14:paraId="4E720AC2">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辐射</w:t>
                  </w:r>
                </w:p>
              </w:tc>
              <w:tc>
                <w:tcPr>
                  <w:tcW w:w="741" w:type="pct"/>
                  <w:tcBorders>
                    <w:top w:val="single" w:color="000000" w:sz="6" w:space="0"/>
                    <w:left w:val="single" w:color="000000" w:sz="6" w:space="0"/>
                    <w:bottom w:val="single" w:color="000000" w:sz="6" w:space="0"/>
                  </w:tcBorders>
                  <w:noWrap w:val="0"/>
                  <w:vAlign w:val="center"/>
                </w:tcPr>
                <w:p w14:paraId="3A5B348F">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189******75</w:t>
                  </w:r>
                </w:p>
              </w:tc>
            </w:tr>
            <w:tr w14:paraId="593A6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trPr>
              <w:tc>
                <w:tcPr>
                  <w:tcW w:w="194" w:type="pct"/>
                  <w:tcBorders>
                    <w:top w:val="single" w:color="000000" w:sz="6" w:space="0"/>
                    <w:right w:val="single" w:color="000000" w:sz="6" w:space="0"/>
                  </w:tcBorders>
                  <w:noWrap w:val="0"/>
                  <w:vAlign w:val="center"/>
                </w:tcPr>
                <w:p w14:paraId="377E2D7C">
                  <w:pPr>
                    <w:pStyle w:val="50"/>
                    <w:snapToGrid w:val="0"/>
                    <w:spacing w:line="240" w:lineRule="auto"/>
                    <w:ind w:firstLine="0" w:firstLineChars="0"/>
                    <w:jc w:val="center"/>
                    <w:rPr>
                      <w:rFonts w:hint="default" w:ascii="Times New Roman" w:hAnsi="Times New Roman" w:eastAsia="宋体" w:cs="Times New Roman"/>
                      <w:snapToGrid w:val="0"/>
                      <w:sz w:val="21"/>
                      <w:szCs w:val="21"/>
                      <w:lang w:val="en-US" w:eastAsia="zh-CN"/>
                    </w:rPr>
                  </w:pPr>
                  <w:r>
                    <w:rPr>
                      <w:rFonts w:hint="default" w:ascii="Times New Roman" w:hAnsi="Times New Roman" w:eastAsia="宋体" w:cs="Times New Roman"/>
                      <w:snapToGrid w:val="0"/>
                      <w:sz w:val="21"/>
                      <w:szCs w:val="21"/>
                    </w:rPr>
                    <w:t>28</w:t>
                  </w:r>
                </w:p>
              </w:tc>
              <w:tc>
                <w:tcPr>
                  <w:tcW w:w="455" w:type="pct"/>
                  <w:tcBorders>
                    <w:top w:val="single" w:color="000000" w:sz="6" w:space="0"/>
                    <w:left w:val="single" w:color="000000" w:sz="6" w:space="0"/>
                    <w:right w:val="single" w:color="000000" w:sz="6" w:space="0"/>
                  </w:tcBorders>
                  <w:noWrap w:val="0"/>
                  <w:vAlign w:val="center"/>
                </w:tcPr>
                <w:p w14:paraId="02624D4C">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陈辛</w:t>
                  </w:r>
                </w:p>
              </w:tc>
              <w:tc>
                <w:tcPr>
                  <w:tcW w:w="923" w:type="pct"/>
                  <w:tcBorders>
                    <w:top w:val="single" w:color="000000" w:sz="6" w:space="0"/>
                    <w:left w:val="single" w:color="000000" w:sz="6" w:space="0"/>
                    <w:right w:val="single" w:color="000000" w:sz="6" w:space="0"/>
                  </w:tcBorders>
                  <w:noWrap w:val="0"/>
                  <w:vAlign w:val="center"/>
                </w:tcPr>
                <w:p w14:paraId="403EA20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连云港辐射环境管理站</w:t>
                  </w:r>
                </w:p>
              </w:tc>
              <w:tc>
                <w:tcPr>
                  <w:tcW w:w="1175" w:type="pct"/>
                  <w:tcBorders>
                    <w:top w:val="single" w:color="000000" w:sz="6" w:space="0"/>
                    <w:left w:val="single" w:color="000000" w:sz="6" w:space="0"/>
                    <w:right w:val="single" w:color="000000" w:sz="6" w:space="0"/>
                  </w:tcBorders>
                  <w:noWrap w:val="0"/>
                  <w:vAlign w:val="center"/>
                </w:tcPr>
                <w:p w14:paraId="6D7AF7C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高级工程师</w:t>
                  </w:r>
                </w:p>
              </w:tc>
              <w:tc>
                <w:tcPr>
                  <w:tcW w:w="1509" w:type="pct"/>
                  <w:tcBorders>
                    <w:top w:val="single" w:color="000000" w:sz="6" w:space="0"/>
                    <w:left w:val="single" w:color="000000" w:sz="6" w:space="0"/>
                    <w:right w:val="single" w:color="000000" w:sz="6" w:space="0"/>
                  </w:tcBorders>
                  <w:noWrap w:val="0"/>
                  <w:vAlign w:val="center"/>
                </w:tcPr>
                <w:p w14:paraId="0CAB3133">
                  <w:pPr>
                    <w:pStyle w:val="50"/>
                    <w:snapToGrid w:val="0"/>
                    <w:spacing w:line="240" w:lineRule="auto"/>
                    <w:ind w:firstLine="0" w:firstLineChars="0"/>
                    <w:jc w:val="center"/>
                    <w:rPr>
                      <w:rFonts w:hint="default" w:ascii="Times New Roman" w:hAnsi="Times New Roman" w:eastAsia="宋体" w:cs="Times New Roman"/>
                      <w:snapToGrid w:val="0"/>
                      <w:sz w:val="21"/>
                      <w:szCs w:val="21"/>
                    </w:rPr>
                  </w:pPr>
                  <w:r>
                    <w:rPr>
                      <w:rFonts w:hint="default" w:ascii="Times New Roman" w:hAnsi="Times New Roman" w:eastAsia="宋体" w:cs="Times New Roman"/>
                      <w:snapToGrid w:val="0"/>
                      <w:sz w:val="21"/>
                      <w:szCs w:val="21"/>
                    </w:rPr>
                    <w:t>辐射</w:t>
                  </w:r>
                </w:p>
              </w:tc>
              <w:tc>
                <w:tcPr>
                  <w:tcW w:w="741" w:type="pct"/>
                  <w:tcBorders>
                    <w:top w:val="single" w:color="000000" w:sz="6" w:space="0"/>
                    <w:left w:val="single" w:color="000000" w:sz="6" w:space="0"/>
                  </w:tcBorders>
                  <w:noWrap w:val="0"/>
                  <w:vAlign w:val="center"/>
                </w:tcPr>
                <w:p w14:paraId="18D87CA8">
                  <w:pPr>
                    <w:pStyle w:val="50"/>
                    <w:snapToGrid w:val="0"/>
                    <w:spacing w:line="240" w:lineRule="auto"/>
                    <w:ind w:firstLine="0" w:firstLineChars="0"/>
                    <w:jc w:val="center"/>
                    <w:rPr>
                      <w:rFonts w:hint="eastAsia" w:ascii="Times New Roman" w:hAnsi="Times New Roman" w:eastAsia="宋体" w:cs="Times New Roman"/>
                      <w:snapToGrid w:val="0"/>
                      <w:sz w:val="21"/>
                      <w:szCs w:val="21"/>
                      <w:lang w:eastAsia="zh-CN"/>
                    </w:rPr>
                  </w:pPr>
                  <w:r>
                    <w:rPr>
                      <w:rFonts w:hint="eastAsia" w:cs="Times New Roman"/>
                      <w:snapToGrid w:val="0"/>
                      <w:sz w:val="21"/>
                      <w:szCs w:val="21"/>
                      <w:lang w:eastAsia="zh-CN"/>
                    </w:rPr>
                    <w:t>189******95</w:t>
                  </w:r>
                </w:p>
              </w:tc>
            </w:tr>
          </w:tbl>
          <w:p w14:paraId="2238CE47">
            <w:pPr>
              <w:overflowPunct w:val="0"/>
              <w:snapToGrid/>
              <w:spacing w:line="560" w:lineRule="exact"/>
              <w:ind w:firstLine="626" w:firstLineChars="198"/>
              <w:outlineLvl w:val="0"/>
              <w:rPr>
                <w:rFonts w:hint="default" w:ascii="Times New Roman" w:hAnsi="Times New Roman" w:eastAsia="宋体" w:cs="Times New Roman"/>
                <w:b/>
                <w:bCs/>
                <w:sz w:val="32"/>
                <w:szCs w:val="32"/>
              </w:rPr>
            </w:pPr>
            <w:r>
              <w:rPr>
                <w:rFonts w:hint="default" w:ascii="Times New Roman" w:hAnsi="Times New Roman" w:eastAsia="宋体" w:cs="Times New Roman"/>
                <w:b/>
                <w:bCs/>
                <w:sz w:val="32"/>
                <w:szCs w:val="32"/>
              </w:rPr>
              <w:t>F3</w:t>
            </w:r>
            <w:r>
              <w:rPr>
                <w:rFonts w:hint="default" w:ascii="Times New Roman" w:hAnsi="Times New Roman" w:eastAsia="宋体" w:cs="Times New Roman"/>
                <w:b/>
                <w:bCs/>
                <w:sz w:val="32"/>
                <w:szCs w:val="32"/>
                <w:lang w:val="en-US" w:eastAsia="zh-CN"/>
              </w:rPr>
              <w:t xml:space="preserve">  </w:t>
            </w:r>
            <w:r>
              <w:rPr>
                <w:rFonts w:hint="default" w:ascii="Times New Roman" w:hAnsi="Times New Roman" w:eastAsia="宋体" w:cs="Times New Roman"/>
                <w:b/>
                <w:bCs/>
                <w:sz w:val="32"/>
                <w:szCs w:val="32"/>
              </w:rPr>
              <w:t>连云区突发环境事件信息报送表</w:t>
            </w:r>
          </w:p>
          <w:p w14:paraId="78CB1561">
            <w:pPr>
              <w:widowControl/>
              <w:ind w:firstLine="550"/>
              <w:jc w:val="left"/>
              <w:rPr>
                <w:rFonts w:hint="default" w:ascii="Times New Roman" w:hAnsi="Times New Roman" w:eastAsia="宋体" w:cs="Times New Roman"/>
                <w:b/>
                <w:bCs/>
                <w:sz w:val="32"/>
                <w:szCs w:val="32"/>
              </w:rPr>
            </w:pP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
              <w:gridCol w:w="165"/>
              <w:gridCol w:w="218"/>
              <w:gridCol w:w="148"/>
              <w:gridCol w:w="84"/>
              <w:gridCol w:w="153"/>
              <w:gridCol w:w="321"/>
            </w:tblGrid>
            <w:tr w14:paraId="5922A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0CC8CA2A">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报告分类</w:t>
                  </w:r>
                </w:p>
              </w:tc>
              <w:tc>
                <w:tcPr>
                  <w:tcW w:w="1992" w:type="pct"/>
                  <w:gridSpan w:val="3"/>
                  <w:noWrap w:val="0"/>
                  <w:vAlign w:val="center"/>
                </w:tcPr>
                <w:p w14:paraId="22EAF2F4">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□初报□续报□处理报告</w:t>
                  </w:r>
                </w:p>
              </w:tc>
              <w:tc>
                <w:tcPr>
                  <w:tcW w:w="891" w:type="pct"/>
                  <w:gridSpan w:val="2"/>
                  <w:noWrap w:val="0"/>
                  <w:vAlign w:val="center"/>
                </w:tcPr>
                <w:p w14:paraId="1719950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报告时间</w:t>
                  </w:r>
                </w:p>
              </w:tc>
              <w:tc>
                <w:tcPr>
                  <w:tcW w:w="1204" w:type="pct"/>
                  <w:noWrap w:val="0"/>
                  <w:vAlign w:val="center"/>
                </w:tcPr>
                <w:p w14:paraId="621B0D5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5EF0F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58DFBC6A">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事件分级</w:t>
                  </w:r>
                </w:p>
              </w:tc>
              <w:tc>
                <w:tcPr>
                  <w:tcW w:w="4088" w:type="pct"/>
                  <w:gridSpan w:val="6"/>
                  <w:noWrap w:val="0"/>
                  <w:vAlign w:val="center"/>
                </w:tcPr>
                <w:p w14:paraId="2A236FC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□特别重大□重大□较大□一般</w:t>
                  </w:r>
                </w:p>
              </w:tc>
            </w:tr>
            <w:tr w14:paraId="2A7D5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0D6D6E03">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事件起因</w:t>
                  </w:r>
                </w:p>
              </w:tc>
              <w:tc>
                <w:tcPr>
                  <w:tcW w:w="4088" w:type="pct"/>
                  <w:gridSpan w:val="6"/>
                  <w:noWrap w:val="0"/>
                  <w:vAlign w:val="center"/>
                </w:tcPr>
                <w:p w14:paraId="22873CFB">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□违法排污□安全事故□交通事故□自然灾害□其他</w:t>
                  </w:r>
                </w:p>
              </w:tc>
            </w:tr>
            <w:tr w14:paraId="35E8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6885955F">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事件类型</w:t>
                  </w:r>
                </w:p>
              </w:tc>
              <w:tc>
                <w:tcPr>
                  <w:tcW w:w="4088" w:type="pct"/>
                  <w:gridSpan w:val="6"/>
                  <w:noWrap w:val="0"/>
                  <w:vAlign w:val="center"/>
                </w:tcPr>
                <w:p w14:paraId="395DE12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□水污染□大气污染□海洋污染□固废污染</w:t>
                  </w:r>
                </w:p>
                <w:p w14:paraId="07B46E31">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□生态破坏□噪声和震动□其他</w:t>
                  </w:r>
                </w:p>
              </w:tc>
            </w:tr>
            <w:tr w14:paraId="6DD52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39166E25">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人员伤亡</w:t>
                  </w:r>
                </w:p>
              </w:tc>
              <w:tc>
                <w:tcPr>
                  <w:tcW w:w="1436" w:type="pct"/>
                  <w:gridSpan w:val="2"/>
                  <w:noWrap w:val="0"/>
                  <w:vAlign w:val="center"/>
                </w:tcPr>
                <w:p w14:paraId="4FE7A77B">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c>
                <w:tcPr>
                  <w:tcW w:w="872" w:type="pct"/>
                  <w:gridSpan w:val="2"/>
                  <w:noWrap w:val="0"/>
                  <w:vAlign w:val="center"/>
                </w:tcPr>
                <w:p w14:paraId="61C15761">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财产损失</w:t>
                  </w:r>
                </w:p>
              </w:tc>
              <w:tc>
                <w:tcPr>
                  <w:tcW w:w="1780" w:type="pct"/>
                  <w:gridSpan w:val="2"/>
                  <w:noWrap w:val="0"/>
                  <w:vAlign w:val="center"/>
                </w:tcPr>
                <w:p w14:paraId="73510A82">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71BF5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01131B0F">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接警时间</w:t>
                  </w:r>
                </w:p>
              </w:tc>
              <w:tc>
                <w:tcPr>
                  <w:tcW w:w="1436" w:type="pct"/>
                  <w:gridSpan w:val="2"/>
                  <w:noWrap w:val="0"/>
                  <w:vAlign w:val="center"/>
                </w:tcPr>
                <w:p w14:paraId="5D158822">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c>
                <w:tcPr>
                  <w:tcW w:w="872" w:type="pct"/>
                  <w:gridSpan w:val="2"/>
                  <w:noWrap w:val="0"/>
                  <w:vAlign w:val="center"/>
                </w:tcPr>
                <w:p w14:paraId="6C85960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信息来源</w:t>
                  </w:r>
                </w:p>
              </w:tc>
              <w:tc>
                <w:tcPr>
                  <w:tcW w:w="1780" w:type="pct"/>
                  <w:gridSpan w:val="2"/>
                  <w:noWrap w:val="0"/>
                  <w:vAlign w:val="center"/>
                </w:tcPr>
                <w:p w14:paraId="2A3121A6">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0D59F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2A79506F">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出警时间</w:t>
                  </w:r>
                </w:p>
              </w:tc>
              <w:tc>
                <w:tcPr>
                  <w:tcW w:w="1436" w:type="pct"/>
                  <w:gridSpan w:val="2"/>
                  <w:noWrap w:val="0"/>
                  <w:vAlign w:val="center"/>
                </w:tcPr>
                <w:p w14:paraId="1C48C363">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c>
                <w:tcPr>
                  <w:tcW w:w="872" w:type="pct"/>
                  <w:gridSpan w:val="2"/>
                  <w:noWrap w:val="0"/>
                  <w:vAlign w:val="center"/>
                </w:tcPr>
                <w:p w14:paraId="15D19C33">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到场时间</w:t>
                  </w:r>
                </w:p>
              </w:tc>
              <w:tc>
                <w:tcPr>
                  <w:tcW w:w="1780" w:type="pct"/>
                  <w:gridSpan w:val="2"/>
                  <w:noWrap w:val="0"/>
                  <w:vAlign w:val="center"/>
                </w:tcPr>
                <w:p w14:paraId="75BF341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5E09C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1" w:type="pct"/>
                  <w:noWrap w:val="0"/>
                  <w:vAlign w:val="center"/>
                </w:tcPr>
                <w:p w14:paraId="7B3D89ED">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事发时间</w:t>
                  </w:r>
                </w:p>
              </w:tc>
              <w:tc>
                <w:tcPr>
                  <w:tcW w:w="619" w:type="pct"/>
                  <w:noWrap w:val="0"/>
                  <w:vAlign w:val="center"/>
                </w:tcPr>
                <w:p w14:paraId="1F564ED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c>
                <w:tcPr>
                  <w:tcW w:w="816" w:type="pct"/>
                  <w:noWrap w:val="0"/>
                  <w:vAlign w:val="center"/>
                </w:tcPr>
                <w:p w14:paraId="6AFEEEE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事发地点</w:t>
                  </w:r>
                </w:p>
              </w:tc>
              <w:tc>
                <w:tcPr>
                  <w:tcW w:w="2652" w:type="pct"/>
                  <w:gridSpan w:val="4"/>
                  <w:noWrap w:val="0"/>
                  <w:vAlign w:val="center"/>
                </w:tcPr>
                <w:p w14:paraId="0947A5AC">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3188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7086D331">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事件调查基本情况：</w:t>
                  </w:r>
                </w:p>
                <w:p w14:paraId="3E0BF49E">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（事发原因、主要污染物和数量、环境影响现状等）</w:t>
                  </w:r>
                </w:p>
                <w:p w14:paraId="44EC1D80">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p w14:paraId="15AD434B">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6004B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51EB527D">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应急监测：</w:t>
                  </w:r>
                </w:p>
                <w:p w14:paraId="30C4F8E2">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（采样点分布情况、监测数据、影响分析范围、附图显示）</w:t>
                  </w:r>
                </w:p>
                <w:p w14:paraId="66022A39">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p w14:paraId="3C38A17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340E3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0226E56F">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周边敏感点分布情况：</w:t>
                  </w:r>
                </w:p>
                <w:p w14:paraId="71FE279B">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（周边是否有饮用水源、自然保护区、医院、学校、居民聚集区等敏感目标，附图显示）</w:t>
                  </w:r>
                </w:p>
                <w:p w14:paraId="165BEA6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p w14:paraId="51F86886">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51329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7C3661F4">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现场采取应急处置措施：</w:t>
                  </w:r>
                </w:p>
                <w:p w14:paraId="2C6A4F03">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p w14:paraId="5A664561">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r w14:paraId="3912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00" w:type="pct"/>
                  <w:gridSpan w:val="7"/>
                  <w:noWrap w:val="0"/>
                  <w:vAlign w:val="center"/>
                </w:tcPr>
                <w:p w14:paraId="075B6483">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r>
                    <w:rPr>
                      <w:rFonts w:hint="default" w:ascii="Times New Roman" w:hAnsi="Times New Roman" w:eastAsia="宋体" w:cs="Times New Roman"/>
                      <w:bCs/>
                      <w:color w:val="333333"/>
                      <w:sz w:val="32"/>
                      <w:szCs w:val="32"/>
                      <w:lang w:bidi="ar"/>
                    </w:rPr>
                    <w:t>处理结果（包括突发环境事件潜在或者间接危害以及损失、社会影响、处理后的遗留问题、责任追究等详细）：</w:t>
                  </w:r>
                </w:p>
                <w:p w14:paraId="3FEA14F8">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p w14:paraId="1763C2B7">
                  <w:pPr>
                    <w:widowControl/>
                    <w:spacing w:line="360" w:lineRule="exact"/>
                    <w:ind w:left="0" w:leftChars="0" w:firstLine="0" w:firstLineChars="0"/>
                    <w:jc w:val="both"/>
                    <w:rPr>
                      <w:rFonts w:hint="default" w:ascii="Times New Roman" w:hAnsi="Times New Roman" w:eastAsia="宋体" w:cs="Times New Roman"/>
                      <w:bCs/>
                      <w:color w:val="333333"/>
                      <w:sz w:val="32"/>
                      <w:szCs w:val="32"/>
                      <w:lang w:bidi="ar"/>
                    </w:rPr>
                  </w:pPr>
                </w:p>
              </w:tc>
            </w:tr>
          </w:tbl>
          <w:p w14:paraId="0A1F5E13">
            <w:pPr>
              <w:widowControl/>
              <w:ind w:firstLine="550"/>
              <w:jc w:val="left"/>
              <w:rPr>
                <w:rFonts w:hint="default" w:ascii="Times New Roman" w:hAnsi="Times New Roman" w:eastAsia="宋体" w:cs="Times New Roman"/>
                <w:sz w:val="32"/>
                <w:szCs w:val="32"/>
                <w:lang w:eastAsia="zh-CN"/>
              </w:rPr>
            </w:pPr>
            <w:r>
              <w:rPr>
                <w:rFonts w:hint="default" w:ascii="Times New Roman" w:hAnsi="Times New Roman" w:eastAsia="宋体" w:cs="Times New Roman"/>
                <w:color w:val="000000"/>
                <w:sz w:val="32"/>
                <w:szCs w:val="32"/>
                <w:lang w:bidi="ar"/>
              </w:rPr>
              <w:t>报告单位</w:t>
            </w:r>
            <w:r>
              <w:rPr>
                <w:rFonts w:hint="default" w:ascii="Times New Roman" w:hAnsi="Times New Roman" w:eastAsia="宋体" w:cs="Times New Roman"/>
                <w:color w:val="000000"/>
                <w:sz w:val="32"/>
                <w:szCs w:val="32"/>
                <w:lang w:eastAsia="zh-CN" w:bidi="ar"/>
              </w:rPr>
              <w:t>：</w:t>
            </w:r>
            <w:r>
              <w:rPr>
                <w:rFonts w:hint="default" w:ascii="Times New Roman" w:hAnsi="Times New Roman" w:eastAsia="宋体" w:cs="Times New Roman"/>
                <w:color w:val="000000"/>
                <w:sz w:val="32"/>
                <w:szCs w:val="32"/>
                <w:lang w:val="en-US" w:eastAsia="zh-CN" w:bidi="ar"/>
              </w:rPr>
              <w:t xml:space="preserve">            </w:t>
            </w:r>
            <w:r>
              <w:rPr>
                <w:rFonts w:hint="default" w:ascii="Times New Roman" w:hAnsi="Times New Roman" w:eastAsia="宋体" w:cs="Times New Roman"/>
                <w:color w:val="000000"/>
                <w:sz w:val="32"/>
                <w:szCs w:val="32"/>
                <w:lang w:bidi="ar"/>
              </w:rPr>
              <w:t>审核人</w:t>
            </w:r>
            <w:r>
              <w:rPr>
                <w:rFonts w:hint="default" w:ascii="Times New Roman" w:hAnsi="Times New Roman" w:eastAsia="宋体" w:cs="Times New Roman"/>
                <w:color w:val="000000"/>
                <w:sz w:val="32"/>
                <w:szCs w:val="32"/>
                <w:lang w:eastAsia="zh-CN" w:bidi="ar"/>
              </w:rPr>
              <w:t>：</w:t>
            </w:r>
            <w:r>
              <w:rPr>
                <w:rFonts w:hint="default" w:ascii="Times New Roman" w:hAnsi="Times New Roman" w:eastAsia="宋体" w:cs="Times New Roman"/>
                <w:color w:val="000000"/>
                <w:sz w:val="32"/>
                <w:szCs w:val="32"/>
                <w:lang w:val="en-US" w:eastAsia="zh-CN" w:bidi="ar"/>
              </w:rPr>
              <w:t xml:space="preserve">      </w:t>
            </w:r>
            <w:r>
              <w:rPr>
                <w:rFonts w:hint="default" w:ascii="Times New Roman" w:hAnsi="Times New Roman" w:eastAsia="宋体" w:cs="Times New Roman"/>
                <w:color w:val="000000"/>
                <w:sz w:val="32"/>
                <w:szCs w:val="32"/>
                <w:lang w:bidi="ar"/>
              </w:rPr>
              <w:t>报告人</w:t>
            </w:r>
            <w:r>
              <w:rPr>
                <w:rFonts w:hint="default" w:ascii="Times New Roman" w:hAnsi="Times New Roman" w:eastAsia="宋体" w:cs="Times New Roman"/>
                <w:color w:val="000000"/>
                <w:sz w:val="32"/>
                <w:szCs w:val="32"/>
                <w:lang w:eastAsia="zh-CN" w:bidi="ar"/>
              </w:rPr>
              <w:t>：</w:t>
            </w:r>
          </w:p>
          <w:p w14:paraId="3C754C17">
            <w:pPr>
              <w:keepNext w:val="0"/>
              <w:keepLines w:val="0"/>
              <w:pageBreakBefore w:val="0"/>
              <w:widowControl w:val="0"/>
              <w:kinsoku/>
              <w:wordWrap/>
              <w:overflowPunct/>
              <w:topLinePunct w:val="0"/>
              <w:bidi w:val="0"/>
              <w:adjustRightInd w:val="0"/>
              <w:spacing w:before="59" w:beforeLines="10" w:after="59" w:afterLines="10" w:line="288" w:lineRule="auto"/>
              <w:ind w:firstLine="0"/>
              <w:rPr>
                <w:rFonts w:hint="default" w:ascii="Times New Roman" w:hAnsi="Times New Roman" w:cs="Times New Roman"/>
                <w:sz w:val="28"/>
                <w:szCs w:val="28"/>
              </w:rPr>
            </w:pPr>
          </w:p>
        </w:tc>
        <w:tc>
          <w:tcPr>
            <w:tcW w:w="8278" w:type="dxa"/>
            <w:noWrap w:val="0"/>
            <w:vAlign w:val="center"/>
          </w:tcPr>
          <w:p w14:paraId="33D41C18">
            <w:pPr>
              <w:keepNext w:val="0"/>
              <w:keepLines w:val="0"/>
              <w:pageBreakBefore w:val="0"/>
              <w:widowControl w:val="0"/>
              <w:tabs>
                <w:tab w:val="right" w:pos="8033"/>
              </w:tabs>
              <w:kinsoku/>
              <w:wordWrap/>
              <w:overflowPunct/>
              <w:topLinePunct w:val="0"/>
              <w:bidi w:val="0"/>
              <w:adjustRightInd w:val="0"/>
              <w:spacing w:before="59" w:beforeLines="10" w:after="59" w:afterLines="10" w:line="240" w:lineRule="auto"/>
              <w:ind w:left="-94" w:leftChars="-30" w:right="-94" w:rightChars="-30" w:firstLine="0"/>
              <w:jc w:val="distribute"/>
              <w:rPr>
                <w:rFonts w:hint="default" w:ascii="Times New Roman" w:hAnsi="Times New Roman" w:cs="Times New Roman"/>
                <w:sz w:val="28"/>
                <w:szCs w:val="28"/>
              </w:rPr>
            </w:pPr>
            <w:r>
              <w:rPr>
                <w:rFonts w:hint="default" w:ascii="Times New Roman" w:hAnsi="Times New Roman" w:cs="Times New Roman"/>
                <w:sz w:val="28"/>
                <w:szCs w:val="28"/>
              </w:rPr>
              <w:t>连云港市连云区人民政府办公室            202</w:t>
            </w:r>
            <w:r>
              <w:rPr>
                <w:rFonts w:hint="default" w:ascii="Times New Roman" w:hAnsi="Times New Roman" w:cs="Times New Roman"/>
                <w:sz w:val="28"/>
                <w:szCs w:val="28"/>
                <w:lang w:val="en-US" w:eastAsia="zh-CN"/>
              </w:rPr>
              <w:t>4</w:t>
            </w:r>
            <w:r>
              <w:rPr>
                <w:rFonts w:hint="default" w:ascii="Times New Roman" w:hAnsi="Times New Roman" w:cs="Times New Roman"/>
                <w:sz w:val="28"/>
                <w:szCs w:val="28"/>
              </w:rPr>
              <w:t>年</w:t>
            </w:r>
            <w:r>
              <w:rPr>
                <w:rFonts w:hint="eastAsia" w:cs="Times New Roman"/>
                <w:sz w:val="28"/>
                <w:szCs w:val="28"/>
                <w:lang w:val="en-US" w:eastAsia="zh-CN"/>
              </w:rPr>
              <w:t>9</w:t>
            </w:r>
            <w:r>
              <w:rPr>
                <w:rFonts w:hint="default" w:ascii="Times New Roman" w:hAnsi="Times New Roman" w:cs="Times New Roman"/>
                <w:sz w:val="28"/>
                <w:szCs w:val="28"/>
              </w:rPr>
              <w:t>月</w:t>
            </w:r>
            <w:r>
              <w:rPr>
                <w:rFonts w:hint="eastAsia" w:cs="Times New Roman"/>
                <w:sz w:val="28"/>
                <w:szCs w:val="28"/>
                <w:lang w:val="en-US" w:eastAsia="zh-CN"/>
              </w:rPr>
              <w:t>4</w:t>
            </w:r>
            <w:r>
              <w:rPr>
                <w:rFonts w:hint="default" w:ascii="Times New Roman" w:hAnsi="Times New Roman" w:cs="Times New Roman"/>
                <w:sz w:val="28"/>
                <w:szCs w:val="28"/>
              </w:rPr>
              <w:t>日印发</w:t>
            </w:r>
          </w:p>
        </w:tc>
        <w:tc>
          <w:tcPr>
            <w:tcW w:w="284" w:type="dxa"/>
            <w:noWrap w:val="0"/>
            <w:vAlign w:val="top"/>
          </w:tcPr>
          <w:p w14:paraId="65A2AAED">
            <w:pPr>
              <w:keepNext w:val="0"/>
              <w:keepLines w:val="0"/>
              <w:pageBreakBefore w:val="0"/>
              <w:widowControl w:val="0"/>
              <w:kinsoku/>
              <w:wordWrap/>
              <w:overflowPunct/>
              <w:topLinePunct w:val="0"/>
              <w:bidi w:val="0"/>
              <w:adjustRightInd w:val="0"/>
              <w:spacing w:before="59" w:beforeLines="10" w:after="59" w:afterLines="10" w:line="288" w:lineRule="auto"/>
              <w:ind w:firstLine="0"/>
              <w:rPr>
                <w:rFonts w:hint="default" w:ascii="Times New Roman" w:hAnsi="Times New Roman" w:cs="Times New Roman"/>
                <w:sz w:val="28"/>
                <w:szCs w:val="28"/>
              </w:rPr>
            </w:pPr>
          </w:p>
        </w:tc>
      </w:tr>
    </w:tbl>
    <w:p w14:paraId="6C01AE17">
      <w:pPr>
        <w:widowControl/>
        <w:ind w:left="0" w:leftChars="0" w:firstLine="0" w:firstLineChars="0"/>
        <w:jc w:val="left"/>
        <w:rPr>
          <w:rFonts w:hint="default" w:ascii="Times New Roman" w:hAnsi="Times New Roman" w:eastAsia="宋体" w:cs="Times New Roman"/>
          <w:color w:val="000000"/>
          <w:sz w:val="32"/>
          <w:szCs w:val="32"/>
          <w:lang w:val="en-US" w:eastAsia="zh-CN" w:bidi="ar"/>
        </w:rPr>
      </w:pPr>
    </w:p>
    <w:sectPr>
      <w:footerReference r:id="rId18" w:type="default"/>
      <w:footerReference r:id="rId19" w:type="even"/>
      <w:pgSz w:w="11906" w:h="16838"/>
      <w:pgMar w:top="2098" w:right="1474" w:bottom="1985" w:left="1588" w:header="720" w:footer="1474" w:gutter="0"/>
      <w:pgNumType w:fmt="decimal"/>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4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script"/>
    <w:pitch w:val="default"/>
    <w:sig w:usb0="00000001" w:usb1="080E0000" w:usb2="00000000" w:usb3="00000000" w:csb0="00040000" w:csb1="00000000"/>
  </w:font>
  <w:font w:name="汉鼎简大宋">
    <w:altName w:val="宋体"/>
    <w:panose1 w:val="00000000000000000000"/>
    <w:charset w:val="86"/>
    <w:family w:val="modern"/>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5431F">
    <w:pPr>
      <w:pStyle w:val="9"/>
      <w:ind w:firstLine="560"/>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31F548">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531F548">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7EB87">
    <w:pPr>
      <w:pStyle w:val="4"/>
      <w:spacing w:line="14" w:lineRule="auto"/>
      <w:ind w:firstLine="640"/>
      <w:rPr>
        <w:sz w:val="20"/>
      </w:rPr>
    </w:pPr>
    <w:r>
      <w:rPr>
        <w:sz w:val="20"/>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9E4DF">
                          <w:pPr>
                            <w:pStyle w:val="9"/>
                          </w:pPr>
                          <w:r>
                            <w:t xml:space="preserve">— </w:t>
                          </w:r>
                          <w:r>
                            <w:fldChar w:fldCharType="begin"/>
                          </w:r>
                          <w:r>
                            <w:instrText xml:space="preserve"> PAGE  \* MERGEFORMAT </w:instrText>
                          </w:r>
                          <w:r>
                            <w:fldChar w:fldCharType="separate"/>
                          </w:r>
                          <w:r>
                            <w:t>37</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109E4DF">
                    <w:pPr>
                      <w:pStyle w:val="9"/>
                    </w:pPr>
                    <w:r>
                      <w:t xml:space="preserve">— </w:t>
                    </w:r>
                    <w:r>
                      <w:fldChar w:fldCharType="begin"/>
                    </w:r>
                    <w:r>
                      <w:instrText xml:space="preserve"> PAGE  \* MERGEFORMAT </w:instrText>
                    </w:r>
                    <w:r>
                      <w:fldChar w:fldCharType="separate"/>
                    </w:r>
                    <w:r>
                      <w:t>37</w:t>
                    </w:r>
                    <w:r>
                      <w:fldChar w:fldCharType="end"/>
                    </w:r>
                    <w:r>
                      <w:t xml:space="preserve"> —</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922E">
    <w:pPr>
      <w:pStyle w:val="9"/>
      <w:ind w:left="320" w:leftChars="100" w:right="320" w:rightChars="100"/>
      <w:jc w:val="right"/>
      <w:rPr>
        <w:rFonts w:hint="eastAsia"/>
      </w:rPr>
    </w:pPr>
    <w:r>
      <w:rPr>
        <w:sz w:val="2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1CFB5A">
                          <w:pPr>
                            <w:pStyle w:val="9"/>
                          </w:pPr>
                          <w:r>
                            <w:t xml:space="preserve">— </w:t>
                          </w:r>
                          <w:r>
                            <w:fldChar w:fldCharType="begin"/>
                          </w:r>
                          <w:r>
                            <w:instrText xml:space="preserve"> PAGE  \* MERGEFORMAT </w:instrText>
                          </w:r>
                          <w:r>
                            <w:fldChar w:fldCharType="separate"/>
                          </w:r>
                          <w:r>
                            <w:t>40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E1CFB5A">
                    <w:pPr>
                      <w:pStyle w:val="9"/>
                    </w:pPr>
                    <w:r>
                      <w:t xml:space="preserve">— </w:t>
                    </w:r>
                    <w:r>
                      <w:fldChar w:fldCharType="begin"/>
                    </w:r>
                    <w:r>
                      <w:instrText xml:space="preserve"> PAGE  \* MERGEFORMAT </w:instrText>
                    </w:r>
                    <w:r>
                      <w:fldChar w:fldCharType="separate"/>
                    </w:r>
                    <w:r>
                      <w:t>40</w:t>
                    </w:r>
                    <w:r>
                      <w:fldChar w:fldCharType="end"/>
                    </w:r>
                    <w:r>
                      <w:t xml:space="preserve"> —</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1A5763">
    <w:pPr>
      <w:pStyle w:val="9"/>
      <w:ind w:left="320" w:leftChars="100" w:right="320" w:rightChars="100"/>
      <w:jc w:val="both"/>
      <w:rPr>
        <w:rFonts w:hint="eastAsia"/>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268BB2">
                          <w:pPr>
                            <w:pStyle w:val="9"/>
                          </w:pPr>
                          <w:r>
                            <w:t xml:space="preserve">— </w:t>
                          </w:r>
                          <w:r>
                            <w:fldChar w:fldCharType="begin"/>
                          </w:r>
                          <w:r>
                            <w:instrText xml:space="preserve"> PAGE  \* MERGEFORMAT </w:instrText>
                          </w:r>
                          <w:r>
                            <w:fldChar w:fldCharType="separate"/>
                          </w:r>
                          <w:r>
                            <w:t>44</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36268BB2">
                    <w:pPr>
                      <w:pStyle w:val="9"/>
                    </w:pPr>
                    <w:r>
                      <w:t xml:space="preserve">— </w:t>
                    </w:r>
                    <w:r>
                      <w:fldChar w:fldCharType="begin"/>
                    </w:r>
                    <w:r>
                      <w:instrText xml:space="preserve"> PAGE  \* MERGEFORMAT </w:instrText>
                    </w:r>
                    <w:r>
                      <w:fldChar w:fldCharType="separate"/>
                    </w:r>
                    <w:r>
                      <w:t>44</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FD577F">
    <w:pPr>
      <w:pStyle w:val="9"/>
      <w:ind w:firstLine="5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7818B4">
    <w:pPr>
      <w:pStyle w:val="9"/>
      <w:ind w:firstLine="5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728A7">
    <w:pPr>
      <w:pStyle w:val="9"/>
      <w:ind w:firstLine="56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5C5D2">
    <w:pPr>
      <w:pStyle w:val="9"/>
      <w:ind w:firstLine="5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AA4320">
    <w:pPr>
      <w:pStyle w:val="9"/>
      <w:ind w:left="320" w:leftChars="100" w:right="320" w:rightChars="100" w:firstLine="560"/>
      <w:jc w:val="right"/>
      <w:rPr>
        <w:rFonts w:hint="eastAsia"/>
      </w:rPr>
    </w:pPr>
    <w:r>
      <w:rPr>
        <w:sz w:val="2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4F9A7F">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D4F9A7F">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41A4">
    <w:pPr>
      <w:pStyle w:val="9"/>
      <w:ind w:firstLine="560"/>
      <w:rPr>
        <w:rFonts w:hint="eastAsia"/>
      </w:rPr>
    </w:pPr>
    <w:r>
      <w:rPr>
        <w:sz w:val="2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8CF207">
                          <w:pPr>
                            <w:pStyle w:val="9"/>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14:paraId="308CF207">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256B2">
    <w:pPr>
      <w:pStyle w:val="9"/>
      <w:ind w:left="320" w:leftChars="100" w:right="320" w:rightChars="100" w:firstLine="560"/>
      <w:jc w:val="right"/>
      <w:rPr>
        <w:rFonts w:hint="eastAsia"/>
      </w:rPr>
    </w:pPr>
    <w:r>
      <w:rPr>
        <w:sz w:val="2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E13AF">
                          <w:pPr>
                            <w:pStyle w:val="9"/>
                          </w:pPr>
                          <w:r>
                            <w:t xml:space="preserve">— </w:t>
                          </w:r>
                          <w:r>
                            <w:fldChar w:fldCharType="begin"/>
                          </w:r>
                          <w:r>
                            <w:instrText xml:space="preserve"> PAGE  \* MERGEFORMAT </w:instrText>
                          </w:r>
                          <w:r>
                            <w:fldChar w:fldCharType="separate"/>
                          </w:r>
                          <w:r>
                            <w:t>36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99E13AF">
                    <w:pPr>
                      <w:pStyle w:val="9"/>
                    </w:pPr>
                    <w:r>
                      <w:t xml:space="preserve">— </w:t>
                    </w:r>
                    <w:r>
                      <w:fldChar w:fldCharType="begin"/>
                    </w:r>
                    <w:r>
                      <w:instrText xml:space="preserve"> PAGE  \* MERGEFORMAT </w:instrText>
                    </w:r>
                    <w:r>
                      <w:fldChar w:fldCharType="separate"/>
                    </w:r>
                    <w:r>
                      <w:t>36</w:t>
                    </w:r>
                    <w:r>
                      <w:fldChar w:fldCharType="end"/>
                    </w:r>
                    <w: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051D98">
    <w:pPr>
      <w:pStyle w:val="9"/>
      <w:ind w:left="320" w:leftChars="100" w:right="320" w:rightChars="100" w:firstLine="560"/>
      <w:jc w:val="both"/>
      <w:rPr>
        <w:rFonts w:hint="eastAsia"/>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EC7523F">
                          <w:pPr>
                            <w:pStyle w:val="9"/>
                            <w:ind w:left="320" w:leftChars="100" w:right="320" w:rightChars="100" w:firstLine="560"/>
                            <w:jc w:val="both"/>
                          </w:pPr>
                          <w:r>
                            <w:rPr>
                              <w:rFonts w:hint="eastAsia"/>
                            </w:rPr>
                            <w:t xml:space="preserve">— </w:t>
                          </w:r>
                          <w:r>
                            <w:fldChar w:fldCharType="begin"/>
                          </w:r>
                          <w:r>
                            <w:rPr>
                              <w:rStyle w:val="18"/>
                            </w:rPr>
                            <w:instrText xml:space="preserve"> PAGE </w:instrText>
                          </w:r>
                          <w:r>
                            <w:fldChar w:fldCharType="separate"/>
                          </w:r>
                          <w:r>
                            <w:rPr>
                              <w:rStyle w:val="18"/>
                            </w:rPr>
                            <w:t>42</w:t>
                          </w:r>
                          <w:r>
                            <w:fldChar w:fldCharType="end"/>
                          </w:r>
                          <w:r>
                            <w:rPr>
                              <w:rStyle w:val="18"/>
                              <w:rFonts w:hint="eastAsia"/>
                            </w:rPr>
                            <w:t xml:space="preserve"> </w:t>
                          </w:r>
                          <w:r>
                            <w:rPr>
                              <w:rFonts w:hint="eastAsia"/>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0EC7523F">
                    <w:pPr>
                      <w:pStyle w:val="9"/>
                      <w:ind w:left="320" w:leftChars="100" w:right="320" w:rightChars="100" w:firstLine="560"/>
                      <w:jc w:val="both"/>
                    </w:pPr>
                    <w:r>
                      <w:rPr>
                        <w:rFonts w:hint="eastAsia"/>
                      </w:rPr>
                      <w:t xml:space="preserve">— </w:t>
                    </w:r>
                    <w:r>
                      <w:fldChar w:fldCharType="begin"/>
                    </w:r>
                    <w:r>
                      <w:rPr>
                        <w:rStyle w:val="18"/>
                      </w:rPr>
                      <w:instrText xml:space="preserve"> PAGE </w:instrText>
                    </w:r>
                    <w:r>
                      <w:fldChar w:fldCharType="separate"/>
                    </w:r>
                    <w:r>
                      <w:rPr>
                        <w:rStyle w:val="18"/>
                      </w:rPr>
                      <w:t>42</w:t>
                    </w:r>
                    <w:r>
                      <w:fldChar w:fldCharType="end"/>
                    </w:r>
                    <w:r>
                      <w:rPr>
                        <w:rStyle w:val="18"/>
                        <w:rFonts w:hint="eastAsia"/>
                      </w:rPr>
                      <w:t xml:space="preserve"> </w:t>
                    </w:r>
                    <w:r>
                      <w:rPr>
                        <w:rFonts w:hint="eastAsia"/>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216A3">
    <w:pPr>
      <w:pStyle w:val="10"/>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4F3EC">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981BB3">
    <w:pPr>
      <w:pStyle w:val="10"/>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315"/>
  <w:drawingGridVerticalSpacing w:val="295"/>
  <w:displayHorizontalDrawingGridEvery w:val="1"/>
  <w:displayVerticalDrawingGridEvery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I1M2NmOGI2YWRiNTU5NGQxMjk1Njc1YTZmZjhjOWMifQ=="/>
  </w:docVars>
  <w:rsids>
    <w:rsidRoot w:val="00172A27"/>
    <w:rsid w:val="00015680"/>
    <w:rsid w:val="000232DD"/>
    <w:rsid w:val="00041FDE"/>
    <w:rsid w:val="00057012"/>
    <w:rsid w:val="00067C22"/>
    <w:rsid w:val="00073870"/>
    <w:rsid w:val="00081672"/>
    <w:rsid w:val="000817E4"/>
    <w:rsid w:val="00097EAA"/>
    <w:rsid w:val="000A65C7"/>
    <w:rsid w:val="000D1DF4"/>
    <w:rsid w:val="000F3EF4"/>
    <w:rsid w:val="001249E2"/>
    <w:rsid w:val="00146C58"/>
    <w:rsid w:val="00187876"/>
    <w:rsid w:val="001A1A5A"/>
    <w:rsid w:val="001A32EC"/>
    <w:rsid w:val="001C6E41"/>
    <w:rsid w:val="00211E47"/>
    <w:rsid w:val="00223A0A"/>
    <w:rsid w:val="00237BFA"/>
    <w:rsid w:val="00247059"/>
    <w:rsid w:val="00247C38"/>
    <w:rsid w:val="0025449A"/>
    <w:rsid w:val="002561D5"/>
    <w:rsid w:val="002623E1"/>
    <w:rsid w:val="00270793"/>
    <w:rsid w:val="00284AAB"/>
    <w:rsid w:val="0029430C"/>
    <w:rsid w:val="002D372E"/>
    <w:rsid w:val="002F4F45"/>
    <w:rsid w:val="002F567C"/>
    <w:rsid w:val="0031518A"/>
    <w:rsid w:val="00324230"/>
    <w:rsid w:val="00383D55"/>
    <w:rsid w:val="00395D46"/>
    <w:rsid w:val="003A2B08"/>
    <w:rsid w:val="003C23E0"/>
    <w:rsid w:val="003F0416"/>
    <w:rsid w:val="00401940"/>
    <w:rsid w:val="00402C26"/>
    <w:rsid w:val="00411A4D"/>
    <w:rsid w:val="004209CC"/>
    <w:rsid w:val="0042410E"/>
    <w:rsid w:val="00447A2C"/>
    <w:rsid w:val="004569EF"/>
    <w:rsid w:val="00482C22"/>
    <w:rsid w:val="0049721A"/>
    <w:rsid w:val="004C54F2"/>
    <w:rsid w:val="004D34A7"/>
    <w:rsid w:val="004F3B41"/>
    <w:rsid w:val="004F6236"/>
    <w:rsid w:val="005212D7"/>
    <w:rsid w:val="00531654"/>
    <w:rsid w:val="00596132"/>
    <w:rsid w:val="005A5A02"/>
    <w:rsid w:val="005E5E1E"/>
    <w:rsid w:val="005F6BC3"/>
    <w:rsid w:val="00600C23"/>
    <w:rsid w:val="00601BAD"/>
    <w:rsid w:val="00606A72"/>
    <w:rsid w:val="00611731"/>
    <w:rsid w:val="00621B86"/>
    <w:rsid w:val="006271DF"/>
    <w:rsid w:val="00662AF4"/>
    <w:rsid w:val="00670C57"/>
    <w:rsid w:val="006A00AB"/>
    <w:rsid w:val="006B00A7"/>
    <w:rsid w:val="006B0124"/>
    <w:rsid w:val="006B7BD1"/>
    <w:rsid w:val="006C3EFC"/>
    <w:rsid w:val="006C4D1A"/>
    <w:rsid w:val="006D71E0"/>
    <w:rsid w:val="006E17B1"/>
    <w:rsid w:val="006F2F92"/>
    <w:rsid w:val="007104C7"/>
    <w:rsid w:val="00712DD3"/>
    <w:rsid w:val="00735798"/>
    <w:rsid w:val="0074250F"/>
    <w:rsid w:val="0075271A"/>
    <w:rsid w:val="007613AC"/>
    <w:rsid w:val="00765C45"/>
    <w:rsid w:val="00787BD2"/>
    <w:rsid w:val="007C2D67"/>
    <w:rsid w:val="007E04F2"/>
    <w:rsid w:val="0082510E"/>
    <w:rsid w:val="00832EEC"/>
    <w:rsid w:val="00842D8D"/>
    <w:rsid w:val="0085282A"/>
    <w:rsid w:val="008625C4"/>
    <w:rsid w:val="008A112F"/>
    <w:rsid w:val="008B75A8"/>
    <w:rsid w:val="008C7A71"/>
    <w:rsid w:val="008D01A5"/>
    <w:rsid w:val="008E0A7C"/>
    <w:rsid w:val="008F15B3"/>
    <w:rsid w:val="008F30EA"/>
    <w:rsid w:val="008F6562"/>
    <w:rsid w:val="00900C82"/>
    <w:rsid w:val="0092699C"/>
    <w:rsid w:val="00946F2E"/>
    <w:rsid w:val="00953209"/>
    <w:rsid w:val="00957A23"/>
    <w:rsid w:val="00960DC2"/>
    <w:rsid w:val="00973479"/>
    <w:rsid w:val="00980879"/>
    <w:rsid w:val="0098308E"/>
    <w:rsid w:val="009866B4"/>
    <w:rsid w:val="009C3DF8"/>
    <w:rsid w:val="009D2B87"/>
    <w:rsid w:val="009D3210"/>
    <w:rsid w:val="009E6B98"/>
    <w:rsid w:val="009F6178"/>
    <w:rsid w:val="00A45F19"/>
    <w:rsid w:val="00A462DF"/>
    <w:rsid w:val="00A54213"/>
    <w:rsid w:val="00A55479"/>
    <w:rsid w:val="00A71F3B"/>
    <w:rsid w:val="00AB3C0A"/>
    <w:rsid w:val="00AE595A"/>
    <w:rsid w:val="00B02EC3"/>
    <w:rsid w:val="00B07030"/>
    <w:rsid w:val="00B169A3"/>
    <w:rsid w:val="00B27B06"/>
    <w:rsid w:val="00B34963"/>
    <w:rsid w:val="00B34968"/>
    <w:rsid w:val="00B363C5"/>
    <w:rsid w:val="00B4399D"/>
    <w:rsid w:val="00B45DFA"/>
    <w:rsid w:val="00B465C8"/>
    <w:rsid w:val="00B56F77"/>
    <w:rsid w:val="00B770A9"/>
    <w:rsid w:val="00B815AB"/>
    <w:rsid w:val="00BA0522"/>
    <w:rsid w:val="00BA7C51"/>
    <w:rsid w:val="00BB3E9F"/>
    <w:rsid w:val="00BD3541"/>
    <w:rsid w:val="00BE455C"/>
    <w:rsid w:val="00BE711D"/>
    <w:rsid w:val="00C12712"/>
    <w:rsid w:val="00C15D3C"/>
    <w:rsid w:val="00C872C9"/>
    <w:rsid w:val="00CA4697"/>
    <w:rsid w:val="00CF6314"/>
    <w:rsid w:val="00D0303E"/>
    <w:rsid w:val="00D13D33"/>
    <w:rsid w:val="00D30BAD"/>
    <w:rsid w:val="00D32BAD"/>
    <w:rsid w:val="00D77286"/>
    <w:rsid w:val="00D8006F"/>
    <w:rsid w:val="00D85619"/>
    <w:rsid w:val="00D93361"/>
    <w:rsid w:val="00D96140"/>
    <w:rsid w:val="00DB0FB3"/>
    <w:rsid w:val="00DE1252"/>
    <w:rsid w:val="00E119FF"/>
    <w:rsid w:val="00E15B0E"/>
    <w:rsid w:val="00E21983"/>
    <w:rsid w:val="00E33647"/>
    <w:rsid w:val="00E364CF"/>
    <w:rsid w:val="00E7604A"/>
    <w:rsid w:val="00EA63DE"/>
    <w:rsid w:val="00EC1E4F"/>
    <w:rsid w:val="00F26216"/>
    <w:rsid w:val="00F26E34"/>
    <w:rsid w:val="00F40C57"/>
    <w:rsid w:val="00F5306B"/>
    <w:rsid w:val="00F923D5"/>
    <w:rsid w:val="00F9735B"/>
    <w:rsid w:val="00FA5B51"/>
    <w:rsid w:val="00FB1499"/>
    <w:rsid w:val="00FC5AE9"/>
    <w:rsid w:val="00FC5CEE"/>
    <w:rsid w:val="00FD1173"/>
    <w:rsid w:val="00FE1FB5"/>
    <w:rsid w:val="00FE383F"/>
    <w:rsid w:val="00FF01AD"/>
    <w:rsid w:val="050F7965"/>
    <w:rsid w:val="05CC762D"/>
    <w:rsid w:val="0662536E"/>
    <w:rsid w:val="07405717"/>
    <w:rsid w:val="09351B29"/>
    <w:rsid w:val="0B153824"/>
    <w:rsid w:val="0C0002F7"/>
    <w:rsid w:val="0C506B27"/>
    <w:rsid w:val="0E370A16"/>
    <w:rsid w:val="131800D3"/>
    <w:rsid w:val="13224430"/>
    <w:rsid w:val="13255584"/>
    <w:rsid w:val="139C1048"/>
    <w:rsid w:val="14584764"/>
    <w:rsid w:val="14E16EDE"/>
    <w:rsid w:val="158B79D5"/>
    <w:rsid w:val="19533254"/>
    <w:rsid w:val="1C1046E9"/>
    <w:rsid w:val="1C3E14C5"/>
    <w:rsid w:val="1C8951D2"/>
    <w:rsid w:val="1D132EC4"/>
    <w:rsid w:val="1FAA73C9"/>
    <w:rsid w:val="1FF06448"/>
    <w:rsid w:val="20B64BA1"/>
    <w:rsid w:val="225B4D11"/>
    <w:rsid w:val="269C3212"/>
    <w:rsid w:val="275E3C26"/>
    <w:rsid w:val="27AD5575"/>
    <w:rsid w:val="27E13D41"/>
    <w:rsid w:val="2A1D2B03"/>
    <w:rsid w:val="2BB476A9"/>
    <w:rsid w:val="2BCA392D"/>
    <w:rsid w:val="2C9F405B"/>
    <w:rsid w:val="2CB36F5B"/>
    <w:rsid w:val="2DB81B34"/>
    <w:rsid w:val="2EA2032F"/>
    <w:rsid w:val="2FAF570B"/>
    <w:rsid w:val="301407CC"/>
    <w:rsid w:val="3030481D"/>
    <w:rsid w:val="30B93FA7"/>
    <w:rsid w:val="31BE28C4"/>
    <w:rsid w:val="32012DF5"/>
    <w:rsid w:val="34FC0439"/>
    <w:rsid w:val="386714CF"/>
    <w:rsid w:val="39C6066B"/>
    <w:rsid w:val="3A0A4BE5"/>
    <w:rsid w:val="3A2C531A"/>
    <w:rsid w:val="3A4C1DFB"/>
    <w:rsid w:val="3C9C40D8"/>
    <w:rsid w:val="3E0F3E7E"/>
    <w:rsid w:val="3EB16615"/>
    <w:rsid w:val="40873B72"/>
    <w:rsid w:val="4587695D"/>
    <w:rsid w:val="45B7133F"/>
    <w:rsid w:val="472F7017"/>
    <w:rsid w:val="478A4008"/>
    <w:rsid w:val="47D073C7"/>
    <w:rsid w:val="48A85917"/>
    <w:rsid w:val="4BAC509D"/>
    <w:rsid w:val="4BBA0128"/>
    <w:rsid w:val="4BBD0A90"/>
    <w:rsid w:val="4BC74CEA"/>
    <w:rsid w:val="4CE36991"/>
    <w:rsid w:val="4D5D0712"/>
    <w:rsid w:val="4E7217E4"/>
    <w:rsid w:val="4EC33069"/>
    <w:rsid w:val="50395ABF"/>
    <w:rsid w:val="50E52BEE"/>
    <w:rsid w:val="53E66F82"/>
    <w:rsid w:val="53FD1C19"/>
    <w:rsid w:val="54223F4F"/>
    <w:rsid w:val="55E867A4"/>
    <w:rsid w:val="57C63876"/>
    <w:rsid w:val="587001D8"/>
    <w:rsid w:val="5A644480"/>
    <w:rsid w:val="5CD00388"/>
    <w:rsid w:val="5D3D145C"/>
    <w:rsid w:val="5DF75EF8"/>
    <w:rsid w:val="5E3235CA"/>
    <w:rsid w:val="5F024731"/>
    <w:rsid w:val="60121E89"/>
    <w:rsid w:val="603A3B3E"/>
    <w:rsid w:val="636F7008"/>
    <w:rsid w:val="63E827E8"/>
    <w:rsid w:val="64114A18"/>
    <w:rsid w:val="65737C0F"/>
    <w:rsid w:val="6899387E"/>
    <w:rsid w:val="69633821"/>
    <w:rsid w:val="6AA2142C"/>
    <w:rsid w:val="6AFD549A"/>
    <w:rsid w:val="6BE63471"/>
    <w:rsid w:val="6CEA2C1B"/>
    <w:rsid w:val="716E2A4C"/>
    <w:rsid w:val="74DA2953"/>
    <w:rsid w:val="75255125"/>
    <w:rsid w:val="7568638F"/>
    <w:rsid w:val="77B60E33"/>
    <w:rsid w:val="77BB18CE"/>
    <w:rsid w:val="798C5C16"/>
    <w:rsid w:val="7AEB0A32"/>
    <w:rsid w:val="7C484C09"/>
    <w:rsid w:val="7D556591"/>
    <w:rsid w:val="7DBC6E09"/>
    <w:rsid w:val="7F0F4F5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autoRedefine/>
    <w:qFormat/>
    <w:uiPriority w:val="0"/>
    <w:pPr>
      <w:keepNext/>
      <w:keepLines/>
      <w:spacing w:before="340" w:after="330" w:line="578" w:lineRule="atLeast"/>
      <w:outlineLvl w:val="0"/>
    </w:pPr>
    <w:rPr>
      <w:b/>
      <w:kern w:val="44"/>
      <w:sz w:val="44"/>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0"/>
    <w:pPr>
      <w:adjustRightInd w:val="0"/>
      <w:snapToGrid/>
      <w:ind w:firstLine="0"/>
      <w:jc w:val="left"/>
    </w:pPr>
    <w:rPr>
      <w:spacing w:val="-25"/>
    </w:rPr>
  </w:style>
  <w:style w:type="paragraph" w:styleId="4">
    <w:name w:val="Body Text"/>
    <w:basedOn w:val="1"/>
    <w:autoRedefine/>
    <w:qFormat/>
    <w:uiPriority w:val="0"/>
    <w:pPr>
      <w:spacing w:after="120"/>
    </w:pPr>
  </w:style>
  <w:style w:type="paragraph" w:styleId="5">
    <w:name w:val="Body Text Indent"/>
    <w:basedOn w:val="1"/>
    <w:autoRedefine/>
    <w:qFormat/>
    <w:uiPriority w:val="0"/>
    <w:pPr>
      <w:spacing w:after="120"/>
      <w:ind w:left="420" w:leftChars="200"/>
    </w:pPr>
  </w:style>
  <w:style w:type="paragraph" w:styleId="6">
    <w:name w:val="index 4"/>
    <w:basedOn w:val="1"/>
    <w:next w:val="1"/>
    <w:autoRedefine/>
    <w:qFormat/>
    <w:uiPriority w:val="0"/>
    <w:pPr>
      <w:spacing w:line="560" w:lineRule="exact"/>
      <w:jc w:val="left"/>
    </w:pPr>
    <w:rPr>
      <w:rFonts w:eastAsia="仿宋_GB2312"/>
      <w:sz w:val="32"/>
    </w:rPr>
  </w:style>
  <w:style w:type="paragraph" w:styleId="7">
    <w:name w:val="Plain Text"/>
    <w:basedOn w:val="1"/>
    <w:autoRedefine/>
    <w:qFormat/>
    <w:uiPriority w:val="0"/>
    <w:rPr>
      <w:rFonts w:ascii="宋体" w:hAnsi="Courier New" w:cs="Courier New" w:eastAsiaTheme="minorEastAsia"/>
      <w:szCs w:val="21"/>
    </w:rPr>
  </w:style>
  <w:style w:type="paragraph" w:styleId="8">
    <w:name w:val="Balloon Text"/>
    <w:basedOn w:val="1"/>
    <w:link w:val="20"/>
    <w:autoRedefine/>
    <w:qFormat/>
    <w:uiPriority w:val="0"/>
    <w:pPr>
      <w:spacing w:line="240" w:lineRule="auto"/>
    </w:pPr>
    <w:rPr>
      <w:sz w:val="18"/>
      <w:szCs w:val="18"/>
    </w:rPr>
  </w:style>
  <w:style w:type="paragraph" w:styleId="9">
    <w:name w:val="footer"/>
    <w:basedOn w:val="1"/>
    <w:autoRedefine/>
    <w:qFormat/>
    <w:uiPriority w:val="0"/>
    <w:pPr>
      <w:tabs>
        <w:tab w:val="center" w:pos="4153"/>
        <w:tab w:val="right" w:pos="8306"/>
      </w:tabs>
      <w:spacing w:line="400" w:lineRule="atLeast"/>
      <w:ind w:firstLine="0"/>
      <w:jc w:val="center"/>
    </w:pPr>
    <w:rPr>
      <w:sz w:val="28"/>
    </w:rPr>
  </w:style>
  <w:style w:type="paragraph" w:styleId="10">
    <w:name w:val="header"/>
    <w:basedOn w:val="1"/>
    <w:autoRedefine/>
    <w:qFormat/>
    <w:uiPriority w:val="0"/>
    <w:pPr>
      <w:tabs>
        <w:tab w:val="center" w:pos="4153"/>
        <w:tab w:val="right" w:pos="8306"/>
      </w:tabs>
      <w:spacing w:line="240" w:lineRule="atLeast"/>
      <w:jc w:val="center"/>
    </w:pPr>
    <w:rPr>
      <w:sz w:val="18"/>
    </w:rPr>
  </w:style>
  <w:style w:type="paragraph" w:styleId="11">
    <w:name w:val="HTML Preformatted"/>
    <w:basedOn w:val="1"/>
    <w:unhideWhenUsed/>
    <w:qFormat/>
    <w:uiPriority w:val="99"/>
    <w:rPr>
      <w:rFonts w:ascii="Courier New" w:hAnsi="Courier New"/>
      <w:sz w:val="20"/>
    </w:r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3">
    <w:name w:val="Title"/>
    <w:basedOn w:val="1"/>
    <w:next w:val="1"/>
    <w:autoRedefine/>
    <w:qFormat/>
    <w:uiPriority w:val="10"/>
    <w:pPr>
      <w:widowControl w:val="0"/>
      <w:overflowPunct w:val="0"/>
      <w:topLinePunct/>
      <w:autoSpaceDE w:val="0"/>
      <w:autoSpaceDN w:val="0"/>
      <w:adjustRightInd/>
      <w:spacing w:before="240" w:after="60" w:line="293" w:lineRule="auto"/>
      <w:jc w:val="center"/>
      <w:outlineLvl w:val="0"/>
    </w:pPr>
    <w:rPr>
      <w:rFonts w:ascii="Cambria" w:hAnsi="Cambria" w:eastAsia="宋体" w:cs="Times New Roman"/>
      <w:b/>
      <w:bCs/>
      <w:kern w:val="2"/>
      <w:sz w:val="32"/>
      <w:szCs w:val="32"/>
    </w:rPr>
  </w:style>
  <w:style w:type="paragraph" w:styleId="14">
    <w:name w:val="Body Text First Indent 2"/>
    <w:basedOn w:val="5"/>
    <w:next w:val="1"/>
    <w:autoRedefine/>
    <w:qFormat/>
    <w:uiPriority w:val="99"/>
    <w:pPr>
      <w:spacing w:after="0" w:line="560" w:lineRule="exact"/>
      <w:ind w:left="200" w:firstLine="200" w:firstLineChars="200"/>
    </w:pPr>
    <w:rPr>
      <w:rFonts w:eastAsia="仿宋_GB2312"/>
      <w:sz w:val="32"/>
      <w:szCs w:val="20"/>
    </w:rPr>
  </w:style>
  <w:style w:type="table" w:styleId="16">
    <w:name w:val="Table Grid"/>
    <w:basedOn w:val="15"/>
    <w:autoRedefine/>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autoRedefine/>
    <w:qFormat/>
    <w:uiPriority w:val="0"/>
  </w:style>
  <w:style w:type="character" w:styleId="19">
    <w:name w:val="Emphasis"/>
    <w:basedOn w:val="17"/>
    <w:autoRedefine/>
    <w:qFormat/>
    <w:uiPriority w:val="0"/>
  </w:style>
  <w:style w:type="character" w:customStyle="1" w:styleId="20">
    <w:name w:val="批注框文本 Char"/>
    <w:link w:val="8"/>
    <w:autoRedefine/>
    <w:qFormat/>
    <w:uiPriority w:val="0"/>
    <w:rPr>
      <w:rFonts w:eastAsia="方正仿宋_GBK"/>
      <w:snapToGrid/>
      <w:sz w:val="18"/>
      <w:szCs w:val="18"/>
    </w:rPr>
  </w:style>
  <w:style w:type="paragraph" w:customStyle="1" w:styleId="21">
    <w:name w:val="附件栏"/>
    <w:basedOn w:val="1"/>
    <w:autoRedefine/>
    <w:qFormat/>
    <w:uiPriority w:val="0"/>
  </w:style>
  <w:style w:type="paragraph" w:customStyle="1" w:styleId="22">
    <w:name w:val="标题3"/>
    <w:basedOn w:val="1"/>
    <w:next w:val="1"/>
    <w:autoRedefine/>
    <w:qFormat/>
    <w:uiPriority w:val="0"/>
    <w:rPr>
      <w:rFonts w:eastAsia="方正黑体_GBK"/>
    </w:rPr>
  </w:style>
  <w:style w:type="paragraph" w:customStyle="1" w:styleId="23">
    <w:name w:val="文头"/>
    <w:basedOn w:val="1"/>
    <w:autoRedefine/>
    <w:qFormat/>
    <w:uiPriority w:val="0"/>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24">
    <w:name w:val="样式1"/>
    <w:basedOn w:val="1"/>
    <w:autoRedefine/>
    <w:qFormat/>
    <w:uiPriority w:val="0"/>
  </w:style>
  <w:style w:type="paragraph" w:customStyle="1" w:styleId="25">
    <w:name w:val="标题2"/>
    <w:basedOn w:val="1"/>
    <w:next w:val="1"/>
    <w:autoRedefine/>
    <w:qFormat/>
    <w:uiPriority w:val="0"/>
    <w:pPr>
      <w:ind w:firstLine="0"/>
      <w:jc w:val="center"/>
    </w:pPr>
    <w:rPr>
      <w:rFonts w:eastAsia="方正楷体_GBK"/>
    </w:rPr>
  </w:style>
  <w:style w:type="paragraph" w:customStyle="1" w:styleId="26">
    <w:name w:val="印发栏"/>
    <w:basedOn w:val="3"/>
    <w:autoRedefine/>
    <w:qFormat/>
    <w:uiPriority w:val="0"/>
    <w:pPr>
      <w:tabs>
        <w:tab w:val="right" w:pos="8465"/>
      </w:tabs>
      <w:spacing w:line="454" w:lineRule="atLeast"/>
      <w:ind w:left="357" w:right="357"/>
    </w:pPr>
    <w:rPr>
      <w:spacing w:val="0"/>
    </w:rPr>
  </w:style>
  <w:style w:type="paragraph" w:customStyle="1" w:styleId="27">
    <w:name w:val="印数"/>
    <w:basedOn w:val="26"/>
    <w:autoRedefine/>
    <w:qFormat/>
    <w:uiPriority w:val="0"/>
    <w:pPr>
      <w:spacing w:line="400" w:lineRule="atLeast"/>
      <w:jc w:val="right"/>
    </w:pPr>
  </w:style>
  <w:style w:type="paragraph" w:customStyle="1" w:styleId="28">
    <w:name w:val="红线"/>
    <w:basedOn w:val="2"/>
    <w:autoRedefine/>
    <w:qFormat/>
    <w:uiPriority w:val="0"/>
    <w:pPr>
      <w:keepNext w:val="0"/>
      <w:keepLines w:val="0"/>
      <w:autoSpaceDE w:val="0"/>
      <w:autoSpaceDN w:val="0"/>
      <w:adjustRightInd w:val="0"/>
      <w:snapToGrid/>
      <w:spacing w:before="0" w:after="851" w:line="227" w:lineRule="atLeast"/>
      <w:ind w:right="-142" w:firstLine="0"/>
      <w:jc w:val="center"/>
      <w:outlineLvl w:val="9"/>
    </w:pPr>
    <w:rPr>
      <w:rFonts w:ascii="宋体" w:eastAsia="宋体"/>
      <w:spacing w:val="0"/>
      <w:kern w:val="0"/>
      <w:sz w:val="10"/>
    </w:rPr>
  </w:style>
  <w:style w:type="paragraph" w:customStyle="1" w:styleId="29">
    <w:name w:val="标题1"/>
    <w:basedOn w:val="1"/>
    <w:next w:val="1"/>
    <w:autoRedefine/>
    <w:qFormat/>
    <w:uiPriority w:val="0"/>
    <w:pPr>
      <w:tabs>
        <w:tab w:val="left" w:pos="9193"/>
        <w:tab w:val="left" w:pos="9827"/>
      </w:tabs>
      <w:spacing w:line="640" w:lineRule="atLeast"/>
      <w:ind w:firstLine="0"/>
      <w:jc w:val="center"/>
    </w:pPr>
    <w:rPr>
      <w:rFonts w:eastAsia="方正小标宋_GBK"/>
      <w:sz w:val="44"/>
    </w:rPr>
  </w:style>
  <w:style w:type="paragraph" w:customStyle="1" w:styleId="30">
    <w:name w:val="紧急程度"/>
    <w:basedOn w:val="31"/>
    <w:autoRedefine/>
    <w:qFormat/>
    <w:uiPriority w:val="0"/>
    <w:pPr>
      <w:overflowPunct w:val="0"/>
    </w:pPr>
    <w:rPr>
      <w:sz w:val="32"/>
    </w:rPr>
  </w:style>
  <w:style w:type="paragraph" w:customStyle="1" w:styleId="31">
    <w:name w:val="密级"/>
    <w:basedOn w:val="1"/>
    <w:autoRedefine/>
    <w:qFormat/>
    <w:uiPriority w:val="0"/>
    <w:pPr>
      <w:adjustRightInd w:val="0"/>
      <w:spacing w:line="440" w:lineRule="atLeast"/>
      <w:ind w:firstLine="0"/>
      <w:jc w:val="right"/>
    </w:pPr>
    <w:rPr>
      <w:rFonts w:ascii="黑体" w:eastAsia="黑体"/>
      <w:spacing w:val="0"/>
      <w:kern w:val="0"/>
      <w:sz w:val="30"/>
    </w:rPr>
  </w:style>
  <w:style w:type="paragraph" w:customStyle="1" w:styleId="32">
    <w:name w:val="抄送栏"/>
    <w:basedOn w:val="1"/>
    <w:autoRedefine/>
    <w:qFormat/>
    <w:uiPriority w:val="0"/>
    <w:pPr>
      <w:adjustRightInd w:val="0"/>
      <w:snapToGrid/>
      <w:spacing w:line="454" w:lineRule="atLeast"/>
      <w:ind w:left="1310" w:right="357" w:hanging="953"/>
    </w:pPr>
  </w:style>
  <w:style w:type="paragraph" w:customStyle="1" w:styleId="33">
    <w:name w:val="线型"/>
    <w:basedOn w:val="32"/>
    <w:autoRedefine/>
    <w:qFormat/>
    <w:uiPriority w:val="0"/>
    <w:pPr>
      <w:spacing w:line="240" w:lineRule="auto"/>
      <w:ind w:left="0" w:firstLine="0"/>
      <w:jc w:val="center"/>
    </w:pPr>
    <w:rPr>
      <w:sz w:val="21"/>
    </w:rPr>
  </w:style>
  <w:style w:type="paragraph" w:customStyle="1" w:styleId="34">
    <w:name w:val="Body Text First Indent1"/>
    <w:basedOn w:val="4"/>
    <w:autoRedefine/>
    <w:qFormat/>
    <w:uiPriority w:val="0"/>
    <w:pPr>
      <w:tabs>
        <w:tab w:val="left" w:pos="3380"/>
      </w:tabs>
      <w:ind w:firstLine="420" w:firstLineChars="100"/>
    </w:pPr>
    <w:rPr>
      <w:rFonts w:ascii="Times New Roman" w:hAnsi="Times New Roman" w:eastAsia="宋体" w:cs="Times New Roman"/>
    </w:rPr>
  </w:style>
  <w:style w:type="character" w:customStyle="1" w:styleId="35">
    <w:name w:val="font31"/>
    <w:basedOn w:val="17"/>
    <w:autoRedefine/>
    <w:qFormat/>
    <w:uiPriority w:val="0"/>
    <w:rPr>
      <w:rFonts w:hint="eastAsia" w:ascii="宋体" w:hAnsi="宋体" w:eastAsia="宋体" w:cs="宋体"/>
      <w:color w:val="0D0D0D"/>
      <w:sz w:val="22"/>
      <w:szCs w:val="22"/>
      <w:u w:val="none"/>
    </w:rPr>
  </w:style>
  <w:style w:type="character" w:customStyle="1" w:styleId="36">
    <w:name w:val="font61"/>
    <w:basedOn w:val="17"/>
    <w:autoRedefine/>
    <w:qFormat/>
    <w:uiPriority w:val="0"/>
    <w:rPr>
      <w:rFonts w:ascii="黑体" w:hAnsi="宋体" w:eastAsia="黑体" w:cs="黑体"/>
      <w:color w:val="000000"/>
      <w:sz w:val="24"/>
      <w:szCs w:val="24"/>
      <w:u w:val="none"/>
    </w:rPr>
  </w:style>
  <w:style w:type="character" w:customStyle="1" w:styleId="37">
    <w:name w:val="font111"/>
    <w:basedOn w:val="17"/>
    <w:autoRedefine/>
    <w:qFormat/>
    <w:uiPriority w:val="0"/>
    <w:rPr>
      <w:rFonts w:ascii="方正小标宋简体" w:hAnsi="方正小标宋简体" w:eastAsia="方正小标宋简体" w:cs="方正小标宋简体"/>
      <w:color w:val="000000"/>
      <w:sz w:val="48"/>
      <w:szCs w:val="48"/>
      <w:u w:val="none"/>
    </w:rPr>
  </w:style>
  <w:style w:type="character" w:customStyle="1" w:styleId="38">
    <w:name w:val="font71"/>
    <w:basedOn w:val="17"/>
    <w:autoRedefine/>
    <w:qFormat/>
    <w:uiPriority w:val="0"/>
    <w:rPr>
      <w:rFonts w:hint="default" w:ascii="Times New Roman" w:hAnsi="Times New Roman" w:cs="Times New Roman"/>
      <w:color w:val="000000"/>
      <w:sz w:val="48"/>
      <w:szCs w:val="48"/>
      <w:u w:val="none"/>
    </w:rPr>
  </w:style>
  <w:style w:type="character" w:customStyle="1" w:styleId="39">
    <w:name w:val="font122"/>
    <w:basedOn w:val="17"/>
    <w:autoRedefine/>
    <w:qFormat/>
    <w:uiPriority w:val="0"/>
    <w:rPr>
      <w:rFonts w:hint="eastAsia" w:ascii="黑体" w:hAnsi="宋体" w:eastAsia="黑体" w:cs="黑体"/>
      <w:color w:val="000000"/>
      <w:sz w:val="20"/>
      <w:szCs w:val="20"/>
      <w:u w:val="none"/>
    </w:rPr>
  </w:style>
  <w:style w:type="character" w:customStyle="1" w:styleId="40">
    <w:name w:val="font131"/>
    <w:basedOn w:val="17"/>
    <w:autoRedefine/>
    <w:qFormat/>
    <w:uiPriority w:val="0"/>
    <w:rPr>
      <w:rFonts w:hint="eastAsia" w:ascii="黑体" w:hAnsi="宋体" w:eastAsia="黑体" w:cs="黑体"/>
      <w:color w:val="000000"/>
      <w:sz w:val="20"/>
      <w:szCs w:val="20"/>
      <w:u w:val="none"/>
    </w:rPr>
  </w:style>
  <w:style w:type="character" w:customStyle="1" w:styleId="41">
    <w:name w:val="font81"/>
    <w:basedOn w:val="17"/>
    <w:autoRedefine/>
    <w:qFormat/>
    <w:uiPriority w:val="0"/>
    <w:rPr>
      <w:rFonts w:ascii="方正仿宋_GBK" w:hAnsi="方正仿宋_GBK" w:eastAsia="方正仿宋_GBK" w:cs="方正仿宋_GBK"/>
      <w:color w:val="000000"/>
      <w:sz w:val="20"/>
      <w:szCs w:val="20"/>
      <w:u w:val="none"/>
    </w:rPr>
  </w:style>
  <w:style w:type="character" w:customStyle="1" w:styleId="42">
    <w:name w:val="font141"/>
    <w:basedOn w:val="17"/>
    <w:autoRedefine/>
    <w:qFormat/>
    <w:uiPriority w:val="0"/>
    <w:rPr>
      <w:rFonts w:hint="default" w:ascii="Times New Roman" w:hAnsi="Times New Roman" w:cs="Times New Roman"/>
      <w:color w:val="000000"/>
      <w:sz w:val="20"/>
      <w:szCs w:val="20"/>
      <w:u w:val="none"/>
    </w:rPr>
  </w:style>
  <w:style w:type="character" w:customStyle="1" w:styleId="43">
    <w:name w:val="font101"/>
    <w:basedOn w:val="17"/>
    <w:autoRedefine/>
    <w:qFormat/>
    <w:uiPriority w:val="0"/>
    <w:rPr>
      <w:rFonts w:hint="eastAsia" w:ascii="方正仿宋_GBK" w:hAnsi="方正仿宋_GBK" w:eastAsia="方正仿宋_GBK" w:cs="方正仿宋_GBK"/>
      <w:color w:val="000000"/>
      <w:sz w:val="20"/>
      <w:szCs w:val="20"/>
      <w:u w:val="none"/>
    </w:rPr>
  </w:style>
  <w:style w:type="character" w:customStyle="1" w:styleId="44">
    <w:name w:val="font41"/>
    <w:basedOn w:val="17"/>
    <w:autoRedefine/>
    <w:qFormat/>
    <w:uiPriority w:val="0"/>
    <w:rPr>
      <w:rFonts w:hint="eastAsia" w:ascii="方正仿宋_GBK" w:hAnsi="方正仿宋_GBK" w:eastAsia="方正仿宋_GBK" w:cs="方正仿宋_GBK"/>
      <w:color w:val="000000"/>
      <w:sz w:val="20"/>
      <w:szCs w:val="20"/>
      <w:u w:val="none"/>
    </w:rPr>
  </w:style>
  <w:style w:type="character" w:customStyle="1" w:styleId="45">
    <w:name w:val="font151"/>
    <w:basedOn w:val="17"/>
    <w:autoRedefine/>
    <w:qFormat/>
    <w:uiPriority w:val="0"/>
    <w:rPr>
      <w:rFonts w:ascii="仿宋_GB2312" w:eastAsia="仿宋_GB2312" w:cs="仿宋_GB2312"/>
      <w:color w:val="000000"/>
      <w:sz w:val="24"/>
      <w:szCs w:val="24"/>
      <w:u w:val="none"/>
    </w:rPr>
  </w:style>
  <w:style w:type="character" w:customStyle="1" w:styleId="46">
    <w:name w:val="font21"/>
    <w:basedOn w:val="17"/>
    <w:autoRedefine/>
    <w:qFormat/>
    <w:uiPriority w:val="0"/>
    <w:rPr>
      <w:rFonts w:hint="default" w:ascii="Times New Roman" w:hAnsi="Times New Roman" w:cs="Times New Roman"/>
      <w:color w:val="000000"/>
      <w:sz w:val="24"/>
      <w:szCs w:val="24"/>
      <w:u w:val="none"/>
    </w:rPr>
  </w:style>
  <w:style w:type="paragraph" w:customStyle="1" w:styleId="47">
    <w:name w:val="普通(网站)1"/>
    <w:basedOn w:val="1"/>
    <w:autoRedefine/>
    <w:qFormat/>
    <w:uiPriority w:val="0"/>
    <w:pPr>
      <w:spacing w:before="100" w:beforeAutospacing="1" w:after="100" w:afterAutospacing="1"/>
      <w:ind w:left="0" w:right="0"/>
      <w:jc w:val="left"/>
    </w:pPr>
    <w:rPr>
      <w:kern w:val="0"/>
      <w:sz w:val="24"/>
      <w:lang w:val="en-US" w:eastAsia="zh-CN" w:bidi="ar"/>
    </w:rPr>
  </w:style>
  <w:style w:type="character" w:customStyle="1" w:styleId="48">
    <w:name w:val="Subtle Reference"/>
    <w:basedOn w:val="17"/>
    <w:autoRedefine/>
    <w:qFormat/>
    <w:uiPriority w:val="31"/>
    <w:rPr>
      <w:smallCaps/>
      <w:color w:val="C0504D"/>
      <w:u w:val="single"/>
    </w:rPr>
  </w:style>
  <w:style w:type="paragraph" w:customStyle="1" w:styleId="49">
    <w:name w:val="Default"/>
    <w:autoRedefine/>
    <w:qFormat/>
    <w:uiPriority w:val="99"/>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50">
    <w:name w:val="p0"/>
    <w:basedOn w:val="1"/>
    <w:qFormat/>
    <w:uiPriority w:val="0"/>
    <w:pPr>
      <w:widowControl/>
      <w:autoSpaceDE/>
      <w:autoSpaceDN/>
      <w:snapToGrid/>
    </w:pPr>
    <w:rPr>
      <w:rFonts w:eastAsia="宋体"/>
      <w:snapToGrid/>
      <w:szCs w:val="32"/>
    </w:rPr>
  </w:style>
  <w:style w:type="paragraph" w:styleId="51">
    <w:name w:val="No Spacing"/>
    <w:qFormat/>
    <w:uiPriority w:val="0"/>
    <w:pPr>
      <w:widowControl w:val="0"/>
      <w:jc w:val="center"/>
    </w:pPr>
    <w:rPr>
      <w:rFonts w:ascii="Times New Roman" w:hAnsi="Times New Roman" w:eastAsia="仿宋_GB2312" w:cs="Times New Roman"/>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2.png"/><Relationship Id="rId22" Type="http://schemas.openxmlformats.org/officeDocument/2006/relationships/image" Target="media/image1.emf"/><Relationship Id="rId21" Type="http://schemas.openxmlformats.org/officeDocument/2006/relationships/oleObject" Target="embeddings/oleObject1.bin"/><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wyk</Company>
  <Pages>44</Pages>
  <Words>40124</Words>
  <Characters>41832</Characters>
  <Lines>1</Lines>
  <Paragraphs>1</Paragraphs>
  <TotalTime>15</TotalTime>
  <ScaleCrop>false</ScaleCrop>
  <LinksUpToDate>false</LinksUpToDate>
  <CharactersWithSpaces>42249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2016-10-19T08:58:00Z</dcterms:created>
  <dc:creator>黄进</dc:creator>
  <cp:lastModifiedBy>寻找幸福的丫头</cp:lastModifiedBy>
  <cp:lastPrinted>2024-09-04T07:43:00Z</cp:lastPrinted>
  <dcterms:modified xsi:type="dcterms:W3CDTF">2024-09-18T08:49:40Z</dcterms:modified>
  <dc:title>省政府办公厅关于“十二五”节能目标责任考核结果的通报(苏政办发〔2016〕112号)</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62A91C575D2842E386A0C2D36BD04786_13</vt:lpwstr>
  </property>
</Properties>
</file>