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46C5AA">
      <w:pPr>
        <w:pStyle w:val="34"/>
        <w:overflowPunct w:val="0"/>
        <w:autoSpaceDE w:val="0"/>
        <w:autoSpaceDN w:val="0"/>
        <w:adjustRightInd/>
        <w:snapToGrid/>
        <w:spacing w:beforeLines="280" w:afterLines="80" w:line="240" w:lineRule="auto"/>
        <w:ind w:firstLineChars="0"/>
        <w:rPr>
          <w:rFonts w:cs="Times New Roman"/>
          <w:b/>
          <w:snapToGrid w:val="0"/>
          <w:color w:val="FF0000"/>
          <w:w w:val="50"/>
          <w:kern w:val="0"/>
          <w:sz w:val="104"/>
          <w:szCs w:val="104"/>
        </w:rPr>
      </w:pPr>
      <w:r>
        <w:rPr>
          <w:rFonts w:hint="eastAsia" w:cs="Times New Roman"/>
          <w:b/>
          <w:snapToGrid w:val="0"/>
          <w:color w:val="FF0000"/>
          <w:w w:val="50"/>
          <w:kern w:val="0"/>
          <w:sz w:val="104"/>
          <w:szCs w:val="104"/>
          <w:lang w:val="en-US" w:eastAsia="zh-CN"/>
        </w:rPr>
        <w:t xml:space="preserve"> </w:t>
      </w:r>
    </w:p>
    <w:p w14:paraId="62349DF2">
      <w:pPr>
        <w:pStyle w:val="34"/>
        <w:overflowPunct w:val="0"/>
        <w:autoSpaceDE w:val="0"/>
        <w:autoSpaceDN w:val="0"/>
        <w:adjustRightInd/>
        <w:snapToGrid/>
        <w:spacing w:line="560" w:lineRule="exact"/>
        <w:ind w:firstLineChars="0"/>
        <w:rPr>
          <w:rFonts w:eastAsia="方正仿宋_GBK" w:cs="Times New Roman"/>
          <w:snapToGrid w:val="0"/>
          <w:kern w:val="0"/>
          <w:sz w:val="32"/>
          <w:szCs w:val="32"/>
        </w:rPr>
      </w:pPr>
      <w:r>
        <w:rPr>
          <w:rFonts w:eastAsia="方正仿宋_GBK" w:cs="Times New Roman"/>
          <w:snapToGrid w:val="0"/>
          <w:kern w:val="0"/>
          <w:sz w:val="32"/>
          <w:szCs w:val="32"/>
        </w:rPr>
        <w:t>连区政办发〔2023〕</w:t>
      </w:r>
      <w:r>
        <w:rPr>
          <w:rFonts w:hint="eastAsia" w:eastAsia="方正仿宋_GBK" w:cs="Times New Roman"/>
          <w:snapToGrid w:val="0"/>
          <w:kern w:val="0"/>
          <w:sz w:val="32"/>
          <w:szCs w:val="32"/>
        </w:rPr>
        <w:t>72</w:t>
      </w:r>
      <w:r>
        <w:rPr>
          <w:rFonts w:eastAsia="方正仿宋_GBK" w:cs="Times New Roman"/>
          <w:snapToGrid w:val="0"/>
          <w:kern w:val="0"/>
          <w:sz w:val="32"/>
          <w:szCs w:val="32"/>
        </w:rPr>
        <w:t>号</w:t>
      </w:r>
    </w:p>
    <w:p w14:paraId="774F84C7">
      <w:pPr>
        <w:autoSpaceDE w:val="0"/>
        <w:autoSpaceDN w:val="0"/>
        <w:adjustRightInd/>
        <w:spacing w:line="380" w:lineRule="exact"/>
        <w:ind w:firstLine="0" w:firstLineChars="0"/>
        <w:rPr>
          <w:rFonts w:eastAsia="方正仿宋_GBK" w:cs="Times New Roman"/>
          <w:snapToGrid w:val="0"/>
          <w:kern w:val="0"/>
          <w:szCs w:val="20"/>
        </w:rPr>
      </w:pPr>
      <w:bookmarkStart w:id="0" w:name="_988455526"/>
      <w:bookmarkEnd w:id="0"/>
      <w:bookmarkStart w:id="1" w:name="_1402823391"/>
      <w:bookmarkEnd w:id="1"/>
      <w:bookmarkStart w:id="2" w:name="_988455673"/>
      <w:bookmarkEnd w:id="2"/>
      <w:bookmarkStart w:id="3" w:name="_1597686543"/>
      <w:bookmarkEnd w:id="3"/>
      <w:bookmarkStart w:id="4" w:name="_1597686304"/>
      <w:bookmarkEnd w:id="4"/>
      <w:bookmarkStart w:id="5" w:name="_1597686662"/>
      <w:bookmarkEnd w:id="5"/>
      <w:bookmarkStart w:id="6" w:name="_1597687161"/>
      <w:bookmarkEnd w:id="6"/>
      <w:bookmarkStart w:id="7" w:name="_1597687441"/>
      <w:bookmarkEnd w:id="7"/>
      <w:bookmarkStart w:id="8" w:name="_1541610516"/>
      <w:bookmarkEnd w:id="8"/>
      <w:bookmarkStart w:id="9" w:name="_988455645"/>
      <w:bookmarkEnd w:id="9"/>
      <w:bookmarkStart w:id="10" w:name="_1402823385"/>
      <w:bookmarkEnd w:id="10"/>
      <w:bookmarkStart w:id="11" w:name="_988455599"/>
      <w:bookmarkEnd w:id="11"/>
      <w:bookmarkStart w:id="12" w:name="_1082439055"/>
      <w:bookmarkEnd w:id="12"/>
      <w:bookmarkStart w:id="13" w:name="_988455233"/>
      <w:bookmarkEnd w:id="13"/>
      <w:bookmarkStart w:id="14" w:name="_988455212"/>
      <w:bookmarkEnd w:id="14"/>
      <w:bookmarkStart w:id="15" w:name="_1085810014"/>
      <w:bookmarkEnd w:id="15"/>
      <w:bookmarkStart w:id="16" w:name="_988455626"/>
      <w:bookmarkEnd w:id="16"/>
      <w:bookmarkStart w:id="17" w:name="_988455157"/>
      <w:bookmarkEnd w:id="17"/>
      <w:bookmarkStart w:id="18" w:name="_1082439050"/>
      <w:bookmarkEnd w:id="18"/>
      <w:bookmarkStart w:id="19" w:name="_988455575"/>
      <w:bookmarkEnd w:id="19"/>
      <w:bookmarkStart w:id="20" w:name="_988456248"/>
      <w:bookmarkEnd w:id="20"/>
      <w:bookmarkStart w:id="21" w:name="_1085810142"/>
      <w:bookmarkEnd w:id="21"/>
    </w:p>
    <w:p w14:paraId="48A818AC">
      <w:pPr>
        <w:snapToGrid/>
        <w:spacing w:line="380" w:lineRule="exact"/>
        <w:ind w:firstLine="640"/>
      </w:pPr>
    </w:p>
    <w:p w14:paraId="7BFDE9D6">
      <w:pPr>
        <w:pStyle w:val="34"/>
        <w:overflowPunct w:val="0"/>
        <w:autoSpaceDE w:val="0"/>
        <w:autoSpaceDN w:val="0"/>
        <w:adjustRightInd/>
        <w:snapToGrid/>
        <w:spacing w:line="560" w:lineRule="exact"/>
        <w:ind w:firstLineChars="0"/>
        <w:rPr>
          <w:rFonts w:cs="Times New Roman"/>
          <w:snapToGrid w:val="0"/>
          <w:kern w:val="0"/>
          <w:szCs w:val="20"/>
        </w:rPr>
      </w:pPr>
      <w:r>
        <w:rPr>
          <w:rFonts w:cs="Times New Roman"/>
          <w:snapToGrid w:val="0"/>
          <w:kern w:val="0"/>
          <w:szCs w:val="20"/>
        </w:rPr>
        <w:t>区政府办公室</w:t>
      </w:r>
      <w:r>
        <w:rPr>
          <w:rFonts w:hint="eastAsia" w:cs="Times New Roman"/>
          <w:snapToGrid w:val="0"/>
          <w:kern w:val="0"/>
          <w:szCs w:val="20"/>
        </w:rPr>
        <w:t>关于印发</w:t>
      </w:r>
    </w:p>
    <w:p w14:paraId="47994D73">
      <w:pPr>
        <w:pStyle w:val="34"/>
        <w:overflowPunct w:val="0"/>
        <w:autoSpaceDE w:val="0"/>
        <w:autoSpaceDN w:val="0"/>
        <w:adjustRightInd/>
        <w:snapToGrid/>
        <w:spacing w:line="560" w:lineRule="exact"/>
        <w:ind w:firstLineChars="0"/>
        <w:rPr>
          <w:rFonts w:cs="Times New Roman"/>
          <w:snapToGrid w:val="0"/>
          <w:kern w:val="0"/>
          <w:szCs w:val="20"/>
        </w:rPr>
      </w:pPr>
      <w:r>
        <w:rPr>
          <w:rFonts w:hint="eastAsia" w:cs="Times New Roman"/>
          <w:snapToGrid w:val="0"/>
          <w:kern w:val="0"/>
          <w:szCs w:val="20"/>
        </w:rPr>
        <w:t>连云区“无废城市”建设实施方案（2022-2025）的通知</w:t>
      </w:r>
    </w:p>
    <w:p w14:paraId="09E41DB7">
      <w:pPr>
        <w:overflowPunct w:val="0"/>
        <w:autoSpaceDE w:val="0"/>
        <w:autoSpaceDN w:val="0"/>
        <w:adjustRightInd/>
        <w:snapToGrid/>
        <w:ind w:firstLine="0" w:firstLineChars="0"/>
        <w:rPr>
          <w:rFonts w:eastAsia="方正仿宋_GBK" w:cs="Times New Roman"/>
          <w:snapToGrid w:val="0"/>
          <w:kern w:val="0"/>
          <w:szCs w:val="20"/>
        </w:rPr>
      </w:pPr>
    </w:p>
    <w:p w14:paraId="3F7B1326">
      <w:pPr>
        <w:overflowPunct w:val="0"/>
        <w:autoSpaceDE w:val="0"/>
        <w:autoSpaceDN w:val="0"/>
        <w:adjustRightInd/>
        <w:snapToGrid/>
        <w:ind w:firstLine="0" w:firstLineChars="0"/>
        <w:rPr>
          <w:rFonts w:eastAsia="方正仿宋_GBK" w:cs="Times New Roman"/>
          <w:snapToGrid w:val="0"/>
          <w:kern w:val="0"/>
          <w:szCs w:val="20"/>
        </w:rPr>
      </w:pPr>
      <w:r>
        <w:rPr>
          <w:rFonts w:hint="eastAsia" w:eastAsia="方正仿宋_GBK" w:cs="Times New Roman"/>
          <w:snapToGrid w:val="0"/>
          <w:kern w:val="0"/>
          <w:szCs w:val="20"/>
        </w:rPr>
        <w:t>各街道办事处、前三岛乡人民政府，各功能板块，区各委办局，区各直属单位：</w:t>
      </w:r>
    </w:p>
    <w:p w14:paraId="21F42FE1">
      <w:pPr>
        <w:overflowPunct w:val="0"/>
        <w:autoSpaceDE w:val="0"/>
        <w:autoSpaceDN w:val="0"/>
        <w:adjustRightInd/>
        <w:snapToGrid/>
        <w:ind w:firstLine="640"/>
        <w:rPr>
          <w:rFonts w:eastAsia="方正仿宋_GBK" w:cs="Times New Roman"/>
          <w:snapToGrid w:val="0"/>
          <w:kern w:val="0"/>
          <w:szCs w:val="20"/>
        </w:rPr>
      </w:pPr>
      <w:r>
        <w:rPr>
          <w:rFonts w:hint="eastAsia" w:eastAsia="方正仿宋_GBK" w:cs="Times New Roman"/>
          <w:snapToGrid w:val="0"/>
          <w:kern w:val="0"/>
          <w:szCs w:val="20"/>
        </w:rPr>
        <w:t>现将《连云区“无废城市”建设实施方案（2022-2025）》印发给你们，请认真组织实施。</w:t>
      </w:r>
    </w:p>
    <w:p w14:paraId="6252FE6B">
      <w:pPr>
        <w:pStyle w:val="35"/>
        <w:tabs>
          <w:tab w:val="left" w:pos="1442"/>
        </w:tabs>
        <w:overflowPunct w:val="0"/>
        <w:snapToGrid/>
        <w:ind w:firstLine="624"/>
        <w:rPr>
          <w:spacing w:val="-4"/>
        </w:rPr>
      </w:pPr>
    </w:p>
    <w:p w14:paraId="73C30F4C">
      <w:pPr>
        <w:pStyle w:val="35"/>
        <w:tabs>
          <w:tab w:val="left" w:pos="1442"/>
        </w:tabs>
        <w:overflowPunct w:val="0"/>
        <w:snapToGrid/>
        <w:ind w:firstLine="624"/>
        <w:rPr>
          <w:spacing w:val="-4"/>
        </w:rPr>
      </w:pPr>
    </w:p>
    <w:p w14:paraId="7A0A4E6F">
      <w:pPr>
        <w:pStyle w:val="35"/>
        <w:tabs>
          <w:tab w:val="left" w:pos="1442"/>
        </w:tabs>
        <w:overflowPunct w:val="0"/>
        <w:autoSpaceDE w:val="0"/>
        <w:autoSpaceDN w:val="0"/>
        <w:adjustRightInd/>
        <w:snapToGrid/>
        <w:ind w:firstLine="4280" w:firstLineChars="1372"/>
        <w:rPr>
          <w:rFonts w:eastAsia="方正仿宋_GBK" w:cs="Times New Roman"/>
          <w:snapToGrid w:val="0"/>
          <w:spacing w:val="-4"/>
          <w:kern w:val="0"/>
          <w:szCs w:val="20"/>
        </w:rPr>
      </w:pPr>
      <w:r>
        <w:rPr>
          <w:rFonts w:hint="eastAsia" w:eastAsia="方正仿宋_GBK" w:cs="Times New Roman"/>
          <w:snapToGrid w:val="0"/>
          <w:spacing w:val="-4"/>
          <w:kern w:val="0"/>
          <w:szCs w:val="20"/>
        </w:rPr>
        <w:t>连云港市连云区人民政府办公室</w:t>
      </w:r>
    </w:p>
    <w:p w14:paraId="12F6F078">
      <w:pPr>
        <w:wordWrap w:val="0"/>
        <w:overflowPunct w:val="0"/>
        <w:autoSpaceDE w:val="0"/>
        <w:autoSpaceDN w:val="0"/>
        <w:adjustRightInd/>
        <w:snapToGrid/>
        <w:ind w:right="1280" w:rightChars="400" w:firstLine="0" w:firstLineChars="0"/>
        <w:jc w:val="right"/>
        <w:rPr>
          <w:rFonts w:eastAsia="方正仿宋_GBK" w:cs="Times New Roman"/>
          <w:snapToGrid w:val="0"/>
          <w:kern w:val="0"/>
          <w:szCs w:val="20"/>
        </w:rPr>
      </w:pPr>
      <w:r>
        <w:rPr>
          <w:rFonts w:hint="eastAsia" w:eastAsia="方正仿宋_GBK" w:cs="Times New Roman"/>
          <w:snapToGrid w:val="0"/>
          <w:kern w:val="0"/>
          <w:szCs w:val="20"/>
        </w:rPr>
        <w:t>2023年10月18日</w:t>
      </w:r>
    </w:p>
    <w:p w14:paraId="7EDC77DA">
      <w:pPr>
        <w:ind w:firstLine="880"/>
        <w:jc w:val="center"/>
        <w:rPr>
          <w:rFonts w:eastAsia="方正小标宋_GBK"/>
          <w:sz w:val="44"/>
          <w:szCs w:val="44"/>
        </w:rPr>
      </w:pPr>
    </w:p>
    <w:p w14:paraId="1A798B63">
      <w:pPr>
        <w:ind w:firstLine="880"/>
        <w:jc w:val="center"/>
        <w:rPr>
          <w:rFonts w:eastAsia="方正小标宋_GBK"/>
          <w:sz w:val="44"/>
          <w:szCs w:val="44"/>
        </w:rPr>
      </w:pPr>
    </w:p>
    <w:p w14:paraId="0AC74645">
      <w:pPr>
        <w:ind w:firstLine="880"/>
        <w:rPr>
          <w:rFonts w:eastAsia="方正小标宋_GBK"/>
          <w:sz w:val="44"/>
          <w:szCs w:val="44"/>
        </w:rPr>
        <w:sectPr>
          <w:headerReference r:id="rId7" w:type="first"/>
          <w:footerReference r:id="rId10" w:type="first"/>
          <w:headerReference r:id="rId5" w:type="default"/>
          <w:footerReference r:id="rId8" w:type="default"/>
          <w:headerReference r:id="rId6" w:type="even"/>
          <w:footerReference r:id="rId9" w:type="even"/>
          <w:pgSz w:w="11906" w:h="16838"/>
          <w:pgMar w:top="1418" w:right="1531" w:bottom="1134" w:left="1531" w:header="1701" w:footer="1134" w:gutter="0"/>
          <w:pgNumType w:start="1"/>
          <w:cols w:space="720" w:num="1"/>
          <w:docGrid w:type="lines" w:linePitch="312" w:charSpace="0"/>
        </w:sectPr>
      </w:pPr>
    </w:p>
    <w:p w14:paraId="16A2F82B">
      <w:pPr>
        <w:pStyle w:val="2"/>
        <w:ind w:firstLine="420"/>
      </w:pPr>
    </w:p>
    <w:p w14:paraId="43DC18E4">
      <w:pPr>
        <w:overflowPunct w:val="0"/>
        <w:snapToGrid/>
        <w:ind w:firstLine="640"/>
      </w:pPr>
    </w:p>
    <w:tbl>
      <w:tblPr>
        <w:tblStyle w:val="20"/>
        <w:tblpPr w:leftFromText="454" w:rightFromText="454" w:horzAnchor="margin" w:tblpXSpec="center" w:tblpYSpec="bottom"/>
        <w:tblOverlap w:val="never"/>
        <w:tblW w:w="0" w:type="auto"/>
        <w:tblInd w:w="0" w:type="dxa"/>
        <w:tblBorders>
          <w:top w:val="single" w:color="auto" w:sz="8" w:space="0"/>
          <w:left w:val="none" w:color="auto" w:sz="0" w:space="0"/>
          <w:bottom w:val="single" w:color="auto" w:sz="8"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284"/>
        <w:gridCol w:w="8278"/>
        <w:gridCol w:w="284"/>
      </w:tblGrid>
      <w:tr w14:paraId="45774788">
        <w:tblPrEx>
          <w:tblBorders>
            <w:top w:val="single" w:color="auto" w:sz="8" w:space="0"/>
            <w:left w:val="none" w:color="auto" w:sz="0" w:space="0"/>
            <w:bottom w:val="single" w:color="auto" w:sz="8"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39" w:hRule="exact"/>
        </w:trPr>
        <w:tc>
          <w:tcPr>
            <w:tcW w:w="284" w:type="dxa"/>
            <w:noWrap/>
          </w:tcPr>
          <w:p w14:paraId="258AF89D">
            <w:pPr>
              <w:autoSpaceDE w:val="0"/>
              <w:autoSpaceDN w:val="0"/>
              <w:spacing w:beforeLines="10" w:afterLines="10" w:line="288" w:lineRule="auto"/>
              <w:ind w:firstLine="0" w:firstLineChars="0"/>
              <w:rPr>
                <w:rFonts w:eastAsia="方正仿宋_GBK" w:cs="Times New Roman"/>
                <w:snapToGrid w:val="0"/>
                <w:kern w:val="0"/>
                <w:sz w:val="28"/>
                <w:szCs w:val="28"/>
              </w:rPr>
            </w:pPr>
          </w:p>
        </w:tc>
        <w:tc>
          <w:tcPr>
            <w:tcW w:w="8278" w:type="dxa"/>
            <w:noWrap/>
            <w:vAlign w:val="center"/>
          </w:tcPr>
          <w:p w14:paraId="645123D8">
            <w:pPr>
              <w:autoSpaceDE w:val="0"/>
              <w:autoSpaceDN w:val="0"/>
              <w:spacing w:beforeLines="10" w:afterLines="10" w:line="288" w:lineRule="auto"/>
              <w:ind w:firstLine="0" w:firstLineChars="0"/>
              <w:rPr>
                <w:rFonts w:eastAsia="方正仿宋_GBK" w:cs="Times New Roman"/>
                <w:snapToGrid w:val="0"/>
                <w:kern w:val="0"/>
                <w:sz w:val="28"/>
                <w:szCs w:val="28"/>
              </w:rPr>
            </w:pPr>
            <w:r>
              <w:rPr>
                <w:rFonts w:hint="eastAsia" w:eastAsia="方正仿宋_GBK" w:cs="Times New Roman"/>
                <w:snapToGrid w:val="0"/>
                <w:kern w:val="0"/>
                <w:sz w:val="28"/>
                <w:szCs w:val="28"/>
              </w:rPr>
              <w:t>连云港市连云区人民政府办公室            2023年10月18日印发</w:t>
            </w:r>
          </w:p>
        </w:tc>
        <w:tc>
          <w:tcPr>
            <w:tcW w:w="284" w:type="dxa"/>
            <w:noWrap/>
          </w:tcPr>
          <w:p w14:paraId="6E9C4D0F">
            <w:pPr>
              <w:autoSpaceDE w:val="0"/>
              <w:autoSpaceDN w:val="0"/>
              <w:spacing w:beforeLines="10" w:afterLines="10" w:line="288" w:lineRule="auto"/>
              <w:ind w:firstLine="0" w:firstLineChars="0"/>
              <w:rPr>
                <w:rFonts w:eastAsia="方正仿宋_GBK" w:cs="Times New Roman"/>
                <w:snapToGrid w:val="0"/>
                <w:kern w:val="0"/>
                <w:sz w:val="28"/>
                <w:szCs w:val="28"/>
              </w:rPr>
            </w:pPr>
          </w:p>
        </w:tc>
      </w:tr>
    </w:tbl>
    <w:p w14:paraId="6BB5FC47">
      <w:pPr>
        <w:overflowPunct w:val="0"/>
        <w:snapToGrid/>
        <w:ind w:firstLine="640"/>
      </w:pPr>
    </w:p>
    <w:p w14:paraId="3D03F9F3">
      <w:pPr>
        <w:ind w:firstLine="880"/>
        <w:rPr>
          <w:rFonts w:ascii="宋体" w:hAnsi="宋体" w:eastAsia="宋体"/>
          <w:sz w:val="44"/>
          <w:szCs w:val="44"/>
        </w:rPr>
      </w:pPr>
    </w:p>
    <w:p w14:paraId="4B2832A6">
      <w:pPr>
        <w:pStyle w:val="2"/>
        <w:ind w:firstLine="880"/>
        <w:rPr>
          <w:rFonts w:ascii="宋体" w:hAnsi="宋体"/>
          <w:sz w:val="44"/>
          <w:szCs w:val="44"/>
        </w:rPr>
      </w:pPr>
    </w:p>
    <w:p w14:paraId="6F2C0622">
      <w:pPr>
        <w:ind w:firstLine="880"/>
        <w:rPr>
          <w:rFonts w:ascii="宋体" w:hAnsi="宋体" w:eastAsia="宋体"/>
          <w:sz w:val="44"/>
          <w:szCs w:val="44"/>
        </w:rPr>
      </w:pPr>
    </w:p>
    <w:p w14:paraId="528FCB77">
      <w:pPr>
        <w:pStyle w:val="2"/>
        <w:ind w:firstLine="880"/>
        <w:rPr>
          <w:rFonts w:ascii="宋体" w:hAnsi="宋体"/>
          <w:sz w:val="44"/>
          <w:szCs w:val="44"/>
        </w:rPr>
      </w:pPr>
    </w:p>
    <w:p w14:paraId="25E8D25E">
      <w:pPr>
        <w:ind w:firstLine="880"/>
        <w:rPr>
          <w:rFonts w:ascii="宋体" w:hAnsi="宋体" w:eastAsia="宋体"/>
          <w:sz w:val="44"/>
          <w:szCs w:val="44"/>
        </w:rPr>
      </w:pPr>
    </w:p>
    <w:p w14:paraId="2109E10F">
      <w:pPr>
        <w:pStyle w:val="2"/>
        <w:ind w:firstLine="880"/>
        <w:rPr>
          <w:rFonts w:ascii="宋体" w:hAnsi="宋体"/>
          <w:sz w:val="44"/>
          <w:szCs w:val="44"/>
        </w:rPr>
      </w:pPr>
    </w:p>
    <w:p w14:paraId="395EB62F">
      <w:pPr>
        <w:ind w:firstLine="880"/>
        <w:rPr>
          <w:rFonts w:ascii="宋体" w:hAnsi="宋体" w:eastAsia="宋体"/>
          <w:sz w:val="44"/>
          <w:szCs w:val="44"/>
        </w:rPr>
      </w:pPr>
    </w:p>
    <w:p w14:paraId="793742AF">
      <w:pPr>
        <w:pStyle w:val="2"/>
        <w:ind w:firstLine="880"/>
        <w:rPr>
          <w:rFonts w:ascii="宋体" w:hAnsi="宋体"/>
          <w:sz w:val="44"/>
          <w:szCs w:val="44"/>
        </w:rPr>
      </w:pPr>
    </w:p>
    <w:p w14:paraId="450B3E34">
      <w:pPr>
        <w:ind w:firstLine="880"/>
        <w:rPr>
          <w:rFonts w:ascii="宋体" w:hAnsi="宋体" w:eastAsia="宋体"/>
          <w:sz w:val="44"/>
          <w:szCs w:val="44"/>
        </w:rPr>
      </w:pPr>
    </w:p>
    <w:p w14:paraId="042F4D04">
      <w:pPr>
        <w:pStyle w:val="2"/>
        <w:ind w:firstLine="880"/>
        <w:rPr>
          <w:rFonts w:ascii="宋体" w:hAnsi="宋体"/>
          <w:sz w:val="44"/>
          <w:szCs w:val="44"/>
        </w:rPr>
      </w:pPr>
    </w:p>
    <w:p w14:paraId="5713E965">
      <w:pPr>
        <w:ind w:firstLine="880"/>
        <w:rPr>
          <w:rFonts w:ascii="宋体" w:hAnsi="宋体" w:eastAsia="宋体"/>
          <w:sz w:val="44"/>
          <w:szCs w:val="44"/>
        </w:rPr>
      </w:pPr>
    </w:p>
    <w:p w14:paraId="1278CBB9">
      <w:pPr>
        <w:pStyle w:val="2"/>
        <w:ind w:firstLine="880"/>
        <w:rPr>
          <w:rFonts w:ascii="宋体" w:hAnsi="宋体"/>
          <w:sz w:val="44"/>
          <w:szCs w:val="44"/>
        </w:rPr>
      </w:pPr>
    </w:p>
    <w:p w14:paraId="53EF5C64">
      <w:pPr>
        <w:ind w:firstLine="880"/>
        <w:rPr>
          <w:rFonts w:ascii="宋体" w:hAnsi="宋体" w:eastAsia="宋体"/>
          <w:sz w:val="44"/>
          <w:szCs w:val="44"/>
        </w:rPr>
      </w:pPr>
    </w:p>
    <w:p w14:paraId="2BF61C9C">
      <w:pPr>
        <w:pStyle w:val="2"/>
        <w:ind w:firstLine="420"/>
      </w:pPr>
    </w:p>
    <w:p w14:paraId="25D24F8A">
      <w:pPr>
        <w:pStyle w:val="19"/>
        <w:ind w:left="640" w:firstLine="640"/>
      </w:pPr>
    </w:p>
    <w:p w14:paraId="16F39695">
      <w:pPr>
        <w:pStyle w:val="19"/>
        <w:ind w:left="0" w:leftChars="0" w:firstLine="0" w:firstLineChars="0"/>
        <w:jc w:val="center"/>
        <w:rPr>
          <w:rFonts w:ascii="宋体" w:hAnsi="宋体" w:eastAsia="宋体" w:cs="宋体"/>
          <w:b/>
          <w:bCs/>
          <w:sz w:val="36"/>
          <w:szCs w:val="36"/>
        </w:rPr>
      </w:pPr>
    </w:p>
    <w:p w14:paraId="4781755B">
      <w:pPr>
        <w:pStyle w:val="19"/>
        <w:ind w:left="0" w:leftChars="0" w:firstLine="0" w:firstLineChars="0"/>
        <w:jc w:val="center"/>
        <w:rPr>
          <w:rFonts w:ascii="宋体" w:hAnsi="宋体" w:eastAsia="宋体" w:cs="宋体"/>
          <w:b/>
          <w:bCs/>
          <w:sz w:val="36"/>
          <w:szCs w:val="36"/>
        </w:rPr>
      </w:pPr>
    </w:p>
    <w:p w14:paraId="1D8E6072">
      <w:pPr>
        <w:pStyle w:val="19"/>
        <w:ind w:left="0" w:leftChars="0" w:firstLine="0" w:firstLineChars="0"/>
        <w:jc w:val="center"/>
        <w:rPr>
          <w:rFonts w:ascii="宋体" w:hAnsi="宋体" w:eastAsia="宋体" w:cs="宋体"/>
          <w:b/>
          <w:bCs/>
          <w:sz w:val="36"/>
          <w:szCs w:val="36"/>
        </w:rPr>
      </w:pPr>
    </w:p>
    <w:p w14:paraId="3E1EA41A">
      <w:pPr>
        <w:spacing w:line="240" w:lineRule="auto"/>
        <w:ind w:firstLine="0" w:firstLineChars="0"/>
        <w:jc w:val="center"/>
        <w:rPr>
          <w:rFonts w:ascii="宋体" w:hAnsi="宋体" w:eastAsia="宋体"/>
          <w:sz w:val="44"/>
          <w:szCs w:val="44"/>
        </w:rPr>
      </w:pPr>
    </w:p>
    <w:p w14:paraId="6F34B9CE">
      <w:pPr>
        <w:pStyle w:val="19"/>
        <w:ind w:left="0" w:leftChars="0" w:firstLine="0" w:firstLineChars="0"/>
        <w:jc w:val="center"/>
        <w:rPr>
          <w:rFonts w:ascii="宋体" w:hAnsi="宋体" w:eastAsia="宋体" w:cs="宋体"/>
          <w:b/>
          <w:bCs/>
          <w:sz w:val="36"/>
          <w:szCs w:val="36"/>
        </w:rPr>
      </w:pPr>
    </w:p>
    <w:p w14:paraId="31E27546">
      <w:pPr>
        <w:pStyle w:val="19"/>
        <w:ind w:left="0" w:leftChars="0" w:firstLine="0" w:firstLineChars="0"/>
        <w:jc w:val="center"/>
        <w:rPr>
          <w:rFonts w:ascii="宋体" w:hAnsi="宋体" w:eastAsia="宋体" w:cs="宋体"/>
          <w:b/>
          <w:bCs/>
          <w:sz w:val="36"/>
          <w:szCs w:val="36"/>
        </w:rPr>
      </w:pPr>
    </w:p>
    <w:p w14:paraId="51B373C3">
      <w:pPr>
        <w:pStyle w:val="19"/>
        <w:ind w:left="0" w:leftChars="0" w:firstLine="0" w:firstLineChars="0"/>
        <w:jc w:val="center"/>
        <w:rPr>
          <w:rFonts w:ascii="宋体" w:hAnsi="宋体" w:eastAsia="宋体" w:cs="宋体"/>
          <w:b/>
          <w:bCs/>
          <w:sz w:val="36"/>
          <w:szCs w:val="36"/>
        </w:rPr>
      </w:pPr>
    </w:p>
    <w:p w14:paraId="730C5588">
      <w:pPr>
        <w:pStyle w:val="19"/>
        <w:ind w:left="0" w:leftChars="0" w:firstLine="0" w:firstLineChars="0"/>
        <w:jc w:val="center"/>
        <w:rPr>
          <w:rFonts w:ascii="宋体" w:hAnsi="宋体" w:eastAsia="宋体" w:cs="宋体"/>
          <w:b/>
          <w:bCs/>
          <w:sz w:val="36"/>
          <w:szCs w:val="36"/>
        </w:rPr>
      </w:pPr>
    </w:p>
    <w:p w14:paraId="4D89D693">
      <w:pPr>
        <w:pStyle w:val="19"/>
        <w:ind w:left="0" w:leftChars="0" w:firstLine="0" w:firstLineChars="0"/>
        <w:jc w:val="center"/>
        <w:rPr>
          <w:rFonts w:ascii="宋体" w:hAnsi="宋体" w:eastAsia="宋体" w:cs="宋体"/>
          <w:b/>
          <w:bCs/>
          <w:sz w:val="36"/>
          <w:szCs w:val="36"/>
        </w:rPr>
      </w:pPr>
    </w:p>
    <w:p w14:paraId="4CD0CB41">
      <w:pPr>
        <w:pStyle w:val="19"/>
        <w:ind w:left="0" w:leftChars="0" w:firstLine="0" w:firstLineChars="0"/>
        <w:jc w:val="center"/>
        <w:rPr>
          <w:rFonts w:ascii="宋体" w:hAnsi="宋体" w:eastAsia="宋体" w:cs="宋体"/>
          <w:b/>
          <w:bCs/>
          <w:sz w:val="48"/>
          <w:szCs w:val="48"/>
        </w:rPr>
      </w:pPr>
      <w:r>
        <w:rPr>
          <w:rFonts w:hint="eastAsia" w:ascii="宋体" w:hAnsi="宋体" w:eastAsia="宋体" w:cs="宋体"/>
          <w:b/>
          <w:bCs/>
          <w:sz w:val="48"/>
          <w:szCs w:val="48"/>
        </w:rPr>
        <w:t>连云区“无废城市”建设实施方案</w:t>
      </w:r>
    </w:p>
    <w:p w14:paraId="0F7C71D5">
      <w:pPr>
        <w:pStyle w:val="19"/>
        <w:ind w:left="0" w:leftChars="0" w:firstLine="0" w:firstLineChars="0"/>
        <w:jc w:val="center"/>
        <w:rPr>
          <w:rFonts w:ascii="宋体" w:hAnsi="宋体" w:eastAsia="宋体" w:cs="宋体"/>
          <w:b/>
          <w:bCs/>
          <w:sz w:val="40"/>
          <w:szCs w:val="40"/>
        </w:rPr>
      </w:pPr>
      <w:r>
        <w:rPr>
          <w:rFonts w:hint="eastAsia" w:ascii="宋体" w:hAnsi="宋体" w:eastAsia="宋体" w:cs="宋体"/>
          <w:b/>
          <w:bCs/>
          <w:sz w:val="40"/>
          <w:szCs w:val="40"/>
        </w:rPr>
        <w:t>（2022-2025）</w:t>
      </w:r>
    </w:p>
    <w:p w14:paraId="38D5A3EC">
      <w:pPr>
        <w:pStyle w:val="19"/>
        <w:ind w:left="0" w:leftChars="0" w:firstLine="0" w:firstLineChars="0"/>
        <w:jc w:val="center"/>
        <w:rPr>
          <w:rFonts w:ascii="宋体" w:hAnsi="宋体" w:eastAsia="宋体" w:cs="宋体"/>
          <w:sz w:val="36"/>
          <w:szCs w:val="36"/>
        </w:rPr>
      </w:pPr>
    </w:p>
    <w:p w14:paraId="615B55D3">
      <w:pPr>
        <w:pStyle w:val="19"/>
        <w:ind w:left="640" w:firstLine="0" w:firstLineChars="0"/>
        <w:rPr>
          <w:rFonts w:ascii="宋体" w:hAnsi="宋体" w:eastAsia="宋体"/>
          <w:sz w:val="44"/>
          <w:szCs w:val="44"/>
        </w:rPr>
      </w:pPr>
    </w:p>
    <w:p w14:paraId="2D42ED72">
      <w:pPr>
        <w:pStyle w:val="19"/>
        <w:ind w:left="640" w:firstLine="0" w:firstLineChars="0"/>
        <w:rPr>
          <w:rFonts w:ascii="宋体" w:hAnsi="宋体" w:eastAsia="宋体"/>
          <w:sz w:val="44"/>
          <w:szCs w:val="44"/>
        </w:rPr>
      </w:pPr>
    </w:p>
    <w:p w14:paraId="26432E0A">
      <w:pPr>
        <w:pStyle w:val="19"/>
        <w:ind w:left="640" w:firstLine="0" w:firstLineChars="0"/>
        <w:rPr>
          <w:rFonts w:ascii="宋体" w:hAnsi="宋体" w:eastAsia="宋体"/>
          <w:sz w:val="44"/>
          <w:szCs w:val="44"/>
        </w:rPr>
      </w:pPr>
    </w:p>
    <w:p w14:paraId="7FED5B51">
      <w:pPr>
        <w:pStyle w:val="19"/>
        <w:spacing w:line="240" w:lineRule="auto"/>
        <w:ind w:left="0" w:leftChars="0" w:firstLine="0" w:firstLineChars="0"/>
        <w:jc w:val="center"/>
        <w:rPr>
          <w:rFonts w:ascii="宋体" w:hAnsi="宋体" w:eastAsia="宋体"/>
          <w:sz w:val="36"/>
          <w:szCs w:val="36"/>
        </w:rPr>
      </w:pPr>
    </w:p>
    <w:p w14:paraId="167DC7A7">
      <w:pPr>
        <w:pStyle w:val="19"/>
        <w:spacing w:line="240" w:lineRule="auto"/>
        <w:ind w:left="0" w:leftChars="0" w:firstLine="0" w:firstLineChars="0"/>
        <w:jc w:val="center"/>
        <w:rPr>
          <w:rFonts w:ascii="宋体" w:hAnsi="宋体" w:eastAsia="宋体"/>
          <w:sz w:val="36"/>
          <w:szCs w:val="36"/>
        </w:rPr>
      </w:pPr>
    </w:p>
    <w:p w14:paraId="1E3D1F80">
      <w:pPr>
        <w:pStyle w:val="19"/>
        <w:spacing w:line="240" w:lineRule="auto"/>
        <w:ind w:left="0" w:leftChars="0" w:firstLine="0" w:firstLineChars="0"/>
        <w:jc w:val="center"/>
        <w:rPr>
          <w:rFonts w:ascii="宋体" w:hAnsi="宋体" w:eastAsia="宋体"/>
          <w:sz w:val="36"/>
          <w:szCs w:val="36"/>
        </w:rPr>
      </w:pPr>
    </w:p>
    <w:p w14:paraId="52E1BAF0">
      <w:pPr>
        <w:pStyle w:val="19"/>
        <w:spacing w:line="240" w:lineRule="auto"/>
        <w:ind w:left="0" w:leftChars="0" w:firstLine="0" w:firstLineChars="0"/>
        <w:jc w:val="center"/>
        <w:rPr>
          <w:rFonts w:ascii="宋体" w:hAnsi="宋体" w:eastAsia="宋体"/>
          <w:sz w:val="36"/>
          <w:szCs w:val="36"/>
        </w:rPr>
      </w:pPr>
    </w:p>
    <w:p w14:paraId="126D0CB2">
      <w:pPr>
        <w:pStyle w:val="19"/>
        <w:spacing w:line="240" w:lineRule="auto"/>
        <w:ind w:left="0" w:leftChars="0" w:firstLine="0" w:firstLineChars="0"/>
        <w:jc w:val="center"/>
        <w:rPr>
          <w:rFonts w:ascii="宋体" w:hAnsi="宋体" w:eastAsia="宋体"/>
          <w:sz w:val="36"/>
          <w:szCs w:val="36"/>
        </w:rPr>
      </w:pPr>
    </w:p>
    <w:p w14:paraId="6520C41A">
      <w:pPr>
        <w:pStyle w:val="19"/>
        <w:spacing w:line="240" w:lineRule="auto"/>
        <w:ind w:left="0" w:leftChars="0" w:firstLine="0" w:firstLineChars="0"/>
        <w:jc w:val="center"/>
        <w:rPr>
          <w:rFonts w:ascii="宋体" w:hAnsi="宋体" w:eastAsia="宋体"/>
          <w:b/>
          <w:bCs/>
          <w:sz w:val="36"/>
          <w:szCs w:val="36"/>
        </w:rPr>
      </w:pPr>
      <w:r>
        <w:rPr>
          <w:rFonts w:hint="eastAsia" w:ascii="宋体" w:hAnsi="宋体" w:eastAsia="宋体"/>
          <w:b/>
          <w:bCs/>
          <w:sz w:val="36"/>
          <w:szCs w:val="36"/>
        </w:rPr>
        <w:t>连云区人民政府</w:t>
      </w:r>
    </w:p>
    <w:p w14:paraId="2C8B96B4">
      <w:pPr>
        <w:pStyle w:val="19"/>
        <w:spacing w:line="240" w:lineRule="auto"/>
        <w:ind w:left="0" w:leftChars="0" w:firstLine="0" w:firstLineChars="0"/>
        <w:jc w:val="center"/>
        <w:rPr>
          <w:rFonts w:ascii="宋体" w:hAnsi="宋体" w:eastAsia="宋体"/>
          <w:b/>
          <w:bCs/>
          <w:sz w:val="44"/>
          <w:szCs w:val="44"/>
        </w:rPr>
      </w:pPr>
      <w:r>
        <w:rPr>
          <w:rFonts w:hint="eastAsia" w:ascii="宋体" w:hAnsi="宋体" w:eastAsia="宋体"/>
          <w:b/>
          <w:bCs/>
          <w:sz w:val="36"/>
          <w:szCs w:val="36"/>
        </w:rPr>
        <w:t>二〇二三年九月</w:t>
      </w:r>
    </w:p>
    <w:p w14:paraId="138EF5C7">
      <w:pPr>
        <w:pStyle w:val="19"/>
        <w:ind w:left="640" w:firstLine="880"/>
        <w:rPr>
          <w:rFonts w:ascii="宋体" w:hAnsi="宋体" w:eastAsia="宋体"/>
          <w:sz w:val="44"/>
          <w:szCs w:val="44"/>
        </w:rPr>
        <w:sectPr>
          <w:headerReference r:id="rId11" w:type="default"/>
          <w:pgSz w:w="11906" w:h="16838"/>
          <w:pgMar w:top="1440" w:right="1440" w:bottom="1440" w:left="1440" w:header="851" w:footer="992" w:gutter="0"/>
          <w:cols w:space="425" w:num="1"/>
          <w:docGrid w:type="lines" w:linePitch="312" w:charSpace="0"/>
        </w:sectPr>
      </w:pPr>
    </w:p>
    <w:sdt>
      <w:sdtPr>
        <w:rPr>
          <w:rFonts w:ascii="宋体" w:hAnsi="宋体" w:eastAsia="宋体"/>
          <w:sz w:val="44"/>
          <w:szCs w:val="44"/>
        </w:rPr>
        <w:id w:val="147479469"/>
        <w:docPartObj>
          <w:docPartGallery w:val="Table of Contents"/>
          <w:docPartUnique/>
        </w:docPartObj>
      </w:sdtPr>
      <w:sdtEndPr>
        <w:rPr>
          <w:rFonts w:ascii="宋体" w:hAnsi="宋体" w:eastAsia="宋体"/>
          <w:sz w:val="44"/>
          <w:szCs w:val="44"/>
        </w:rPr>
      </w:sdtEndPr>
      <w:sdtContent>
        <w:p w14:paraId="15A8106F">
          <w:pPr>
            <w:spacing w:line="240" w:lineRule="auto"/>
            <w:ind w:firstLine="0" w:firstLineChars="0"/>
            <w:jc w:val="center"/>
            <w:rPr>
              <w:rFonts w:ascii="宋体" w:hAnsi="宋体" w:eastAsia="宋体"/>
              <w:sz w:val="44"/>
              <w:szCs w:val="44"/>
            </w:rPr>
          </w:pPr>
          <w:r>
            <w:rPr>
              <w:rFonts w:ascii="宋体" w:hAnsi="宋体" w:eastAsia="宋体"/>
              <w:sz w:val="44"/>
              <w:szCs w:val="44"/>
            </w:rPr>
            <w:t>目录</w:t>
          </w:r>
        </w:p>
        <w:p w14:paraId="75BAE83C">
          <w:pPr>
            <w:spacing w:line="240" w:lineRule="auto"/>
            <w:ind w:firstLine="0" w:firstLineChars="0"/>
            <w:jc w:val="center"/>
            <w:rPr>
              <w:rFonts w:ascii="宋体" w:hAnsi="宋体" w:eastAsia="宋体"/>
              <w:sz w:val="21"/>
            </w:rPr>
          </w:pPr>
        </w:p>
        <w:p w14:paraId="0F369CEB">
          <w:pPr>
            <w:pStyle w:val="17"/>
            <w:tabs>
              <w:tab w:val="right" w:leader="dot" w:pos="9026"/>
            </w:tabs>
            <w:ind w:firstLine="640"/>
          </w:pPr>
          <w:r>
            <w:fldChar w:fldCharType="begin"/>
          </w:r>
          <w:r>
            <w:instrText xml:space="preserve">TOC \o "1-3" \h \u </w:instrText>
          </w:r>
          <w:r>
            <w:fldChar w:fldCharType="separate"/>
          </w:r>
          <w:r>
            <w:fldChar w:fldCharType="begin"/>
          </w:r>
          <w:r>
            <w:instrText xml:space="preserve"> HYPERLINK \l "_Toc8636" </w:instrText>
          </w:r>
          <w:r>
            <w:fldChar w:fldCharType="separate"/>
          </w:r>
          <w:r>
            <w:rPr>
              <w:rFonts w:hint="eastAsia"/>
            </w:rPr>
            <w:t>第一章 总则</w:t>
          </w:r>
          <w:r>
            <w:tab/>
          </w:r>
          <w:r>
            <w:fldChar w:fldCharType="begin"/>
          </w:r>
          <w:r>
            <w:instrText xml:space="preserve"> PAGEREF _Toc8636 \h </w:instrText>
          </w:r>
          <w:r>
            <w:fldChar w:fldCharType="separate"/>
          </w:r>
          <w:r>
            <w:t>1</w:t>
          </w:r>
          <w:r>
            <w:fldChar w:fldCharType="end"/>
          </w:r>
          <w:r>
            <w:fldChar w:fldCharType="end"/>
          </w:r>
        </w:p>
        <w:p w14:paraId="1478385E">
          <w:pPr>
            <w:pStyle w:val="18"/>
            <w:tabs>
              <w:tab w:val="right" w:leader="dot" w:pos="9026"/>
            </w:tabs>
            <w:ind w:left="640" w:firstLine="640"/>
          </w:pPr>
          <w:r>
            <w:fldChar w:fldCharType="begin"/>
          </w:r>
          <w:r>
            <w:instrText xml:space="preserve"> HYPERLINK \l "_Toc29188" </w:instrText>
          </w:r>
          <w:r>
            <w:fldChar w:fldCharType="separate"/>
          </w:r>
          <w:r>
            <w:rPr>
              <w:rFonts w:hint="eastAsia"/>
            </w:rPr>
            <w:t>1.1. 项目背景</w:t>
          </w:r>
          <w:r>
            <w:tab/>
          </w:r>
          <w:r>
            <w:fldChar w:fldCharType="begin"/>
          </w:r>
          <w:r>
            <w:instrText xml:space="preserve"> PAGEREF _Toc29188 \h </w:instrText>
          </w:r>
          <w:r>
            <w:fldChar w:fldCharType="separate"/>
          </w:r>
          <w:r>
            <w:t>1</w:t>
          </w:r>
          <w:r>
            <w:fldChar w:fldCharType="end"/>
          </w:r>
          <w:r>
            <w:fldChar w:fldCharType="end"/>
          </w:r>
        </w:p>
        <w:p w14:paraId="419BA9D0">
          <w:pPr>
            <w:pStyle w:val="18"/>
            <w:tabs>
              <w:tab w:val="right" w:leader="dot" w:pos="9026"/>
            </w:tabs>
            <w:ind w:left="640" w:firstLine="640"/>
          </w:pPr>
          <w:r>
            <w:fldChar w:fldCharType="begin"/>
          </w:r>
          <w:r>
            <w:instrText xml:space="preserve"> HYPERLINK \l "_Toc23639" </w:instrText>
          </w:r>
          <w:r>
            <w:fldChar w:fldCharType="separate"/>
          </w:r>
          <w:r>
            <w:rPr>
              <w:rFonts w:hint="eastAsia"/>
            </w:rPr>
            <w:t>1.2. 编制依据</w:t>
          </w:r>
          <w:r>
            <w:tab/>
          </w:r>
          <w:r>
            <w:fldChar w:fldCharType="begin"/>
          </w:r>
          <w:r>
            <w:instrText xml:space="preserve"> PAGEREF _Toc23639 \h </w:instrText>
          </w:r>
          <w:r>
            <w:fldChar w:fldCharType="separate"/>
          </w:r>
          <w:r>
            <w:t>1</w:t>
          </w:r>
          <w:r>
            <w:fldChar w:fldCharType="end"/>
          </w:r>
          <w:r>
            <w:fldChar w:fldCharType="end"/>
          </w:r>
        </w:p>
        <w:p w14:paraId="171C2B41">
          <w:pPr>
            <w:pStyle w:val="13"/>
            <w:tabs>
              <w:tab w:val="right" w:leader="dot" w:pos="9026"/>
            </w:tabs>
            <w:ind w:left="1280" w:firstLine="640"/>
          </w:pPr>
          <w:r>
            <w:fldChar w:fldCharType="begin"/>
          </w:r>
          <w:r>
            <w:instrText xml:space="preserve"> HYPERLINK \l "_Toc4619" </w:instrText>
          </w:r>
          <w:r>
            <w:fldChar w:fldCharType="separate"/>
          </w:r>
          <w:r>
            <w:rPr>
              <w:rFonts w:hint="eastAsia"/>
            </w:rPr>
            <w:t>1.2.1. 国家法律法规及相关文件</w:t>
          </w:r>
          <w:r>
            <w:tab/>
          </w:r>
          <w:r>
            <w:fldChar w:fldCharType="begin"/>
          </w:r>
          <w:r>
            <w:instrText xml:space="preserve"> PAGEREF _Toc4619 \h </w:instrText>
          </w:r>
          <w:r>
            <w:fldChar w:fldCharType="separate"/>
          </w:r>
          <w:r>
            <w:t>1</w:t>
          </w:r>
          <w:r>
            <w:fldChar w:fldCharType="end"/>
          </w:r>
          <w:r>
            <w:fldChar w:fldCharType="end"/>
          </w:r>
        </w:p>
        <w:p w14:paraId="612B9C04">
          <w:pPr>
            <w:pStyle w:val="13"/>
            <w:tabs>
              <w:tab w:val="right" w:leader="dot" w:pos="9026"/>
            </w:tabs>
            <w:ind w:left="1280" w:firstLine="640"/>
          </w:pPr>
          <w:r>
            <w:fldChar w:fldCharType="begin"/>
          </w:r>
          <w:r>
            <w:instrText xml:space="preserve"> HYPERLINK \l "_Toc16472" </w:instrText>
          </w:r>
          <w:r>
            <w:fldChar w:fldCharType="separate"/>
          </w:r>
          <w:r>
            <w:rPr>
              <w:rFonts w:hint="eastAsia"/>
            </w:rPr>
            <w:t>1.2.2. 江苏省法律法规及相关文件</w:t>
          </w:r>
          <w:r>
            <w:tab/>
          </w:r>
          <w:r>
            <w:fldChar w:fldCharType="begin"/>
          </w:r>
          <w:r>
            <w:instrText xml:space="preserve"> PAGEREF _Toc16472 \h </w:instrText>
          </w:r>
          <w:r>
            <w:fldChar w:fldCharType="separate"/>
          </w:r>
          <w:r>
            <w:t>3</w:t>
          </w:r>
          <w:r>
            <w:fldChar w:fldCharType="end"/>
          </w:r>
          <w:r>
            <w:fldChar w:fldCharType="end"/>
          </w:r>
        </w:p>
        <w:p w14:paraId="54FC1E0B">
          <w:pPr>
            <w:pStyle w:val="13"/>
            <w:tabs>
              <w:tab w:val="right" w:leader="dot" w:pos="9026"/>
            </w:tabs>
            <w:ind w:left="1280" w:firstLine="640"/>
          </w:pPr>
          <w:r>
            <w:fldChar w:fldCharType="begin"/>
          </w:r>
          <w:r>
            <w:instrText xml:space="preserve"> HYPERLINK \l "_Toc32484" </w:instrText>
          </w:r>
          <w:r>
            <w:fldChar w:fldCharType="separate"/>
          </w:r>
          <w:r>
            <w:rPr>
              <w:rFonts w:hint="eastAsia"/>
            </w:rPr>
            <w:t>1.2.3. 连云港市相关规划及文件</w:t>
          </w:r>
          <w:r>
            <w:tab/>
          </w:r>
          <w:r>
            <w:fldChar w:fldCharType="begin"/>
          </w:r>
          <w:r>
            <w:instrText xml:space="preserve"> PAGEREF _Toc32484 \h </w:instrText>
          </w:r>
          <w:r>
            <w:fldChar w:fldCharType="separate"/>
          </w:r>
          <w:r>
            <w:t>5</w:t>
          </w:r>
          <w:r>
            <w:fldChar w:fldCharType="end"/>
          </w:r>
          <w:r>
            <w:fldChar w:fldCharType="end"/>
          </w:r>
        </w:p>
        <w:p w14:paraId="39DEAE82">
          <w:pPr>
            <w:pStyle w:val="13"/>
            <w:tabs>
              <w:tab w:val="right" w:leader="dot" w:pos="9026"/>
            </w:tabs>
            <w:ind w:left="1280" w:firstLine="640"/>
          </w:pPr>
          <w:r>
            <w:fldChar w:fldCharType="begin"/>
          </w:r>
          <w:r>
            <w:instrText xml:space="preserve"> HYPERLINK \l "_Toc32730" </w:instrText>
          </w:r>
          <w:r>
            <w:fldChar w:fldCharType="separate"/>
          </w:r>
          <w:r>
            <w:rPr>
              <w:rFonts w:hint="eastAsia"/>
            </w:rPr>
            <w:t>1.2.4. 连云区相关规划及文件</w:t>
          </w:r>
          <w:r>
            <w:tab/>
          </w:r>
          <w:r>
            <w:fldChar w:fldCharType="begin"/>
          </w:r>
          <w:r>
            <w:instrText xml:space="preserve"> PAGEREF _Toc32730 \h </w:instrText>
          </w:r>
          <w:r>
            <w:fldChar w:fldCharType="separate"/>
          </w:r>
          <w:r>
            <w:t>6</w:t>
          </w:r>
          <w:r>
            <w:fldChar w:fldCharType="end"/>
          </w:r>
          <w:r>
            <w:fldChar w:fldCharType="end"/>
          </w:r>
        </w:p>
        <w:p w14:paraId="22974CF8">
          <w:pPr>
            <w:pStyle w:val="18"/>
            <w:tabs>
              <w:tab w:val="right" w:leader="dot" w:pos="9026"/>
            </w:tabs>
            <w:ind w:left="640" w:firstLine="640"/>
          </w:pPr>
          <w:r>
            <w:fldChar w:fldCharType="begin"/>
          </w:r>
          <w:r>
            <w:instrText xml:space="preserve"> HYPERLINK \l "_Toc15445" </w:instrText>
          </w:r>
          <w:r>
            <w:fldChar w:fldCharType="separate"/>
          </w:r>
          <w:r>
            <w:rPr>
              <w:rFonts w:hint="eastAsia"/>
            </w:rPr>
            <w:t>1.3. 建设范围及时限</w:t>
          </w:r>
          <w:r>
            <w:tab/>
          </w:r>
          <w:r>
            <w:fldChar w:fldCharType="begin"/>
          </w:r>
          <w:r>
            <w:instrText xml:space="preserve"> PAGEREF _Toc15445 \h </w:instrText>
          </w:r>
          <w:r>
            <w:fldChar w:fldCharType="separate"/>
          </w:r>
          <w:r>
            <w:t>7</w:t>
          </w:r>
          <w:r>
            <w:fldChar w:fldCharType="end"/>
          </w:r>
          <w:r>
            <w:fldChar w:fldCharType="end"/>
          </w:r>
        </w:p>
        <w:p w14:paraId="1F0CCDC3">
          <w:pPr>
            <w:pStyle w:val="13"/>
            <w:tabs>
              <w:tab w:val="right" w:leader="dot" w:pos="9026"/>
            </w:tabs>
            <w:ind w:left="1280" w:firstLine="640"/>
          </w:pPr>
          <w:r>
            <w:fldChar w:fldCharType="begin"/>
          </w:r>
          <w:r>
            <w:instrText xml:space="preserve"> HYPERLINK \l "_Toc10556" </w:instrText>
          </w:r>
          <w:r>
            <w:fldChar w:fldCharType="separate"/>
          </w:r>
          <w:r>
            <w:rPr>
              <w:rFonts w:hint="eastAsia"/>
            </w:rPr>
            <w:t>1.3.1. 建设范围</w:t>
          </w:r>
          <w:r>
            <w:tab/>
          </w:r>
          <w:r>
            <w:fldChar w:fldCharType="begin"/>
          </w:r>
          <w:r>
            <w:instrText xml:space="preserve"> PAGEREF _Toc10556 \h </w:instrText>
          </w:r>
          <w:r>
            <w:fldChar w:fldCharType="separate"/>
          </w:r>
          <w:r>
            <w:t>7</w:t>
          </w:r>
          <w:r>
            <w:fldChar w:fldCharType="end"/>
          </w:r>
          <w:r>
            <w:fldChar w:fldCharType="end"/>
          </w:r>
        </w:p>
        <w:p w14:paraId="45DD7F79">
          <w:pPr>
            <w:pStyle w:val="13"/>
            <w:tabs>
              <w:tab w:val="right" w:leader="dot" w:pos="9026"/>
            </w:tabs>
            <w:ind w:left="1280" w:firstLine="640"/>
          </w:pPr>
          <w:r>
            <w:fldChar w:fldCharType="begin"/>
          </w:r>
          <w:r>
            <w:instrText xml:space="preserve"> HYPERLINK \l "_Toc6704" </w:instrText>
          </w:r>
          <w:r>
            <w:fldChar w:fldCharType="separate"/>
          </w:r>
          <w:r>
            <w:rPr>
              <w:rFonts w:hint="eastAsia"/>
            </w:rPr>
            <w:t>1.3.2. 建设时限</w:t>
          </w:r>
          <w:r>
            <w:tab/>
          </w:r>
          <w:r>
            <w:fldChar w:fldCharType="begin"/>
          </w:r>
          <w:r>
            <w:instrText xml:space="preserve"> PAGEREF _Toc6704 \h </w:instrText>
          </w:r>
          <w:r>
            <w:fldChar w:fldCharType="separate"/>
          </w:r>
          <w:r>
            <w:t>8</w:t>
          </w:r>
          <w:r>
            <w:fldChar w:fldCharType="end"/>
          </w:r>
          <w:r>
            <w:fldChar w:fldCharType="end"/>
          </w:r>
        </w:p>
        <w:p w14:paraId="3356F8AE">
          <w:pPr>
            <w:pStyle w:val="17"/>
            <w:tabs>
              <w:tab w:val="right" w:leader="dot" w:pos="9026"/>
            </w:tabs>
            <w:ind w:firstLine="640"/>
          </w:pPr>
          <w:r>
            <w:fldChar w:fldCharType="begin"/>
          </w:r>
          <w:r>
            <w:instrText xml:space="preserve"> HYPERLINK \l "_Toc1101" </w:instrText>
          </w:r>
          <w:r>
            <w:fldChar w:fldCharType="separate"/>
          </w:r>
          <w:r>
            <w:rPr>
              <w:rFonts w:hint="eastAsia"/>
            </w:rPr>
            <w:t>第二章 城乡发展与固废管理概况</w:t>
          </w:r>
          <w:r>
            <w:tab/>
          </w:r>
          <w:r>
            <w:fldChar w:fldCharType="begin"/>
          </w:r>
          <w:r>
            <w:instrText xml:space="preserve"> PAGEREF _Toc1101 \h </w:instrText>
          </w:r>
          <w:r>
            <w:fldChar w:fldCharType="separate"/>
          </w:r>
          <w:r>
            <w:t>9</w:t>
          </w:r>
          <w:r>
            <w:fldChar w:fldCharType="end"/>
          </w:r>
          <w:r>
            <w:fldChar w:fldCharType="end"/>
          </w:r>
        </w:p>
        <w:p w14:paraId="5957F652">
          <w:pPr>
            <w:pStyle w:val="18"/>
            <w:tabs>
              <w:tab w:val="right" w:leader="dot" w:pos="9026"/>
            </w:tabs>
            <w:ind w:left="640" w:firstLine="640"/>
          </w:pPr>
          <w:r>
            <w:fldChar w:fldCharType="begin"/>
          </w:r>
          <w:r>
            <w:instrText xml:space="preserve"> HYPERLINK \l "_Toc9023" </w:instrText>
          </w:r>
          <w:r>
            <w:fldChar w:fldCharType="separate"/>
          </w:r>
          <w:r>
            <w:rPr>
              <w:rFonts w:hint="eastAsia" w:cs="Times New Roman"/>
            </w:rPr>
            <w:t xml:space="preserve">2.1. </w:t>
          </w:r>
          <w:r>
            <w:rPr>
              <w:rFonts w:hint="eastAsia"/>
            </w:rPr>
            <w:t>连云区基本情况</w:t>
          </w:r>
          <w:r>
            <w:tab/>
          </w:r>
          <w:r>
            <w:fldChar w:fldCharType="begin"/>
          </w:r>
          <w:r>
            <w:instrText xml:space="preserve"> PAGEREF _Toc9023 \h </w:instrText>
          </w:r>
          <w:r>
            <w:fldChar w:fldCharType="separate"/>
          </w:r>
          <w:r>
            <w:t>9</w:t>
          </w:r>
          <w:r>
            <w:fldChar w:fldCharType="end"/>
          </w:r>
          <w:r>
            <w:fldChar w:fldCharType="end"/>
          </w:r>
        </w:p>
        <w:p w14:paraId="40A3BD74">
          <w:pPr>
            <w:pStyle w:val="13"/>
            <w:tabs>
              <w:tab w:val="right" w:leader="dot" w:pos="9026"/>
            </w:tabs>
            <w:ind w:left="1280" w:firstLine="640"/>
          </w:pPr>
          <w:r>
            <w:fldChar w:fldCharType="begin"/>
          </w:r>
          <w:r>
            <w:instrText xml:space="preserve"> HYPERLINK \l "_Toc12793" </w:instrText>
          </w:r>
          <w:r>
            <w:fldChar w:fldCharType="separate"/>
          </w:r>
          <w:r>
            <w:rPr>
              <w:rFonts w:hint="eastAsia"/>
            </w:rPr>
            <w:t>2.1.1. 经济发展</w:t>
          </w:r>
          <w:r>
            <w:tab/>
          </w:r>
          <w:r>
            <w:fldChar w:fldCharType="begin"/>
          </w:r>
          <w:r>
            <w:instrText xml:space="preserve"> PAGEREF _Toc12793 \h </w:instrText>
          </w:r>
          <w:r>
            <w:fldChar w:fldCharType="separate"/>
          </w:r>
          <w:r>
            <w:t>10</w:t>
          </w:r>
          <w:r>
            <w:fldChar w:fldCharType="end"/>
          </w:r>
          <w:r>
            <w:fldChar w:fldCharType="end"/>
          </w:r>
        </w:p>
        <w:p w14:paraId="2DCD7BB8">
          <w:pPr>
            <w:pStyle w:val="13"/>
            <w:tabs>
              <w:tab w:val="right" w:leader="dot" w:pos="9026"/>
            </w:tabs>
            <w:ind w:left="1280" w:firstLine="640"/>
          </w:pPr>
          <w:r>
            <w:fldChar w:fldCharType="begin"/>
          </w:r>
          <w:r>
            <w:instrText xml:space="preserve"> HYPERLINK \l "_Toc30918" </w:instrText>
          </w:r>
          <w:r>
            <w:fldChar w:fldCharType="separate"/>
          </w:r>
          <w:r>
            <w:rPr>
              <w:rFonts w:hint="eastAsia"/>
            </w:rPr>
            <w:t>2.1.2. 社会发展</w:t>
          </w:r>
          <w:r>
            <w:tab/>
          </w:r>
          <w:r>
            <w:fldChar w:fldCharType="begin"/>
          </w:r>
          <w:r>
            <w:instrText xml:space="preserve"> PAGEREF _Toc30918 \h </w:instrText>
          </w:r>
          <w:r>
            <w:fldChar w:fldCharType="separate"/>
          </w:r>
          <w:r>
            <w:t>14</w:t>
          </w:r>
          <w:r>
            <w:fldChar w:fldCharType="end"/>
          </w:r>
          <w:r>
            <w:fldChar w:fldCharType="end"/>
          </w:r>
        </w:p>
        <w:p w14:paraId="60F530BE">
          <w:pPr>
            <w:pStyle w:val="13"/>
            <w:tabs>
              <w:tab w:val="right" w:leader="dot" w:pos="9026"/>
            </w:tabs>
            <w:ind w:left="1280" w:firstLine="640"/>
          </w:pPr>
          <w:r>
            <w:fldChar w:fldCharType="begin"/>
          </w:r>
          <w:r>
            <w:instrText xml:space="preserve"> HYPERLINK \l "_Toc27231" </w:instrText>
          </w:r>
          <w:r>
            <w:fldChar w:fldCharType="separate"/>
          </w:r>
          <w:r>
            <w:rPr>
              <w:rFonts w:hint="eastAsia"/>
            </w:rPr>
            <w:t>2.1.3. 生态环境</w:t>
          </w:r>
          <w:r>
            <w:tab/>
          </w:r>
          <w:r>
            <w:fldChar w:fldCharType="begin"/>
          </w:r>
          <w:r>
            <w:instrText xml:space="preserve"> PAGEREF _Toc27231 \h </w:instrText>
          </w:r>
          <w:r>
            <w:fldChar w:fldCharType="separate"/>
          </w:r>
          <w:r>
            <w:t>16</w:t>
          </w:r>
          <w:r>
            <w:fldChar w:fldCharType="end"/>
          </w:r>
          <w:r>
            <w:fldChar w:fldCharType="end"/>
          </w:r>
        </w:p>
        <w:p w14:paraId="2A3D0239">
          <w:pPr>
            <w:pStyle w:val="13"/>
            <w:tabs>
              <w:tab w:val="right" w:leader="dot" w:pos="9026"/>
            </w:tabs>
            <w:ind w:left="1280" w:firstLine="640"/>
          </w:pPr>
          <w:r>
            <w:fldChar w:fldCharType="begin"/>
          </w:r>
          <w:r>
            <w:instrText xml:space="preserve"> HYPERLINK \l "_Toc9926" </w:instrText>
          </w:r>
          <w:r>
            <w:fldChar w:fldCharType="separate"/>
          </w:r>
          <w:r>
            <w:rPr>
              <w:rFonts w:hint="eastAsia"/>
            </w:rPr>
            <w:t>2.1.4. 海洋经济</w:t>
          </w:r>
          <w:r>
            <w:tab/>
          </w:r>
          <w:r>
            <w:fldChar w:fldCharType="begin"/>
          </w:r>
          <w:r>
            <w:instrText xml:space="preserve"> PAGEREF _Toc9926 \h </w:instrText>
          </w:r>
          <w:r>
            <w:fldChar w:fldCharType="separate"/>
          </w:r>
          <w:r>
            <w:t>17</w:t>
          </w:r>
          <w:r>
            <w:fldChar w:fldCharType="end"/>
          </w:r>
          <w:r>
            <w:fldChar w:fldCharType="end"/>
          </w:r>
        </w:p>
        <w:p w14:paraId="6BC3E0DE">
          <w:pPr>
            <w:pStyle w:val="18"/>
            <w:tabs>
              <w:tab w:val="right" w:leader="dot" w:pos="9026"/>
            </w:tabs>
            <w:ind w:left="640" w:firstLine="640"/>
          </w:pPr>
          <w:r>
            <w:fldChar w:fldCharType="begin"/>
          </w:r>
          <w:r>
            <w:instrText xml:space="preserve"> HYPERLINK \l "_Toc21611" </w:instrText>
          </w:r>
          <w:r>
            <w:fldChar w:fldCharType="separate"/>
          </w:r>
          <w:r>
            <w:rPr>
              <w:rFonts w:hint="eastAsia"/>
            </w:rPr>
            <w:t>2.2. 固体废物管理现状</w:t>
          </w:r>
          <w:r>
            <w:tab/>
          </w:r>
          <w:r>
            <w:fldChar w:fldCharType="begin"/>
          </w:r>
          <w:r>
            <w:instrText xml:space="preserve"> PAGEREF _Toc21611 \h </w:instrText>
          </w:r>
          <w:r>
            <w:fldChar w:fldCharType="separate"/>
          </w:r>
          <w:r>
            <w:t>20</w:t>
          </w:r>
          <w:r>
            <w:fldChar w:fldCharType="end"/>
          </w:r>
          <w:r>
            <w:fldChar w:fldCharType="end"/>
          </w:r>
        </w:p>
        <w:p w14:paraId="39F148BE">
          <w:pPr>
            <w:pStyle w:val="13"/>
            <w:tabs>
              <w:tab w:val="right" w:leader="dot" w:pos="9026"/>
            </w:tabs>
            <w:ind w:left="1280" w:firstLine="640"/>
          </w:pPr>
          <w:r>
            <w:fldChar w:fldCharType="begin"/>
          </w:r>
          <w:r>
            <w:instrText xml:space="preserve"> HYPERLINK \l "_Toc8101" </w:instrText>
          </w:r>
          <w:r>
            <w:fldChar w:fldCharType="separate"/>
          </w:r>
          <w:r>
            <w:rPr>
              <w:rFonts w:hint="eastAsia"/>
            </w:rPr>
            <w:t>2.2.1. 一般工业固废管理现状</w:t>
          </w:r>
          <w:r>
            <w:tab/>
          </w:r>
          <w:r>
            <w:fldChar w:fldCharType="begin"/>
          </w:r>
          <w:r>
            <w:instrText xml:space="preserve"> PAGEREF _Toc8101 \h </w:instrText>
          </w:r>
          <w:r>
            <w:fldChar w:fldCharType="separate"/>
          </w:r>
          <w:r>
            <w:t>20</w:t>
          </w:r>
          <w:r>
            <w:fldChar w:fldCharType="end"/>
          </w:r>
          <w:r>
            <w:fldChar w:fldCharType="end"/>
          </w:r>
        </w:p>
        <w:p w14:paraId="45265BC4">
          <w:pPr>
            <w:pStyle w:val="13"/>
            <w:tabs>
              <w:tab w:val="right" w:leader="dot" w:pos="9026"/>
            </w:tabs>
            <w:ind w:left="1280" w:firstLine="640"/>
          </w:pPr>
          <w:r>
            <w:fldChar w:fldCharType="begin"/>
          </w:r>
          <w:r>
            <w:instrText xml:space="preserve"> HYPERLINK \l "_Toc2921" </w:instrText>
          </w:r>
          <w:r>
            <w:fldChar w:fldCharType="separate"/>
          </w:r>
          <w:r>
            <w:rPr>
              <w:rFonts w:hint="eastAsia"/>
            </w:rPr>
            <w:t>2.2.2. 危险废物的管理现状</w:t>
          </w:r>
          <w:r>
            <w:tab/>
          </w:r>
          <w:r>
            <w:fldChar w:fldCharType="begin"/>
          </w:r>
          <w:r>
            <w:instrText xml:space="preserve"> PAGEREF _Toc2921 \h </w:instrText>
          </w:r>
          <w:r>
            <w:fldChar w:fldCharType="separate"/>
          </w:r>
          <w:r>
            <w:t>21</w:t>
          </w:r>
          <w:r>
            <w:fldChar w:fldCharType="end"/>
          </w:r>
          <w:r>
            <w:fldChar w:fldCharType="end"/>
          </w:r>
        </w:p>
        <w:p w14:paraId="7AFC6E87">
          <w:pPr>
            <w:pStyle w:val="13"/>
            <w:tabs>
              <w:tab w:val="right" w:leader="dot" w:pos="9026"/>
            </w:tabs>
            <w:ind w:left="1280" w:firstLine="640"/>
          </w:pPr>
          <w:r>
            <w:fldChar w:fldCharType="begin"/>
          </w:r>
          <w:r>
            <w:instrText xml:space="preserve"> HYPERLINK \l "_Toc16885" </w:instrText>
          </w:r>
          <w:r>
            <w:fldChar w:fldCharType="separate"/>
          </w:r>
          <w:r>
            <w:rPr>
              <w:rFonts w:hint="eastAsia"/>
            </w:rPr>
            <w:t>2.2.3. 农业源固废管理现状</w:t>
          </w:r>
          <w:r>
            <w:tab/>
          </w:r>
          <w:r>
            <w:fldChar w:fldCharType="begin"/>
          </w:r>
          <w:r>
            <w:instrText xml:space="preserve"> PAGEREF _Toc16885 \h </w:instrText>
          </w:r>
          <w:r>
            <w:fldChar w:fldCharType="separate"/>
          </w:r>
          <w:r>
            <w:t>25</w:t>
          </w:r>
          <w:r>
            <w:fldChar w:fldCharType="end"/>
          </w:r>
          <w:r>
            <w:fldChar w:fldCharType="end"/>
          </w:r>
        </w:p>
        <w:p w14:paraId="6BF21627">
          <w:pPr>
            <w:pStyle w:val="13"/>
            <w:tabs>
              <w:tab w:val="right" w:leader="dot" w:pos="9026"/>
            </w:tabs>
            <w:ind w:left="1280" w:firstLine="640"/>
          </w:pPr>
          <w:r>
            <w:fldChar w:fldCharType="begin"/>
          </w:r>
          <w:r>
            <w:instrText xml:space="preserve"> HYPERLINK \l "_Toc19003" </w:instrText>
          </w:r>
          <w:r>
            <w:fldChar w:fldCharType="separate"/>
          </w:r>
          <w:r>
            <w:rPr>
              <w:rFonts w:hint="eastAsia"/>
            </w:rPr>
            <w:t>2.2.4. 生活源固废管理现状</w:t>
          </w:r>
          <w:r>
            <w:tab/>
          </w:r>
          <w:r>
            <w:fldChar w:fldCharType="begin"/>
          </w:r>
          <w:r>
            <w:instrText xml:space="preserve"> PAGEREF _Toc19003 \h </w:instrText>
          </w:r>
          <w:r>
            <w:fldChar w:fldCharType="separate"/>
          </w:r>
          <w:r>
            <w:t>26</w:t>
          </w:r>
          <w:r>
            <w:fldChar w:fldCharType="end"/>
          </w:r>
          <w:r>
            <w:fldChar w:fldCharType="end"/>
          </w:r>
        </w:p>
        <w:p w14:paraId="2BAB0687">
          <w:pPr>
            <w:pStyle w:val="13"/>
            <w:tabs>
              <w:tab w:val="right" w:leader="dot" w:pos="9026"/>
            </w:tabs>
            <w:ind w:left="1280" w:firstLine="640"/>
          </w:pPr>
          <w:r>
            <w:fldChar w:fldCharType="begin"/>
          </w:r>
          <w:r>
            <w:instrText xml:space="preserve"> HYPERLINK \l "_Toc8541" </w:instrText>
          </w:r>
          <w:r>
            <w:fldChar w:fldCharType="separate"/>
          </w:r>
          <w:r>
            <w:rPr>
              <w:rFonts w:hint="eastAsia"/>
            </w:rPr>
            <w:t>2.2.5. 海洋废弃物管理现状</w:t>
          </w:r>
          <w:r>
            <w:tab/>
          </w:r>
          <w:r>
            <w:fldChar w:fldCharType="begin"/>
          </w:r>
          <w:r>
            <w:instrText xml:space="preserve"> PAGEREF _Toc8541 \h </w:instrText>
          </w:r>
          <w:r>
            <w:fldChar w:fldCharType="separate"/>
          </w:r>
          <w:r>
            <w:t>33</w:t>
          </w:r>
          <w:r>
            <w:fldChar w:fldCharType="end"/>
          </w:r>
          <w:r>
            <w:fldChar w:fldCharType="end"/>
          </w:r>
        </w:p>
        <w:p w14:paraId="66D359EE">
          <w:pPr>
            <w:pStyle w:val="18"/>
            <w:tabs>
              <w:tab w:val="right" w:leader="dot" w:pos="9026"/>
            </w:tabs>
            <w:ind w:left="640" w:firstLine="640"/>
          </w:pPr>
          <w:r>
            <w:fldChar w:fldCharType="begin"/>
          </w:r>
          <w:r>
            <w:instrText xml:space="preserve"> HYPERLINK \l "_Toc12553" </w:instrText>
          </w:r>
          <w:r>
            <w:fldChar w:fldCharType="separate"/>
          </w:r>
          <w:r>
            <w:rPr>
              <w:rFonts w:hint="eastAsia"/>
            </w:rPr>
            <w:t>2.3. 存在的问题</w:t>
          </w:r>
          <w:r>
            <w:tab/>
          </w:r>
          <w:r>
            <w:fldChar w:fldCharType="begin"/>
          </w:r>
          <w:r>
            <w:instrText xml:space="preserve"> PAGEREF _Toc12553 \h </w:instrText>
          </w:r>
          <w:r>
            <w:fldChar w:fldCharType="separate"/>
          </w:r>
          <w:r>
            <w:t>36</w:t>
          </w:r>
          <w:r>
            <w:fldChar w:fldCharType="end"/>
          </w:r>
          <w:r>
            <w:fldChar w:fldCharType="end"/>
          </w:r>
        </w:p>
        <w:p w14:paraId="25064E2C">
          <w:pPr>
            <w:pStyle w:val="13"/>
            <w:tabs>
              <w:tab w:val="right" w:leader="dot" w:pos="9026"/>
            </w:tabs>
            <w:ind w:left="1280" w:firstLine="640"/>
          </w:pPr>
          <w:r>
            <w:fldChar w:fldCharType="begin"/>
          </w:r>
          <w:r>
            <w:instrText xml:space="preserve"> HYPERLINK \l "_Toc21501" </w:instrText>
          </w:r>
          <w:r>
            <w:fldChar w:fldCharType="separate"/>
          </w:r>
          <w:r>
            <w:rPr>
              <w:rFonts w:hint="eastAsia"/>
            </w:rPr>
            <w:t>2.3.1. 一般工业固废管理存在的问题</w:t>
          </w:r>
          <w:r>
            <w:tab/>
          </w:r>
          <w:r>
            <w:fldChar w:fldCharType="begin"/>
          </w:r>
          <w:r>
            <w:instrText xml:space="preserve"> PAGEREF _Toc21501 \h </w:instrText>
          </w:r>
          <w:r>
            <w:fldChar w:fldCharType="separate"/>
          </w:r>
          <w:r>
            <w:t>36</w:t>
          </w:r>
          <w:r>
            <w:fldChar w:fldCharType="end"/>
          </w:r>
          <w:r>
            <w:fldChar w:fldCharType="end"/>
          </w:r>
        </w:p>
        <w:p w14:paraId="2BDCCBD4">
          <w:pPr>
            <w:pStyle w:val="13"/>
            <w:tabs>
              <w:tab w:val="right" w:leader="dot" w:pos="9026"/>
            </w:tabs>
            <w:ind w:left="1280" w:firstLine="640"/>
          </w:pPr>
          <w:r>
            <w:fldChar w:fldCharType="begin"/>
          </w:r>
          <w:r>
            <w:instrText xml:space="preserve"> HYPERLINK \l "_Toc423" </w:instrText>
          </w:r>
          <w:r>
            <w:fldChar w:fldCharType="separate"/>
          </w:r>
          <w:r>
            <w:rPr>
              <w:rFonts w:hint="eastAsia"/>
            </w:rPr>
            <w:t>2.3.2. 危险废物管理所存在的问题</w:t>
          </w:r>
          <w:r>
            <w:tab/>
          </w:r>
          <w:r>
            <w:fldChar w:fldCharType="begin"/>
          </w:r>
          <w:r>
            <w:instrText xml:space="preserve"> PAGEREF _Toc423 \h </w:instrText>
          </w:r>
          <w:r>
            <w:fldChar w:fldCharType="separate"/>
          </w:r>
          <w:r>
            <w:t>36</w:t>
          </w:r>
          <w:r>
            <w:fldChar w:fldCharType="end"/>
          </w:r>
          <w:r>
            <w:fldChar w:fldCharType="end"/>
          </w:r>
        </w:p>
        <w:p w14:paraId="07531513">
          <w:pPr>
            <w:pStyle w:val="13"/>
            <w:tabs>
              <w:tab w:val="right" w:leader="dot" w:pos="9026"/>
            </w:tabs>
            <w:ind w:left="1280" w:firstLine="640"/>
          </w:pPr>
          <w:r>
            <w:fldChar w:fldCharType="begin"/>
          </w:r>
          <w:r>
            <w:instrText xml:space="preserve"> HYPERLINK \l "_Toc20420" </w:instrText>
          </w:r>
          <w:r>
            <w:fldChar w:fldCharType="separate"/>
          </w:r>
          <w:r>
            <w:rPr>
              <w:rFonts w:hint="eastAsia"/>
            </w:rPr>
            <w:t>2.3.3. 农业源固废管理存在的问题</w:t>
          </w:r>
          <w:r>
            <w:tab/>
          </w:r>
          <w:r>
            <w:fldChar w:fldCharType="begin"/>
          </w:r>
          <w:r>
            <w:instrText xml:space="preserve"> PAGEREF _Toc20420 \h </w:instrText>
          </w:r>
          <w:r>
            <w:fldChar w:fldCharType="separate"/>
          </w:r>
          <w:r>
            <w:t>37</w:t>
          </w:r>
          <w:r>
            <w:fldChar w:fldCharType="end"/>
          </w:r>
          <w:r>
            <w:fldChar w:fldCharType="end"/>
          </w:r>
        </w:p>
        <w:p w14:paraId="65947812">
          <w:pPr>
            <w:pStyle w:val="13"/>
            <w:tabs>
              <w:tab w:val="right" w:leader="dot" w:pos="9026"/>
            </w:tabs>
            <w:ind w:left="1280" w:firstLine="640"/>
          </w:pPr>
          <w:r>
            <w:fldChar w:fldCharType="begin"/>
          </w:r>
          <w:r>
            <w:instrText xml:space="preserve"> HYPERLINK \l "_Toc20492" </w:instrText>
          </w:r>
          <w:r>
            <w:fldChar w:fldCharType="separate"/>
          </w:r>
          <w:r>
            <w:rPr>
              <w:rFonts w:hint="eastAsia"/>
            </w:rPr>
            <w:t>2.3.4. 生活源固废管理存在的问题</w:t>
          </w:r>
          <w:r>
            <w:tab/>
          </w:r>
          <w:r>
            <w:fldChar w:fldCharType="begin"/>
          </w:r>
          <w:r>
            <w:instrText xml:space="preserve"> PAGEREF _Toc20492 \h </w:instrText>
          </w:r>
          <w:r>
            <w:fldChar w:fldCharType="separate"/>
          </w:r>
          <w:r>
            <w:t>37</w:t>
          </w:r>
          <w:r>
            <w:fldChar w:fldCharType="end"/>
          </w:r>
          <w:r>
            <w:fldChar w:fldCharType="end"/>
          </w:r>
        </w:p>
        <w:p w14:paraId="5355F530">
          <w:pPr>
            <w:pStyle w:val="13"/>
            <w:tabs>
              <w:tab w:val="right" w:leader="dot" w:pos="9026"/>
            </w:tabs>
            <w:ind w:left="1280" w:firstLine="640"/>
          </w:pPr>
          <w:r>
            <w:fldChar w:fldCharType="begin"/>
          </w:r>
          <w:r>
            <w:instrText xml:space="preserve"> HYPERLINK \l "_Toc32648" </w:instrText>
          </w:r>
          <w:r>
            <w:fldChar w:fldCharType="separate"/>
          </w:r>
          <w:r>
            <w:rPr>
              <w:rFonts w:hint="eastAsia"/>
            </w:rPr>
            <w:t>2.3.5. 海洋废弃物管理存在的问题</w:t>
          </w:r>
          <w:r>
            <w:tab/>
          </w:r>
          <w:r>
            <w:fldChar w:fldCharType="begin"/>
          </w:r>
          <w:r>
            <w:instrText xml:space="preserve"> PAGEREF _Toc32648 \h </w:instrText>
          </w:r>
          <w:r>
            <w:fldChar w:fldCharType="separate"/>
          </w:r>
          <w:r>
            <w:t>38</w:t>
          </w:r>
          <w:r>
            <w:fldChar w:fldCharType="end"/>
          </w:r>
          <w:r>
            <w:fldChar w:fldCharType="end"/>
          </w:r>
        </w:p>
        <w:p w14:paraId="3C9ADDC0">
          <w:pPr>
            <w:pStyle w:val="17"/>
            <w:tabs>
              <w:tab w:val="right" w:leader="dot" w:pos="9026"/>
            </w:tabs>
            <w:ind w:firstLine="640"/>
          </w:pPr>
          <w:r>
            <w:fldChar w:fldCharType="begin"/>
          </w:r>
          <w:r>
            <w:instrText xml:space="preserve"> HYPERLINK \l "_Toc20358" </w:instrText>
          </w:r>
          <w:r>
            <w:fldChar w:fldCharType="separate"/>
          </w:r>
          <w:r>
            <w:rPr>
              <w:rFonts w:hint="eastAsia"/>
            </w:rPr>
            <w:t>第三章 建设思路与目标指标</w:t>
          </w:r>
          <w:r>
            <w:tab/>
          </w:r>
          <w:r>
            <w:fldChar w:fldCharType="begin"/>
          </w:r>
          <w:r>
            <w:instrText xml:space="preserve"> PAGEREF _Toc20358 \h </w:instrText>
          </w:r>
          <w:r>
            <w:fldChar w:fldCharType="separate"/>
          </w:r>
          <w:r>
            <w:t>39</w:t>
          </w:r>
          <w:r>
            <w:fldChar w:fldCharType="end"/>
          </w:r>
          <w:r>
            <w:fldChar w:fldCharType="end"/>
          </w:r>
        </w:p>
        <w:p w14:paraId="5619142E">
          <w:pPr>
            <w:pStyle w:val="18"/>
            <w:tabs>
              <w:tab w:val="right" w:leader="dot" w:pos="9026"/>
            </w:tabs>
            <w:ind w:left="640" w:firstLine="640"/>
          </w:pPr>
          <w:r>
            <w:fldChar w:fldCharType="begin"/>
          </w:r>
          <w:r>
            <w:instrText xml:space="preserve"> HYPERLINK \l "_Toc13803" </w:instrText>
          </w:r>
          <w:r>
            <w:fldChar w:fldCharType="separate"/>
          </w:r>
          <w:r>
            <w:rPr>
              <w:rFonts w:hint="eastAsia"/>
            </w:rPr>
            <w:t>3.1. 建设思路</w:t>
          </w:r>
          <w:r>
            <w:tab/>
          </w:r>
          <w:r>
            <w:fldChar w:fldCharType="begin"/>
          </w:r>
          <w:r>
            <w:instrText xml:space="preserve"> PAGEREF _Toc13803 \h </w:instrText>
          </w:r>
          <w:r>
            <w:fldChar w:fldCharType="separate"/>
          </w:r>
          <w:r>
            <w:t>39</w:t>
          </w:r>
          <w:r>
            <w:fldChar w:fldCharType="end"/>
          </w:r>
          <w:r>
            <w:fldChar w:fldCharType="end"/>
          </w:r>
        </w:p>
        <w:p w14:paraId="02CAC43E">
          <w:pPr>
            <w:pStyle w:val="18"/>
            <w:tabs>
              <w:tab w:val="right" w:leader="dot" w:pos="9026"/>
            </w:tabs>
            <w:ind w:left="640" w:firstLine="640"/>
          </w:pPr>
          <w:r>
            <w:fldChar w:fldCharType="begin"/>
          </w:r>
          <w:r>
            <w:instrText xml:space="preserve"> HYPERLINK \l "_Toc27282" </w:instrText>
          </w:r>
          <w:r>
            <w:fldChar w:fldCharType="separate"/>
          </w:r>
          <w:r>
            <w:rPr>
              <w:rFonts w:hint="eastAsia"/>
            </w:rPr>
            <w:t>3.2. 基本原则</w:t>
          </w:r>
          <w:r>
            <w:tab/>
          </w:r>
          <w:r>
            <w:fldChar w:fldCharType="begin"/>
          </w:r>
          <w:r>
            <w:instrText xml:space="preserve"> PAGEREF _Toc27282 \h </w:instrText>
          </w:r>
          <w:r>
            <w:fldChar w:fldCharType="separate"/>
          </w:r>
          <w:r>
            <w:t>39</w:t>
          </w:r>
          <w:r>
            <w:fldChar w:fldCharType="end"/>
          </w:r>
          <w:r>
            <w:fldChar w:fldCharType="end"/>
          </w:r>
        </w:p>
        <w:p w14:paraId="6CADD1BC">
          <w:pPr>
            <w:pStyle w:val="18"/>
            <w:tabs>
              <w:tab w:val="right" w:leader="dot" w:pos="9026"/>
            </w:tabs>
            <w:ind w:left="640" w:firstLine="640"/>
          </w:pPr>
          <w:r>
            <w:fldChar w:fldCharType="begin"/>
          </w:r>
          <w:r>
            <w:instrText xml:space="preserve"> HYPERLINK \l "_Toc5195" </w:instrText>
          </w:r>
          <w:r>
            <w:fldChar w:fldCharType="separate"/>
          </w:r>
          <w:r>
            <w:rPr>
              <w:rFonts w:hint="eastAsia"/>
            </w:rPr>
            <w:t>3.3. 建设目标</w:t>
          </w:r>
          <w:r>
            <w:tab/>
          </w:r>
          <w:r>
            <w:fldChar w:fldCharType="begin"/>
          </w:r>
          <w:r>
            <w:instrText xml:space="preserve"> PAGEREF _Toc5195 \h </w:instrText>
          </w:r>
          <w:r>
            <w:fldChar w:fldCharType="separate"/>
          </w:r>
          <w:r>
            <w:t>40</w:t>
          </w:r>
          <w:r>
            <w:fldChar w:fldCharType="end"/>
          </w:r>
          <w:r>
            <w:fldChar w:fldCharType="end"/>
          </w:r>
        </w:p>
        <w:p w14:paraId="45E0931B">
          <w:pPr>
            <w:pStyle w:val="18"/>
            <w:tabs>
              <w:tab w:val="right" w:leader="dot" w:pos="9026"/>
            </w:tabs>
            <w:ind w:left="640" w:firstLine="640"/>
          </w:pPr>
          <w:r>
            <w:fldChar w:fldCharType="begin"/>
          </w:r>
          <w:r>
            <w:instrText xml:space="preserve"> HYPERLINK \l "_Toc646" </w:instrText>
          </w:r>
          <w:r>
            <w:fldChar w:fldCharType="separate"/>
          </w:r>
          <w:r>
            <w:rPr>
              <w:rFonts w:hint="eastAsia"/>
            </w:rPr>
            <w:t>3.4. 建设指标</w:t>
          </w:r>
          <w:r>
            <w:tab/>
          </w:r>
          <w:r>
            <w:fldChar w:fldCharType="begin"/>
          </w:r>
          <w:r>
            <w:instrText xml:space="preserve"> PAGEREF _Toc646 \h </w:instrText>
          </w:r>
          <w:r>
            <w:fldChar w:fldCharType="separate"/>
          </w:r>
          <w:r>
            <w:t>40</w:t>
          </w:r>
          <w:r>
            <w:fldChar w:fldCharType="end"/>
          </w:r>
          <w:r>
            <w:fldChar w:fldCharType="end"/>
          </w:r>
        </w:p>
        <w:p w14:paraId="59BA4108">
          <w:pPr>
            <w:pStyle w:val="17"/>
            <w:tabs>
              <w:tab w:val="right" w:leader="dot" w:pos="9026"/>
            </w:tabs>
            <w:ind w:firstLine="640"/>
          </w:pPr>
          <w:r>
            <w:fldChar w:fldCharType="begin"/>
          </w:r>
          <w:r>
            <w:instrText xml:space="preserve"> HYPERLINK \l "_Toc28240" </w:instrText>
          </w:r>
          <w:r>
            <w:fldChar w:fldCharType="separate"/>
          </w:r>
          <w:r>
            <w:rPr>
              <w:rFonts w:hint="eastAsia"/>
            </w:rPr>
            <w:t>第四章 主要建设任务</w:t>
          </w:r>
          <w:r>
            <w:tab/>
          </w:r>
          <w:r>
            <w:fldChar w:fldCharType="begin"/>
          </w:r>
          <w:r>
            <w:instrText xml:space="preserve"> PAGEREF _Toc28240 \h </w:instrText>
          </w:r>
          <w:r>
            <w:fldChar w:fldCharType="separate"/>
          </w:r>
          <w:r>
            <w:t>43</w:t>
          </w:r>
          <w:r>
            <w:fldChar w:fldCharType="end"/>
          </w:r>
          <w:r>
            <w:fldChar w:fldCharType="end"/>
          </w:r>
        </w:p>
        <w:p w14:paraId="1DC25A32">
          <w:pPr>
            <w:pStyle w:val="18"/>
            <w:tabs>
              <w:tab w:val="right" w:leader="dot" w:pos="9026"/>
            </w:tabs>
            <w:ind w:left="640" w:firstLine="640"/>
          </w:pPr>
          <w:r>
            <w:fldChar w:fldCharType="begin"/>
          </w:r>
          <w:r>
            <w:instrText xml:space="preserve"> HYPERLINK \l "_Toc23916" </w:instrText>
          </w:r>
          <w:r>
            <w:fldChar w:fldCharType="separate"/>
          </w:r>
          <w:r>
            <w:rPr>
              <w:rFonts w:hint="eastAsia"/>
            </w:rPr>
            <w:t>4.1. 推动工业绿色发展，建立一般工业固废收处体系</w:t>
          </w:r>
          <w:r>
            <w:tab/>
          </w:r>
          <w:r>
            <w:fldChar w:fldCharType="begin"/>
          </w:r>
          <w:r>
            <w:instrText xml:space="preserve"> PAGEREF _Toc23916 \h </w:instrText>
          </w:r>
          <w:r>
            <w:fldChar w:fldCharType="separate"/>
          </w:r>
          <w:r>
            <w:t>43</w:t>
          </w:r>
          <w:r>
            <w:fldChar w:fldCharType="end"/>
          </w:r>
          <w:r>
            <w:fldChar w:fldCharType="end"/>
          </w:r>
        </w:p>
        <w:p w14:paraId="78CD6551">
          <w:pPr>
            <w:pStyle w:val="13"/>
            <w:tabs>
              <w:tab w:val="right" w:leader="dot" w:pos="9026"/>
            </w:tabs>
            <w:ind w:left="1280" w:firstLine="640"/>
          </w:pPr>
          <w:r>
            <w:fldChar w:fldCharType="begin"/>
          </w:r>
          <w:r>
            <w:instrText xml:space="preserve"> HYPERLINK \l "_Toc14042" </w:instrText>
          </w:r>
          <w:r>
            <w:fldChar w:fldCharType="separate"/>
          </w:r>
          <w:r>
            <w:rPr>
              <w:rFonts w:hint="eastAsia"/>
            </w:rPr>
            <w:t>4.1.1. 推动工业绿色发展</w:t>
          </w:r>
          <w:r>
            <w:tab/>
          </w:r>
          <w:r>
            <w:fldChar w:fldCharType="begin"/>
          </w:r>
          <w:r>
            <w:instrText xml:space="preserve"> PAGEREF _Toc14042 \h </w:instrText>
          </w:r>
          <w:r>
            <w:fldChar w:fldCharType="separate"/>
          </w:r>
          <w:r>
            <w:t>43</w:t>
          </w:r>
          <w:r>
            <w:fldChar w:fldCharType="end"/>
          </w:r>
          <w:r>
            <w:fldChar w:fldCharType="end"/>
          </w:r>
        </w:p>
        <w:p w14:paraId="681E5F4C">
          <w:pPr>
            <w:pStyle w:val="13"/>
            <w:tabs>
              <w:tab w:val="right" w:leader="dot" w:pos="9026"/>
            </w:tabs>
            <w:ind w:left="1280" w:firstLine="640"/>
          </w:pPr>
          <w:r>
            <w:fldChar w:fldCharType="begin"/>
          </w:r>
          <w:r>
            <w:instrText xml:space="preserve"> HYPERLINK \l "_Toc15289" </w:instrText>
          </w:r>
          <w:r>
            <w:fldChar w:fldCharType="separate"/>
          </w:r>
          <w:r>
            <w:rPr>
              <w:rFonts w:hint="eastAsia"/>
            </w:rPr>
            <w:t>4.1.2. 强化一般工业固废全过程监管</w:t>
          </w:r>
          <w:r>
            <w:tab/>
          </w:r>
          <w:r>
            <w:fldChar w:fldCharType="begin"/>
          </w:r>
          <w:r>
            <w:instrText xml:space="preserve"> PAGEREF _Toc15289 \h </w:instrText>
          </w:r>
          <w:r>
            <w:fldChar w:fldCharType="separate"/>
          </w:r>
          <w:r>
            <w:t>44</w:t>
          </w:r>
          <w:r>
            <w:fldChar w:fldCharType="end"/>
          </w:r>
          <w:r>
            <w:fldChar w:fldCharType="end"/>
          </w:r>
        </w:p>
        <w:p w14:paraId="7EFA5D5D">
          <w:pPr>
            <w:pStyle w:val="13"/>
            <w:tabs>
              <w:tab w:val="right" w:leader="dot" w:pos="9026"/>
            </w:tabs>
            <w:ind w:left="1280" w:firstLine="640"/>
          </w:pPr>
          <w:r>
            <w:fldChar w:fldCharType="begin"/>
          </w:r>
          <w:r>
            <w:instrText xml:space="preserve"> HYPERLINK \l "_Toc10581" </w:instrText>
          </w:r>
          <w:r>
            <w:fldChar w:fldCharType="separate"/>
          </w:r>
          <w:r>
            <w:rPr>
              <w:rFonts w:hint="eastAsia"/>
            </w:rPr>
            <w:t>4.1.3. 提高一般固废综合利用水平</w:t>
          </w:r>
          <w:r>
            <w:tab/>
          </w:r>
          <w:r>
            <w:fldChar w:fldCharType="begin"/>
          </w:r>
          <w:r>
            <w:instrText xml:space="preserve"> PAGEREF _Toc10581 \h </w:instrText>
          </w:r>
          <w:r>
            <w:fldChar w:fldCharType="separate"/>
          </w:r>
          <w:r>
            <w:t>45</w:t>
          </w:r>
          <w:r>
            <w:fldChar w:fldCharType="end"/>
          </w:r>
          <w:r>
            <w:fldChar w:fldCharType="end"/>
          </w:r>
        </w:p>
        <w:p w14:paraId="113D8B1A">
          <w:pPr>
            <w:pStyle w:val="18"/>
            <w:tabs>
              <w:tab w:val="right" w:leader="dot" w:pos="9026"/>
            </w:tabs>
            <w:ind w:left="640" w:firstLine="640"/>
          </w:pPr>
          <w:r>
            <w:fldChar w:fldCharType="begin"/>
          </w:r>
          <w:r>
            <w:instrText xml:space="preserve"> HYPERLINK \l "_Toc7369" </w:instrText>
          </w:r>
          <w:r>
            <w:fldChar w:fldCharType="separate"/>
          </w:r>
          <w:r>
            <w:rPr>
              <w:rFonts w:hint="eastAsia"/>
            </w:rPr>
            <w:t>4.2. 健全小微收贮网络，加强危废全过程风险防控</w:t>
          </w:r>
          <w:r>
            <w:tab/>
          </w:r>
          <w:r>
            <w:fldChar w:fldCharType="begin"/>
          </w:r>
          <w:r>
            <w:instrText xml:space="preserve"> PAGEREF _Toc7369 \h </w:instrText>
          </w:r>
          <w:r>
            <w:fldChar w:fldCharType="separate"/>
          </w:r>
          <w:r>
            <w:t>47</w:t>
          </w:r>
          <w:r>
            <w:fldChar w:fldCharType="end"/>
          </w:r>
          <w:r>
            <w:fldChar w:fldCharType="end"/>
          </w:r>
        </w:p>
        <w:p w14:paraId="7A24E1A8">
          <w:pPr>
            <w:pStyle w:val="13"/>
            <w:tabs>
              <w:tab w:val="right" w:leader="dot" w:pos="9026"/>
            </w:tabs>
            <w:ind w:left="1280" w:firstLine="640"/>
          </w:pPr>
          <w:r>
            <w:fldChar w:fldCharType="begin"/>
          </w:r>
          <w:r>
            <w:instrText xml:space="preserve"> HYPERLINK \l "_Toc15041" </w:instrText>
          </w:r>
          <w:r>
            <w:fldChar w:fldCharType="separate"/>
          </w:r>
          <w:r>
            <w:rPr>
              <w:rFonts w:hint="eastAsia"/>
            </w:rPr>
            <w:t>4.2.1. 推进危废小微收集体系</w:t>
          </w:r>
          <w:r>
            <w:tab/>
          </w:r>
          <w:r>
            <w:fldChar w:fldCharType="begin"/>
          </w:r>
          <w:r>
            <w:instrText xml:space="preserve"> PAGEREF _Toc15041 \h </w:instrText>
          </w:r>
          <w:r>
            <w:fldChar w:fldCharType="separate"/>
          </w:r>
          <w:r>
            <w:t>47</w:t>
          </w:r>
          <w:r>
            <w:fldChar w:fldCharType="end"/>
          </w:r>
          <w:r>
            <w:fldChar w:fldCharType="end"/>
          </w:r>
        </w:p>
        <w:p w14:paraId="7B20D0CF">
          <w:pPr>
            <w:pStyle w:val="13"/>
            <w:tabs>
              <w:tab w:val="right" w:leader="dot" w:pos="9026"/>
            </w:tabs>
            <w:ind w:left="1280" w:firstLine="640"/>
          </w:pPr>
          <w:r>
            <w:fldChar w:fldCharType="begin"/>
          </w:r>
          <w:r>
            <w:instrText xml:space="preserve"> HYPERLINK \l "_Toc12368" </w:instrText>
          </w:r>
          <w:r>
            <w:fldChar w:fldCharType="separate"/>
          </w:r>
          <w:r>
            <w:rPr>
              <w:rFonts w:hint="eastAsia"/>
            </w:rPr>
            <w:t>4.2.2. 强化危废全过程动态管控</w:t>
          </w:r>
          <w:r>
            <w:tab/>
          </w:r>
          <w:r>
            <w:fldChar w:fldCharType="begin"/>
          </w:r>
          <w:r>
            <w:instrText xml:space="preserve"> PAGEREF _Toc12368 \h </w:instrText>
          </w:r>
          <w:r>
            <w:fldChar w:fldCharType="separate"/>
          </w:r>
          <w:r>
            <w:t>47</w:t>
          </w:r>
          <w:r>
            <w:fldChar w:fldCharType="end"/>
          </w:r>
          <w:r>
            <w:fldChar w:fldCharType="end"/>
          </w:r>
        </w:p>
        <w:p w14:paraId="77A04BFF">
          <w:pPr>
            <w:pStyle w:val="13"/>
            <w:tabs>
              <w:tab w:val="right" w:leader="dot" w:pos="9026"/>
            </w:tabs>
            <w:ind w:left="1280" w:firstLine="640"/>
          </w:pPr>
          <w:r>
            <w:fldChar w:fldCharType="begin"/>
          </w:r>
          <w:r>
            <w:instrText xml:space="preserve"> HYPERLINK \l "_Toc30705" </w:instrText>
          </w:r>
          <w:r>
            <w:fldChar w:fldCharType="separate"/>
          </w:r>
          <w:r>
            <w:rPr>
              <w:rFonts w:hint="eastAsia"/>
            </w:rPr>
            <w:t>4.2.3. 提高危废减量化和资源化水平</w:t>
          </w:r>
          <w:r>
            <w:tab/>
          </w:r>
          <w:r>
            <w:fldChar w:fldCharType="begin"/>
          </w:r>
          <w:r>
            <w:instrText xml:space="preserve"> PAGEREF _Toc30705 \h </w:instrText>
          </w:r>
          <w:r>
            <w:fldChar w:fldCharType="separate"/>
          </w:r>
          <w:r>
            <w:t>47</w:t>
          </w:r>
          <w:r>
            <w:fldChar w:fldCharType="end"/>
          </w:r>
          <w:r>
            <w:fldChar w:fldCharType="end"/>
          </w:r>
        </w:p>
        <w:p w14:paraId="21BFFFF8">
          <w:pPr>
            <w:pStyle w:val="13"/>
            <w:tabs>
              <w:tab w:val="right" w:leader="dot" w:pos="9026"/>
            </w:tabs>
            <w:ind w:left="1280" w:firstLine="640"/>
          </w:pPr>
          <w:r>
            <w:fldChar w:fldCharType="begin"/>
          </w:r>
          <w:r>
            <w:instrText xml:space="preserve"> HYPERLINK \l "_Toc9234" </w:instrText>
          </w:r>
          <w:r>
            <w:fldChar w:fldCharType="separate"/>
          </w:r>
          <w:r>
            <w:rPr>
              <w:rFonts w:hint="eastAsia"/>
            </w:rPr>
            <w:t>4.2.4. 加强医疗废物信息化管理</w:t>
          </w:r>
          <w:r>
            <w:tab/>
          </w:r>
          <w:r>
            <w:fldChar w:fldCharType="begin"/>
          </w:r>
          <w:r>
            <w:instrText xml:space="preserve"> PAGEREF _Toc9234 \h </w:instrText>
          </w:r>
          <w:r>
            <w:fldChar w:fldCharType="separate"/>
          </w:r>
          <w:r>
            <w:t>48</w:t>
          </w:r>
          <w:r>
            <w:fldChar w:fldCharType="end"/>
          </w:r>
          <w:r>
            <w:fldChar w:fldCharType="end"/>
          </w:r>
        </w:p>
        <w:p w14:paraId="6168E254">
          <w:pPr>
            <w:pStyle w:val="18"/>
            <w:tabs>
              <w:tab w:val="right" w:leader="dot" w:pos="9026"/>
            </w:tabs>
            <w:ind w:left="640" w:firstLine="640"/>
          </w:pPr>
          <w:r>
            <w:fldChar w:fldCharType="begin"/>
          </w:r>
          <w:r>
            <w:instrText xml:space="preserve"> HYPERLINK \l "_Toc25296" </w:instrText>
          </w:r>
          <w:r>
            <w:fldChar w:fldCharType="separate"/>
          </w:r>
          <w:r>
            <w:rPr>
              <w:rFonts w:hint="eastAsia"/>
            </w:rPr>
            <w:t>4.3. 加快构建生态农业，提升农废回收利用水平</w:t>
          </w:r>
          <w:r>
            <w:tab/>
          </w:r>
          <w:r>
            <w:fldChar w:fldCharType="begin"/>
          </w:r>
          <w:r>
            <w:instrText xml:space="preserve"> PAGEREF _Toc25296 \h </w:instrText>
          </w:r>
          <w:r>
            <w:fldChar w:fldCharType="separate"/>
          </w:r>
          <w:r>
            <w:t>49</w:t>
          </w:r>
          <w:r>
            <w:fldChar w:fldCharType="end"/>
          </w:r>
          <w:r>
            <w:fldChar w:fldCharType="end"/>
          </w:r>
        </w:p>
        <w:p w14:paraId="0493483E">
          <w:pPr>
            <w:pStyle w:val="13"/>
            <w:tabs>
              <w:tab w:val="right" w:leader="dot" w:pos="9026"/>
            </w:tabs>
            <w:ind w:left="1280" w:firstLine="640"/>
          </w:pPr>
          <w:r>
            <w:fldChar w:fldCharType="begin"/>
          </w:r>
          <w:r>
            <w:instrText xml:space="preserve"> HYPERLINK \l "_Toc14502" </w:instrText>
          </w:r>
          <w:r>
            <w:fldChar w:fldCharType="separate"/>
          </w:r>
          <w:r>
            <w:rPr>
              <w:rFonts w:hint="eastAsia"/>
            </w:rPr>
            <w:t>4.3.1. 推动现代农业生态低碳发展</w:t>
          </w:r>
          <w:r>
            <w:tab/>
          </w:r>
          <w:r>
            <w:fldChar w:fldCharType="begin"/>
          </w:r>
          <w:r>
            <w:instrText xml:space="preserve"> PAGEREF _Toc14502 \h </w:instrText>
          </w:r>
          <w:r>
            <w:fldChar w:fldCharType="separate"/>
          </w:r>
          <w:r>
            <w:t>49</w:t>
          </w:r>
          <w:r>
            <w:fldChar w:fldCharType="end"/>
          </w:r>
          <w:r>
            <w:fldChar w:fldCharType="end"/>
          </w:r>
        </w:p>
        <w:p w14:paraId="6C45BCD1">
          <w:pPr>
            <w:pStyle w:val="13"/>
            <w:tabs>
              <w:tab w:val="right" w:leader="dot" w:pos="9026"/>
            </w:tabs>
            <w:ind w:left="1280" w:firstLine="640"/>
          </w:pPr>
          <w:r>
            <w:fldChar w:fldCharType="begin"/>
          </w:r>
          <w:r>
            <w:instrText xml:space="preserve"> HYPERLINK \l "_Toc11942" </w:instrText>
          </w:r>
          <w:r>
            <w:fldChar w:fldCharType="separate"/>
          </w:r>
          <w:r>
            <w:rPr>
              <w:rFonts w:hint="eastAsia"/>
            </w:rPr>
            <w:t>4.3.2. 健全农药包装废弃物回收体系</w:t>
          </w:r>
          <w:r>
            <w:tab/>
          </w:r>
          <w:r>
            <w:fldChar w:fldCharType="begin"/>
          </w:r>
          <w:r>
            <w:instrText xml:space="preserve"> PAGEREF _Toc11942 \h </w:instrText>
          </w:r>
          <w:r>
            <w:fldChar w:fldCharType="separate"/>
          </w:r>
          <w:r>
            <w:t>49</w:t>
          </w:r>
          <w:r>
            <w:fldChar w:fldCharType="end"/>
          </w:r>
          <w:r>
            <w:fldChar w:fldCharType="end"/>
          </w:r>
        </w:p>
        <w:p w14:paraId="5F3F4677">
          <w:pPr>
            <w:pStyle w:val="18"/>
            <w:tabs>
              <w:tab w:val="right" w:leader="dot" w:pos="9026"/>
            </w:tabs>
            <w:ind w:left="640" w:firstLine="640"/>
          </w:pPr>
          <w:r>
            <w:fldChar w:fldCharType="begin"/>
          </w:r>
          <w:r>
            <w:instrText xml:space="preserve"> HYPERLINK \l "_Toc7442" </w:instrText>
          </w:r>
          <w:r>
            <w:fldChar w:fldCharType="separate"/>
          </w:r>
          <w:r>
            <w:rPr>
              <w:rFonts w:hint="eastAsia"/>
            </w:rPr>
            <w:t>4.4. 践行绿色生活方式，提升再生资源利用能力</w:t>
          </w:r>
          <w:r>
            <w:tab/>
          </w:r>
          <w:r>
            <w:fldChar w:fldCharType="begin"/>
          </w:r>
          <w:r>
            <w:instrText xml:space="preserve"> PAGEREF _Toc7442 \h </w:instrText>
          </w:r>
          <w:r>
            <w:fldChar w:fldCharType="separate"/>
          </w:r>
          <w:r>
            <w:t>50</w:t>
          </w:r>
          <w:r>
            <w:fldChar w:fldCharType="end"/>
          </w:r>
          <w:r>
            <w:fldChar w:fldCharType="end"/>
          </w:r>
        </w:p>
        <w:p w14:paraId="1C93E65C">
          <w:pPr>
            <w:pStyle w:val="13"/>
            <w:tabs>
              <w:tab w:val="right" w:leader="dot" w:pos="9026"/>
            </w:tabs>
            <w:ind w:left="1280" w:firstLine="640"/>
          </w:pPr>
          <w:r>
            <w:fldChar w:fldCharType="begin"/>
          </w:r>
          <w:r>
            <w:instrText xml:space="preserve"> HYPERLINK \l "_Toc31670" </w:instrText>
          </w:r>
          <w:r>
            <w:fldChar w:fldCharType="separate"/>
          </w:r>
          <w:r>
            <w:rPr>
              <w:rFonts w:hint="eastAsia"/>
            </w:rPr>
            <w:t>4.4.1. 减少生活源固体废物源头产生</w:t>
          </w:r>
          <w:r>
            <w:tab/>
          </w:r>
          <w:r>
            <w:fldChar w:fldCharType="begin"/>
          </w:r>
          <w:r>
            <w:instrText xml:space="preserve"> PAGEREF _Toc31670 \h </w:instrText>
          </w:r>
          <w:r>
            <w:fldChar w:fldCharType="separate"/>
          </w:r>
          <w:r>
            <w:t>50</w:t>
          </w:r>
          <w:r>
            <w:fldChar w:fldCharType="end"/>
          </w:r>
          <w:r>
            <w:fldChar w:fldCharType="end"/>
          </w:r>
        </w:p>
        <w:p w14:paraId="390F83BF">
          <w:pPr>
            <w:pStyle w:val="13"/>
            <w:tabs>
              <w:tab w:val="right" w:leader="dot" w:pos="9026"/>
            </w:tabs>
            <w:ind w:left="1280" w:firstLine="640"/>
          </w:pPr>
          <w:r>
            <w:fldChar w:fldCharType="begin"/>
          </w:r>
          <w:r>
            <w:instrText xml:space="preserve"> HYPERLINK \l "_Toc20608" </w:instrText>
          </w:r>
          <w:r>
            <w:fldChar w:fldCharType="separate"/>
          </w:r>
          <w:r>
            <w:rPr>
              <w:rFonts w:hint="eastAsia"/>
            </w:rPr>
            <w:t>4.4.2. 完善生活源固废分收运处体系建设</w:t>
          </w:r>
          <w:r>
            <w:tab/>
          </w:r>
          <w:r>
            <w:fldChar w:fldCharType="begin"/>
          </w:r>
          <w:r>
            <w:instrText xml:space="preserve"> PAGEREF _Toc20608 \h </w:instrText>
          </w:r>
          <w:r>
            <w:fldChar w:fldCharType="separate"/>
          </w:r>
          <w:r>
            <w:t>51</w:t>
          </w:r>
          <w:r>
            <w:fldChar w:fldCharType="end"/>
          </w:r>
          <w:r>
            <w:fldChar w:fldCharType="end"/>
          </w:r>
        </w:p>
        <w:p w14:paraId="2748412C">
          <w:pPr>
            <w:pStyle w:val="18"/>
            <w:tabs>
              <w:tab w:val="right" w:leader="dot" w:pos="9026"/>
            </w:tabs>
            <w:ind w:left="640" w:firstLine="640"/>
          </w:pPr>
          <w:r>
            <w:fldChar w:fldCharType="begin"/>
          </w:r>
          <w:r>
            <w:instrText xml:space="preserve"> HYPERLINK \l "_Toc29875" </w:instrText>
          </w:r>
          <w:r>
            <w:fldChar w:fldCharType="separate"/>
          </w:r>
          <w:r>
            <w:rPr>
              <w:rFonts w:hint="eastAsia"/>
            </w:rPr>
            <w:t>4.5. 发展绿色海洋经济，强化海洋废弃物污染防治</w:t>
          </w:r>
          <w:r>
            <w:tab/>
          </w:r>
          <w:r>
            <w:fldChar w:fldCharType="begin"/>
          </w:r>
          <w:r>
            <w:instrText xml:space="preserve"> PAGEREF _Toc29875 \h </w:instrText>
          </w:r>
          <w:r>
            <w:fldChar w:fldCharType="separate"/>
          </w:r>
          <w:r>
            <w:t>55</w:t>
          </w:r>
          <w:r>
            <w:fldChar w:fldCharType="end"/>
          </w:r>
          <w:r>
            <w:fldChar w:fldCharType="end"/>
          </w:r>
        </w:p>
        <w:p w14:paraId="5089FCB7">
          <w:pPr>
            <w:pStyle w:val="13"/>
            <w:tabs>
              <w:tab w:val="right" w:leader="dot" w:pos="9026"/>
            </w:tabs>
            <w:ind w:left="1280" w:firstLine="640"/>
          </w:pPr>
          <w:r>
            <w:fldChar w:fldCharType="begin"/>
          </w:r>
          <w:r>
            <w:instrText xml:space="preserve"> HYPERLINK \l "_Toc602" </w:instrText>
          </w:r>
          <w:r>
            <w:fldChar w:fldCharType="separate"/>
          </w:r>
          <w:r>
            <w:rPr>
              <w:rFonts w:hint="eastAsia"/>
            </w:rPr>
            <w:t>4.5.1. 优化海洋经济产业结构</w:t>
          </w:r>
          <w:r>
            <w:tab/>
          </w:r>
          <w:r>
            <w:fldChar w:fldCharType="begin"/>
          </w:r>
          <w:r>
            <w:instrText xml:space="preserve"> PAGEREF _Toc602 \h </w:instrText>
          </w:r>
          <w:r>
            <w:fldChar w:fldCharType="separate"/>
          </w:r>
          <w:r>
            <w:t>55</w:t>
          </w:r>
          <w:r>
            <w:fldChar w:fldCharType="end"/>
          </w:r>
          <w:r>
            <w:fldChar w:fldCharType="end"/>
          </w:r>
        </w:p>
        <w:p w14:paraId="60247B93">
          <w:pPr>
            <w:pStyle w:val="13"/>
            <w:tabs>
              <w:tab w:val="right" w:leader="dot" w:pos="9026"/>
            </w:tabs>
            <w:ind w:left="1280" w:firstLine="640"/>
          </w:pPr>
          <w:r>
            <w:fldChar w:fldCharType="begin"/>
          </w:r>
          <w:r>
            <w:instrText xml:space="preserve"> HYPERLINK \l "_Toc1234" </w:instrText>
          </w:r>
          <w:r>
            <w:fldChar w:fldCharType="separate"/>
          </w:r>
          <w:r>
            <w:rPr>
              <w:rFonts w:hint="eastAsia"/>
            </w:rPr>
            <w:t>4.5.2. 推进海洋渔业转型升级</w:t>
          </w:r>
          <w:r>
            <w:tab/>
          </w:r>
          <w:r>
            <w:fldChar w:fldCharType="begin"/>
          </w:r>
          <w:r>
            <w:instrText xml:space="preserve"> PAGEREF _Toc1234 \h </w:instrText>
          </w:r>
          <w:r>
            <w:fldChar w:fldCharType="separate"/>
          </w:r>
          <w:r>
            <w:t>56</w:t>
          </w:r>
          <w:r>
            <w:fldChar w:fldCharType="end"/>
          </w:r>
          <w:r>
            <w:fldChar w:fldCharType="end"/>
          </w:r>
        </w:p>
        <w:p w14:paraId="453F5FC0">
          <w:pPr>
            <w:pStyle w:val="13"/>
            <w:tabs>
              <w:tab w:val="right" w:leader="dot" w:pos="9026"/>
            </w:tabs>
            <w:ind w:left="1280" w:firstLine="640"/>
          </w:pPr>
          <w:r>
            <w:fldChar w:fldCharType="begin"/>
          </w:r>
          <w:r>
            <w:instrText xml:space="preserve"> HYPERLINK \l "_Toc27795" </w:instrText>
          </w:r>
          <w:r>
            <w:fldChar w:fldCharType="separate"/>
          </w:r>
          <w:r>
            <w:rPr>
              <w:rFonts w:hint="eastAsia"/>
            </w:rPr>
            <w:t>4.5.3. 强化海洋环境保护和治理</w:t>
          </w:r>
          <w:r>
            <w:tab/>
          </w:r>
          <w:r>
            <w:fldChar w:fldCharType="begin"/>
          </w:r>
          <w:r>
            <w:instrText xml:space="preserve"> PAGEREF _Toc27795 \h </w:instrText>
          </w:r>
          <w:r>
            <w:fldChar w:fldCharType="separate"/>
          </w:r>
          <w:r>
            <w:t>58</w:t>
          </w:r>
          <w:r>
            <w:fldChar w:fldCharType="end"/>
          </w:r>
          <w:r>
            <w:fldChar w:fldCharType="end"/>
          </w:r>
        </w:p>
        <w:p w14:paraId="6FB105FB">
          <w:pPr>
            <w:pStyle w:val="18"/>
            <w:tabs>
              <w:tab w:val="right" w:leader="dot" w:pos="9026"/>
            </w:tabs>
            <w:ind w:left="640" w:firstLine="640"/>
          </w:pPr>
          <w:r>
            <w:fldChar w:fldCharType="begin"/>
          </w:r>
          <w:r>
            <w:instrText xml:space="preserve"> HYPERLINK \l "_Toc21386" </w:instrText>
          </w:r>
          <w:r>
            <w:fldChar w:fldCharType="separate"/>
          </w:r>
          <w:r>
            <w:rPr>
              <w:rFonts w:hint="eastAsia"/>
            </w:rPr>
            <w:t>4.6. 强化四大体系建设，全面提升系统保障能力</w:t>
          </w:r>
          <w:r>
            <w:tab/>
          </w:r>
          <w:r>
            <w:fldChar w:fldCharType="begin"/>
          </w:r>
          <w:r>
            <w:instrText xml:space="preserve"> PAGEREF _Toc21386 \h </w:instrText>
          </w:r>
          <w:r>
            <w:fldChar w:fldCharType="separate"/>
          </w:r>
          <w:r>
            <w:t>62</w:t>
          </w:r>
          <w:r>
            <w:fldChar w:fldCharType="end"/>
          </w:r>
          <w:r>
            <w:fldChar w:fldCharType="end"/>
          </w:r>
        </w:p>
        <w:p w14:paraId="083C9B8F">
          <w:pPr>
            <w:pStyle w:val="13"/>
            <w:tabs>
              <w:tab w:val="right" w:leader="dot" w:pos="9026"/>
            </w:tabs>
            <w:ind w:left="1280" w:firstLine="640"/>
          </w:pPr>
          <w:r>
            <w:fldChar w:fldCharType="begin"/>
          </w:r>
          <w:r>
            <w:instrText xml:space="preserve"> HYPERLINK \l "_Toc16612" </w:instrText>
          </w:r>
          <w:r>
            <w:fldChar w:fldCharType="separate"/>
          </w:r>
          <w:r>
            <w:rPr>
              <w:rFonts w:hint="eastAsia"/>
            </w:rPr>
            <w:t>4.6.1. 完善固废管理制度</w:t>
          </w:r>
          <w:r>
            <w:tab/>
          </w:r>
          <w:r>
            <w:fldChar w:fldCharType="begin"/>
          </w:r>
          <w:r>
            <w:instrText xml:space="preserve"> PAGEREF _Toc16612 \h </w:instrText>
          </w:r>
          <w:r>
            <w:fldChar w:fldCharType="separate"/>
          </w:r>
          <w:r>
            <w:t>62</w:t>
          </w:r>
          <w:r>
            <w:fldChar w:fldCharType="end"/>
          </w:r>
          <w:r>
            <w:fldChar w:fldCharType="end"/>
          </w:r>
        </w:p>
        <w:p w14:paraId="4773BE1C">
          <w:pPr>
            <w:pStyle w:val="13"/>
            <w:tabs>
              <w:tab w:val="right" w:leader="dot" w:pos="9026"/>
            </w:tabs>
            <w:ind w:left="1280" w:firstLine="640"/>
          </w:pPr>
          <w:r>
            <w:fldChar w:fldCharType="begin"/>
          </w:r>
          <w:r>
            <w:instrText xml:space="preserve"> HYPERLINK \l "_Toc23365" </w:instrText>
          </w:r>
          <w:r>
            <w:fldChar w:fldCharType="separate"/>
          </w:r>
          <w:r>
            <w:rPr>
              <w:rFonts w:hint="eastAsia"/>
            </w:rPr>
            <w:t>4.6.2. 打造先进技术体系</w:t>
          </w:r>
          <w:r>
            <w:tab/>
          </w:r>
          <w:r>
            <w:fldChar w:fldCharType="begin"/>
          </w:r>
          <w:r>
            <w:instrText xml:space="preserve"> PAGEREF _Toc23365 \h </w:instrText>
          </w:r>
          <w:r>
            <w:fldChar w:fldCharType="separate"/>
          </w:r>
          <w:r>
            <w:t>62</w:t>
          </w:r>
          <w:r>
            <w:fldChar w:fldCharType="end"/>
          </w:r>
          <w:r>
            <w:fldChar w:fldCharType="end"/>
          </w:r>
        </w:p>
        <w:p w14:paraId="2253FAEC">
          <w:pPr>
            <w:pStyle w:val="13"/>
            <w:tabs>
              <w:tab w:val="right" w:leader="dot" w:pos="9026"/>
            </w:tabs>
            <w:ind w:left="1280" w:firstLine="640"/>
          </w:pPr>
          <w:r>
            <w:fldChar w:fldCharType="begin"/>
          </w:r>
          <w:r>
            <w:instrText xml:space="preserve"> HYPERLINK \l "_Toc18758" </w:instrText>
          </w:r>
          <w:r>
            <w:fldChar w:fldCharType="separate"/>
          </w:r>
          <w:r>
            <w:rPr>
              <w:rFonts w:hint="eastAsia"/>
            </w:rPr>
            <w:t>4.6.3. 建立活力市场体系</w:t>
          </w:r>
          <w:r>
            <w:tab/>
          </w:r>
          <w:r>
            <w:fldChar w:fldCharType="begin"/>
          </w:r>
          <w:r>
            <w:instrText xml:space="preserve"> PAGEREF _Toc18758 \h </w:instrText>
          </w:r>
          <w:r>
            <w:fldChar w:fldCharType="separate"/>
          </w:r>
          <w:r>
            <w:t>62</w:t>
          </w:r>
          <w:r>
            <w:fldChar w:fldCharType="end"/>
          </w:r>
          <w:r>
            <w:fldChar w:fldCharType="end"/>
          </w:r>
        </w:p>
        <w:p w14:paraId="7858EECC">
          <w:pPr>
            <w:pStyle w:val="13"/>
            <w:tabs>
              <w:tab w:val="right" w:leader="dot" w:pos="9026"/>
            </w:tabs>
            <w:ind w:left="1280" w:firstLine="640"/>
          </w:pPr>
          <w:r>
            <w:fldChar w:fldCharType="begin"/>
          </w:r>
          <w:r>
            <w:instrText xml:space="preserve"> HYPERLINK \l "_Toc23172" </w:instrText>
          </w:r>
          <w:r>
            <w:fldChar w:fldCharType="separate"/>
          </w:r>
          <w:r>
            <w:rPr>
              <w:rFonts w:hint="eastAsia"/>
            </w:rPr>
            <w:t>4.6.4. 健全固废监管体系</w:t>
          </w:r>
          <w:r>
            <w:tab/>
          </w:r>
          <w:r>
            <w:fldChar w:fldCharType="begin"/>
          </w:r>
          <w:r>
            <w:instrText xml:space="preserve"> PAGEREF _Toc23172 \h </w:instrText>
          </w:r>
          <w:r>
            <w:fldChar w:fldCharType="separate"/>
          </w:r>
          <w:r>
            <w:t>63</w:t>
          </w:r>
          <w:r>
            <w:fldChar w:fldCharType="end"/>
          </w:r>
          <w:r>
            <w:fldChar w:fldCharType="end"/>
          </w:r>
        </w:p>
        <w:p w14:paraId="6574B504">
          <w:pPr>
            <w:pStyle w:val="17"/>
            <w:tabs>
              <w:tab w:val="right" w:leader="dot" w:pos="9026"/>
            </w:tabs>
            <w:ind w:firstLine="640"/>
          </w:pPr>
          <w:r>
            <w:fldChar w:fldCharType="begin"/>
          </w:r>
          <w:r>
            <w:instrText xml:space="preserve"> HYPERLINK \l "_Toc7414" </w:instrText>
          </w:r>
          <w:r>
            <w:fldChar w:fldCharType="separate"/>
          </w:r>
          <w:r>
            <w:rPr>
              <w:rFonts w:hint="eastAsia"/>
            </w:rPr>
            <w:t>第五章 主要清单及任务安排</w:t>
          </w:r>
          <w:r>
            <w:tab/>
          </w:r>
          <w:r>
            <w:fldChar w:fldCharType="begin"/>
          </w:r>
          <w:r>
            <w:instrText xml:space="preserve"> PAGEREF _Toc7414 \h </w:instrText>
          </w:r>
          <w:r>
            <w:fldChar w:fldCharType="separate"/>
          </w:r>
          <w:r>
            <w:t>65</w:t>
          </w:r>
          <w:r>
            <w:fldChar w:fldCharType="end"/>
          </w:r>
          <w:r>
            <w:fldChar w:fldCharType="end"/>
          </w:r>
        </w:p>
        <w:p w14:paraId="36A3A4BD">
          <w:pPr>
            <w:pStyle w:val="18"/>
            <w:tabs>
              <w:tab w:val="right" w:leader="dot" w:pos="9026"/>
            </w:tabs>
            <w:ind w:left="640" w:firstLine="640"/>
          </w:pPr>
          <w:r>
            <w:fldChar w:fldCharType="begin"/>
          </w:r>
          <w:r>
            <w:instrText xml:space="preserve"> HYPERLINK \l "_Toc6988" </w:instrText>
          </w:r>
          <w:r>
            <w:fldChar w:fldCharType="separate"/>
          </w:r>
          <w:r>
            <w:rPr>
              <w:rFonts w:hint="eastAsia"/>
            </w:rPr>
            <w:t>5.1. “无废城市”建设任务清单及进度安排</w:t>
          </w:r>
          <w:r>
            <w:tab/>
          </w:r>
          <w:r>
            <w:fldChar w:fldCharType="begin"/>
          </w:r>
          <w:r>
            <w:instrText xml:space="preserve"> PAGEREF _Toc6988 \h </w:instrText>
          </w:r>
          <w:r>
            <w:fldChar w:fldCharType="separate"/>
          </w:r>
          <w:r>
            <w:t>65</w:t>
          </w:r>
          <w:r>
            <w:fldChar w:fldCharType="end"/>
          </w:r>
          <w:r>
            <w:fldChar w:fldCharType="end"/>
          </w:r>
        </w:p>
        <w:p w14:paraId="69DD3405">
          <w:pPr>
            <w:pStyle w:val="18"/>
            <w:tabs>
              <w:tab w:val="right" w:leader="dot" w:pos="9026"/>
            </w:tabs>
            <w:ind w:left="640" w:firstLine="640"/>
          </w:pPr>
          <w:r>
            <w:fldChar w:fldCharType="begin"/>
          </w:r>
          <w:r>
            <w:instrText xml:space="preserve"> HYPERLINK \l "_Toc5818" </w:instrText>
          </w:r>
          <w:r>
            <w:fldChar w:fldCharType="separate"/>
          </w:r>
          <w:r>
            <w:rPr>
              <w:rFonts w:hint="eastAsia"/>
            </w:rPr>
            <w:t>5.2. “无废城市”建设部门责任清单</w:t>
          </w:r>
          <w:r>
            <w:tab/>
          </w:r>
          <w:r>
            <w:fldChar w:fldCharType="begin"/>
          </w:r>
          <w:r>
            <w:instrText xml:space="preserve"> PAGEREF _Toc5818 \h </w:instrText>
          </w:r>
          <w:r>
            <w:fldChar w:fldCharType="separate"/>
          </w:r>
          <w:r>
            <w:t>65</w:t>
          </w:r>
          <w:r>
            <w:fldChar w:fldCharType="end"/>
          </w:r>
          <w:r>
            <w:fldChar w:fldCharType="end"/>
          </w:r>
        </w:p>
        <w:p w14:paraId="120F54F1">
          <w:pPr>
            <w:pStyle w:val="18"/>
            <w:tabs>
              <w:tab w:val="right" w:leader="dot" w:pos="9026"/>
            </w:tabs>
            <w:ind w:left="640" w:firstLine="640"/>
          </w:pPr>
          <w:r>
            <w:fldChar w:fldCharType="begin"/>
          </w:r>
          <w:r>
            <w:instrText xml:space="preserve"> HYPERLINK \l "_Toc10964" </w:instrText>
          </w:r>
          <w:r>
            <w:fldChar w:fldCharType="separate"/>
          </w:r>
          <w:r>
            <w:rPr>
              <w:rFonts w:hint="eastAsia"/>
            </w:rPr>
            <w:t>5.3. “无废城市”建设项目清单及进度安排</w:t>
          </w:r>
          <w:r>
            <w:tab/>
          </w:r>
          <w:r>
            <w:fldChar w:fldCharType="begin"/>
          </w:r>
          <w:r>
            <w:instrText xml:space="preserve"> PAGEREF _Toc10964 \h </w:instrText>
          </w:r>
          <w:r>
            <w:fldChar w:fldCharType="separate"/>
          </w:r>
          <w:r>
            <w:t>65</w:t>
          </w:r>
          <w:r>
            <w:fldChar w:fldCharType="end"/>
          </w:r>
          <w:r>
            <w:fldChar w:fldCharType="end"/>
          </w:r>
        </w:p>
        <w:p w14:paraId="72C89D0F">
          <w:pPr>
            <w:pStyle w:val="17"/>
            <w:tabs>
              <w:tab w:val="right" w:leader="dot" w:pos="9026"/>
            </w:tabs>
            <w:ind w:firstLine="640"/>
          </w:pPr>
          <w:r>
            <w:fldChar w:fldCharType="begin"/>
          </w:r>
          <w:r>
            <w:instrText xml:space="preserve"> HYPERLINK \l "_Toc24137" </w:instrText>
          </w:r>
          <w:r>
            <w:fldChar w:fldCharType="separate"/>
          </w:r>
          <w:r>
            <w:rPr>
              <w:rFonts w:hint="eastAsia"/>
            </w:rPr>
            <w:t>第六章 保障措施</w:t>
          </w:r>
          <w:r>
            <w:tab/>
          </w:r>
          <w:r>
            <w:fldChar w:fldCharType="begin"/>
          </w:r>
          <w:r>
            <w:instrText xml:space="preserve"> PAGEREF _Toc24137 \h </w:instrText>
          </w:r>
          <w:r>
            <w:fldChar w:fldCharType="separate"/>
          </w:r>
          <w:r>
            <w:t>66</w:t>
          </w:r>
          <w:r>
            <w:fldChar w:fldCharType="end"/>
          </w:r>
          <w:r>
            <w:fldChar w:fldCharType="end"/>
          </w:r>
        </w:p>
        <w:p w14:paraId="4FAF6EC7">
          <w:pPr>
            <w:pStyle w:val="18"/>
            <w:tabs>
              <w:tab w:val="right" w:leader="dot" w:pos="9026"/>
            </w:tabs>
            <w:ind w:left="640" w:firstLine="640"/>
          </w:pPr>
          <w:r>
            <w:fldChar w:fldCharType="begin"/>
          </w:r>
          <w:r>
            <w:instrText xml:space="preserve"> HYPERLINK \l "_Toc11213" </w:instrText>
          </w:r>
          <w:r>
            <w:fldChar w:fldCharType="separate"/>
          </w:r>
          <w:r>
            <w:rPr>
              <w:rFonts w:hint="eastAsia"/>
            </w:rPr>
            <w:t>6.1. 加强组织领导</w:t>
          </w:r>
          <w:r>
            <w:tab/>
          </w:r>
          <w:r>
            <w:fldChar w:fldCharType="begin"/>
          </w:r>
          <w:r>
            <w:instrText xml:space="preserve"> PAGEREF _Toc11213 \h </w:instrText>
          </w:r>
          <w:r>
            <w:fldChar w:fldCharType="separate"/>
          </w:r>
          <w:r>
            <w:t>66</w:t>
          </w:r>
          <w:r>
            <w:fldChar w:fldCharType="end"/>
          </w:r>
          <w:r>
            <w:fldChar w:fldCharType="end"/>
          </w:r>
        </w:p>
        <w:p w14:paraId="7DF87CC4">
          <w:pPr>
            <w:pStyle w:val="18"/>
            <w:tabs>
              <w:tab w:val="right" w:leader="dot" w:pos="9026"/>
            </w:tabs>
            <w:ind w:left="640" w:firstLine="640"/>
          </w:pPr>
          <w:r>
            <w:fldChar w:fldCharType="begin"/>
          </w:r>
          <w:r>
            <w:instrText xml:space="preserve"> HYPERLINK \l "_Toc9735" </w:instrText>
          </w:r>
          <w:r>
            <w:fldChar w:fldCharType="separate"/>
          </w:r>
          <w:r>
            <w:rPr>
              <w:rFonts w:hint="eastAsia"/>
            </w:rPr>
            <w:t>6.2. 加大资金支持</w:t>
          </w:r>
          <w:r>
            <w:tab/>
          </w:r>
          <w:r>
            <w:fldChar w:fldCharType="begin"/>
          </w:r>
          <w:r>
            <w:instrText xml:space="preserve"> PAGEREF _Toc9735 \h </w:instrText>
          </w:r>
          <w:r>
            <w:fldChar w:fldCharType="separate"/>
          </w:r>
          <w:r>
            <w:t>66</w:t>
          </w:r>
          <w:r>
            <w:fldChar w:fldCharType="end"/>
          </w:r>
          <w:r>
            <w:fldChar w:fldCharType="end"/>
          </w:r>
        </w:p>
        <w:p w14:paraId="7CDE6665">
          <w:pPr>
            <w:pStyle w:val="18"/>
            <w:tabs>
              <w:tab w:val="right" w:leader="dot" w:pos="9026"/>
            </w:tabs>
            <w:ind w:left="640" w:firstLine="640"/>
          </w:pPr>
          <w:r>
            <w:fldChar w:fldCharType="begin"/>
          </w:r>
          <w:r>
            <w:instrText xml:space="preserve"> HYPERLINK \l "_Toc32698" </w:instrText>
          </w:r>
          <w:r>
            <w:fldChar w:fldCharType="separate"/>
          </w:r>
          <w:r>
            <w:rPr>
              <w:rFonts w:hint="eastAsia"/>
            </w:rPr>
            <w:t>6.3. 加强技术支持</w:t>
          </w:r>
          <w:r>
            <w:tab/>
          </w:r>
          <w:r>
            <w:fldChar w:fldCharType="begin"/>
          </w:r>
          <w:r>
            <w:instrText xml:space="preserve"> PAGEREF _Toc32698 \h </w:instrText>
          </w:r>
          <w:r>
            <w:fldChar w:fldCharType="separate"/>
          </w:r>
          <w:r>
            <w:t>67</w:t>
          </w:r>
          <w:r>
            <w:fldChar w:fldCharType="end"/>
          </w:r>
          <w:r>
            <w:fldChar w:fldCharType="end"/>
          </w:r>
        </w:p>
        <w:p w14:paraId="2DAD45CB">
          <w:pPr>
            <w:pStyle w:val="18"/>
            <w:tabs>
              <w:tab w:val="right" w:leader="dot" w:pos="9026"/>
            </w:tabs>
            <w:ind w:left="640" w:firstLine="640"/>
          </w:pPr>
          <w:r>
            <w:fldChar w:fldCharType="begin"/>
          </w:r>
          <w:r>
            <w:instrText xml:space="preserve"> HYPERLINK \l "_Toc1899" </w:instrText>
          </w:r>
          <w:r>
            <w:fldChar w:fldCharType="separate"/>
          </w:r>
          <w:r>
            <w:rPr>
              <w:rFonts w:hint="eastAsia"/>
            </w:rPr>
            <w:t>6.4. 强化宣传引导</w:t>
          </w:r>
          <w:r>
            <w:tab/>
          </w:r>
          <w:r>
            <w:fldChar w:fldCharType="begin"/>
          </w:r>
          <w:r>
            <w:instrText xml:space="preserve"> PAGEREF _Toc1899 \h </w:instrText>
          </w:r>
          <w:r>
            <w:fldChar w:fldCharType="separate"/>
          </w:r>
          <w:r>
            <w:t>67</w:t>
          </w:r>
          <w:r>
            <w:fldChar w:fldCharType="end"/>
          </w:r>
          <w:r>
            <w:fldChar w:fldCharType="end"/>
          </w:r>
        </w:p>
        <w:p w14:paraId="64ECB6D4">
          <w:pPr>
            <w:pStyle w:val="17"/>
            <w:tabs>
              <w:tab w:val="right" w:leader="dot" w:pos="9026"/>
            </w:tabs>
            <w:ind w:firstLine="640"/>
          </w:pPr>
          <w:r>
            <w:fldChar w:fldCharType="begin"/>
          </w:r>
          <w:r>
            <w:instrText xml:space="preserve"> HYPERLINK \l "_Toc10287" </w:instrText>
          </w:r>
          <w:r>
            <w:fldChar w:fldCharType="separate"/>
          </w:r>
          <w:r>
            <w:rPr>
              <w:rFonts w:hint="eastAsia"/>
            </w:rPr>
            <w:t>第七章 连云区“无废城市”建设亮点模式</w:t>
          </w:r>
          <w:r>
            <w:tab/>
          </w:r>
          <w:r>
            <w:fldChar w:fldCharType="begin"/>
          </w:r>
          <w:r>
            <w:instrText xml:space="preserve"> PAGEREF _Toc10287 \h </w:instrText>
          </w:r>
          <w:r>
            <w:fldChar w:fldCharType="separate"/>
          </w:r>
          <w:r>
            <w:t>69</w:t>
          </w:r>
          <w:r>
            <w:fldChar w:fldCharType="end"/>
          </w:r>
          <w:r>
            <w:fldChar w:fldCharType="end"/>
          </w:r>
        </w:p>
        <w:p w14:paraId="2306A1CB">
          <w:pPr>
            <w:pStyle w:val="18"/>
            <w:tabs>
              <w:tab w:val="right" w:leader="dot" w:pos="9026"/>
            </w:tabs>
            <w:ind w:left="640" w:firstLine="640"/>
          </w:pPr>
          <w:r>
            <w:fldChar w:fldCharType="begin"/>
          </w:r>
          <w:r>
            <w:instrText xml:space="preserve"> HYPERLINK \l "_Toc31689" </w:instrText>
          </w:r>
          <w:r>
            <w:fldChar w:fldCharType="separate"/>
          </w:r>
          <w:r>
            <w:rPr>
              <w:rFonts w:hint="eastAsia"/>
            </w:rPr>
            <w:t>7.1. 碱渣治理，树立固废综合利用新“标杆”</w:t>
          </w:r>
          <w:r>
            <w:tab/>
          </w:r>
          <w:r>
            <w:fldChar w:fldCharType="begin"/>
          </w:r>
          <w:r>
            <w:instrText xml:space="preserve"> PAGEREF _Toc31689 \h </w:instrText>
          </w:r>
          <w:r>
            <w:fldChar w:fldCharType="separate"/>
          </w:r>
          <w:r>
            <w:t>69</w:t>
          </w:r>
          <w:r>
            <w:fldChar w:fldCharType="end"/>
          </w:r>
          <w:r>
            <w:fldChar w:fldCharType="end"/>
          </w:r>
        </w:p>
        <w:p w14:paraId="58471EE2">
          <w:pPr>
            <w:pStyle w:val="13"/>
            <w:tabs>
              <w:tab w:val="right" w:leader="dot" w:pos="9026"/>
            </w:tabs>
            <w:ind w:left="1280" w:firstLine="640"/>
          </w:pPr>
          <w:r>
            <w:fldChar w:fldCharType="begin"/>
          </w:r>
          <w:r>
            <w:instrText xml:space="preserve"> HYPERLINK \l "_Toc1785" </w:instrText>
          </w:r>
          <w:r>
            <w:fldChar w:fldCharType="separate"/>
          </w:r>
          <w:r>
            <w:rPr>
              <w:rFonts w:hint="eastAsia"/>
            </w:rPr>
            <w:t>7.1.1. 模式背景</w:t>
          </w:r>
          <w:r>
            <w:tab/>
          </w:r>
          <w:r>
            <w:fldChar w:fldCharType="begin"/>
          </w:r>
          <w:r>
            <w:instrText xml:space="preserve"> PAGEREF _Toc1785 \h </w:instrText>
          </w:r>
          <w:r>
            <w:fldChar w:fldCharType="separate"/>
          </w:r>
          <w:r>
            <w:t>69</w:t>
          </w:r>
          <w:r>
            <w:fldChar w:fldCharType="end"/>
          </w:r>
          <w:r>
            <w:fldChar w:fldCharType="end"/>
          </w:r>
        </w:p>
        <w:p w14:paraId="5D02CBA2">
          <w:pPr>
            <w:pStyle w:val="13"/>
            <w:tabs>
              <w:tab w:val="right" w:leader="dot" w:pos="9026"/>
            </w:tabs>
            <w:ind w:left="1280" w:firstLine="640"/>
          </w:pPr>
          <w:r>
            <w:fldChar w:fldCharType="begin"/>
          </w:r>
          <w:r>
            <w:instrText xml:space="preserve"> HYPERLINK \l "_Toc7266" </w:instrText>
          </w:r>
          <w:r>
            <w:fldChar w:fldCharType="separate"/>
          </w:r>
          <w:r>
            <w:rPr>
              <w:rFonts w:hint="eastAsia"/>
            </w:rPr>
            <w:t>7.1.2. 连云做法</w:t>
          </w:r>
          <w:r>
            <w:tab/>
          </w:r>
          <w:r>
            <w:fldChar w:fldCharType="begin"/>
          </w:r>
          <w:r>
            <w:instrText xml:space="preserve"> PAGEREF _Toc7266 \h </w:instrText>
          </w:r>
          <w:r>
            <w:fldChar w:fldCharType="separate"/>
          </w:r>
          <w:r>
            <w:t>69</w:t>
          </w:r>
          <w:r>
            <w:fldChar w:fldCharType="end"/>
          </w:r>
          <w:r>
            <w:fldChar w:fldCharType="end"/>
          </w:r>
        </w:p>
        <w:p w14:paraId="48DAC102">
          <w:pPr>
            <w:pStyle w:val="18"/>
            <w:tabs>
              <w:tab w:val="right" w:leader="dot" w:pos="9026"/>
            </w:tabs>
            <w:ind w:left="640" w:firstLine="640"/>
          </w:pPr>
          <w:r>
            <w:fldChar w:fldCharType="begin"/>
          </w:r>
          <w:r>
            <w:instrText xml:space="preserve"> HYPERLINK \l "_Toc7279" </w:instrText>
          </w:r>
          <w:r>
            <w:fldChar w:fldCharType="separate"/>
          </w:r>
          <w:r>
            <w:rPr>
              <w:rFonts w:hint="eastAsia"/>
            </w:rPr>
            <w:t>7.2. 焦油利用，实现危险废物“变废为宝”</w:t>
          </w:r>
          <w:r>
            <w:tab/>
          </w:r>
          <w:r>
            <w:fldChar w:fldCharType="begin"/>
          </w:r>
          <w:r>
            <w:instrText xml:space="preserve"> PAGEREF _Toc7279 \h </w:instrText>
          </w:r>
          <w:r>
            <w:fldChar w:fldCharType="separate"/>
          </w:r>
          <w:r>
            <w:t>72</w:t>
          </w:r>
          <w:r>
            <w:fldChar w:fldCharType="end"/>
          </w:r>
          <w:r>
            <w:fldChar w:fldCharType="end"/>
          </w:r>
        </w:p>
        <w:p w14:paraId="1075393D">
          <w:pPr>
            <w:pStyle w:val="13"/>
            <w:tabs>
              <w:tab w:val="right" w:leader="dot" w:pos="9026"/>
            </w:tabs>
            <w:ind w:left="1280" w:firstLine="640"/>
          </w:pPr>
          <w:r>
            <w:fldChar w:fldCharType="begin"/>
          </w:r>
          <w:r>
            <w:instrText xml:space="preserve"> HYPERLINK \l "_Toc27612" </w:instrText>
          </w:r>
          <w:r>
            <w:fldChar w:fldCharType="separate"/>
          </w:r>
          <w:r>
            <w:rPr>
              <w:rFonts w:hint="eastAsia"/>
            </w:rPr>
            <w:t>7.2.1. 模式背景</w:t>
          </w:r>
          <w:r>
            <w:tab/>
          </w:r>
          <w:r>
            <w:fldChar w:fldCharType="begin"/>
          </w:r>
          <w:r>
            <w:instrText xml:space="preserve"> PAGEREF _Toc27612 \h </w:instrText>
          </w:r>
          <w:r>
            <w:fldChar w:fldCharType="separate"/>
          </w:r>
          <w:r>
            <w:t>72</w:t>
          </w:r>
          <w:r>
            <w:fldChar w:fldCharType="end"/>
          </w:r>
          <w:r>
            <w:fldChar w:fldCharType="end"/>
          </w:r>
        </w:p>
        <w:p w14:paraId="7B3804EE">
          <w:pPr>
            <w:pStyle w:val="13"/>
            <w:tabs>
              <w:tab w:val="right" w:leader="dot" w:pos="9026"/>
            </w:tabs>
            <w:ind w:left="1280" w:firstLine="640"/>
          </w:pPr>
          <w:r>
            <w:fldChar w:fldCharType="begin"/>
          </w:r>
          <w:r>
            <w:instrText xml:space="preserve"> HYPERLINK \l "_Toc7562" </w:instrText>
          </w:r>
          <w:r>
            <w:fldChar w:fldCharType="separate"/>
          </w:r>
          <w:r>
            <w:rPr>
              <w:rFonts w:hint="eastAsia"/>
            </w:rPr>
            <w:t>7.2.2. 连云做法</w:t>
          </w:r>
          <w:r>
            <w:tab/>
          </w:r>
          <w:r>
            <w:fldChar w:fldCharType="begin"/>
          </w:r>
          <w:r>
            <w:instrText xml:space="preserve"> PAGEREF _Toc7562 \h </w:instrText>
          </w:r>
          <w:r>
            <w:fldChar w:fldCharType="separate"/>
          </w:r>
          <w:r>
            <w:t>72</w:t>
          </w:r>
          <w:r>
            <w:fldChar w:fldCharType="end"/>
          </w:r>
          <w:r>
            <w:fldChar w:fldCharType="end"/>
          </w:r>
        </w:p>
        <w:p w14:paraId="7C6ECC19">
          <w:pPr>
            <w:pStyle w:val="18"/>
            <w:tabs>
              <w:tab w:val="right" w:leader="dot" w:pos="9026"/>
            </w:tabs>
            <w:ind w:left="640" w:firstLine="640"/>
          </w:pPr>
          <w:r>
            <w:fldChar w:fldCharType="begin"/>
          </w:r>
          <w:r>
            <w:instrText xml:space="preserve"> HYPERLINK \l "_Toc15506" </w:instrText>
          </w:r>
          <w:r>
            <w:fldChar w:fldCharType="separate"/>
          </w:r>
          <w:r>
            <w:rPr>
              <w:rFonts w:hint="eastAsia"/>
            </w:rPr>
            <w:t>7.3. 山海统筹，打造“无废”海滨新城区</w:t>
          </w:r>
          <w:r>
            <w:tab/>
          </w:r>
          <w:r>
            <w:fldChar w:fldCharType="begin"/>
          </w:r>
          <w:r>
            <w:instrText xml:space="preserve"> PAGEREF _Toc15506 \h </w:instrText>
          </w:r>
          <w:r>
            <w:fldChar w:fldCharType="separate"/>
          </w:r>
          <w:r>
            <w:t>74</w:t>
          </w:r>
          <w:r>
            <w:fldChar w:fldCharType="end"/>
          </w:r>
          <w:r>
            <w:fldChar w:fldCharType="end"/>
          </w:r>
        </w:p>
        <w:p w14:paraId="49E2676B">
          <w:pPr>
            <w:pStyle w:val="13"/>
            <w:tabs>
              <w:tab w:val="right" w:leader="dot" w:pos="9026"/>
            </w:tabs>
            <w:ind w:left="1280" w:firstLine="640"/>
          </w:pPr>
          <w:r>
            <w:fldChar w:fldCharType="begin"/>
          </w:r>
          <w:r>
            <w:instrText xml:space="preserve"> HYPERLINK \l "_Toc18288" </w:instrText>
          </w:r>
          <w:r>
            <w:fldChar w:fldCharType="separate"/>
          </w:r>
          <w:r>
            <w:rPr>
              <w:rFonts w:hint="eastAsia"/>
            </w:rPr>
            <w:t>7.3.1. 模式背景</w:t>
          </w:r>
          <w:r>
            <w:tab/>
          </w:r>
          <w:r>
            <w:fldChar w:fldCharType="begin"/>
          </w:r>
          <w:r>
            <w:instrText xml:space="preserve"> PAGEREF _Toc18288 \h </w:instrText>
          </w:r>
          <w:r>
            <w:fldChar w:fldCharType="separate"/>
          </w:r>
          <w:r>
            <w:t>74</w:t>
          </w:r>
          <w:r>
            <w:fldChar w:fldCharType="end"/>
          </w:r>
          <w:r>
            <w:fldChar w:fldCharType="end"/>
          </w:r>
        </w:p>
        <w:p w14:paraId="522900C2">
          <w:pPr>
            <w:pStyle w:val="13"/>
            <w:tabs>
              <w:tab w:val="right" w:leader="dot" w:pos="9026"/>
            </w:tabs>
            <w:ind w:left="1280" w:firstLine="640"/>
          </w:pPr>
          <w:r>
            <w:fldChar w:fldCharType="begin"/>
          </w:r>
          <w:r>
            <w:instrText xml:space="preserve"> HYPERLINK \l "_Toc8803" </w:instrText>
          </w:r>
          <w:r>
            <w:fldChar w:fldCharType="separate"/>
          </w:r>
          <w:r>
            <w:rPr>
              <w:rFonts w:hint="eastAsia"/>
            </w:rPr>
            <w:t>7.3.2. 连云做法</w:t>
          </w:r>
          <w:r>
            <w:tab/>
          </w:r>
          <w:r>
            <w:fldChar w:fldCharType="begin"/>
          </w:r>
          <w:r>
            <w:instrText xml:space="preserve"> PAGEREF _Toc8803 \h </w:instrText>
          </w:r>
          <w:r>
            <w:fldChar w:fldCharType="separate"/>
          </w:r>
          <w:r>
            <w:t>74</w:t>
          </w:r>
          <w:r>
            <w:fldChar w:fldCharType="end"/>
          </w:r>
          <w:r>
            <w:fldChar w:fldCharType="end"/>
          </w:r>
        </w:p>
        <w:p w14:paraId="28BE4BB1">
          <w:pPr>
            <w:pStyle w:val="17"/>
            <w:tabs>
              <w:tab w:val="right" w:leader="dot" w:pos="9026"/>
            </w:tabs>
            <w:ind w:firstLine="640"/>
          </w:pPr>
          <w:r>
            <w:fldChar w:fldCharType="begin"/>
          </w:r>
          <w:r>
            <w:instrText xml:space="preserve"> HYPERLINK \l "_Toc17554" </w:instrText>
          </w:r>
          <w:r>
            <w:fldChar w:fldCharType="separate"/>
          </w:r>
          <w:r>
            <w:rPr>
              <w:rFonts w:hint="eastAsia"/>
            </w:rPr>
            <w:t>附件1 连云区“无废城市”建设废物清单</w:t>
          </w:r>
          <w:r>
            <w:tab/>
          </w:r>
          <w:r>
            <w:fldChar w:fldCharType="begin"/>
          </w:r>
          <w:r>
            <w:instrText xml:space="preserve"> PAGEREF _Toc17554 \h </w:instrText>
          </w:r>
          <w:r>
            <w:fldChar w:fldCharType="separate"/>
          </w:r>
          <w:r>
            <w:t>80</w:t>
          </w:r>
          <w:r>
            <w:fldChar w:fldCharType="end"/>
          </w:r>
          <w:r>
            <w:fldChar w:fldCharType="end"/>
          </w:r>
        </w:p>
        <w:p w14:paraId="6057D11D">
          <w:pPr>
            <w:pStyle w:val="17"/>
            <w:tabs>
              <w:tab w:val="right" w:leader="dot" w:pos="9026"/>
            </w:tabs>
            <w:ind w:firstLine="640"/>
          </w:pPr>
          <w:r>
            <w:fldChar w:fldCharType="begin"/>
          </w:r>
          <w:r>
            <w:instrText xml:space="preserve"> HYPERLINK \l "_Toc5089" </w:instrText>
          </w:r>
          <w:r>
            <w:fldChar w:fldCharType="separate"/>
          </w:r>
          <w:r>
            <w:rPr>
              <w:rFonts w:hint="eastAsia"/>
            </w:rPr>
            <w:t>附件2 连云区“无废城市”建设目标清单</w:t>
          </w:r>
          <w:r>
            <w:tab/>
          </w:r>
          <w:r>
            <w:fldChar w:fldCharType="begin"/>
          </w:r>
          <w:r>
            <w:instrText xml:space="preserve"> PAGEREF _Toc5089 \h </w:instrText>
          </w:r>
          <w:r>
            <w:fldChar w:fldCharType="separate"/>
          </w:r>
          <w:r>
            <w:t>83</w:t>
          </w:r>
          <w:r>
            <w:fldChar w:fldCharType="end"/>
          </w:r>
          <w:r>
            <w:fldChar w:fldCharType="end"/>
          </w:r>
        </w:p>
        <w:p w14:paraId="43E67A81">
          <w:pPr>
            <w:pStyle w:val="17"/>
            <w:tabs>
              <w:tab w:val="right" w:leader="dot" w:pos="9026"/>
            </w:tabs>
            <w:ind w:firstLine="640"/>
          </w:pPr>
          <w:r>
            <w:fldChar w:fldCharType="begin"/>
          </w:r>
          <w:r>
            <w:instrText xml:space="preserve"> HYPERLINK \l "_Toc22419" </w:instrText>
          </w:r>
          <w:r>
            <w:fldChar w:fldCharType="separate"/>
          </w:r>
          <w:r>
            <w:rPr>
              <w:rFonts w:hint="eastAsia"/>
            </w:rPr>
            <w:t>附件3 连云区“无废城市”建设任务清单</w:t>
          </w:r>
          <w:r>
            <w:tab/>
          </w:r>
          <w:r>
            <w:fldChar w:fldCharType="begin"/>
          </w:r>
          <w:r>
            <w:instrText xml:space="preserve"> PAGEREF _Toc22419 \h </w:instrText>
          </w:r>
          <w:r>
            <w:fldChar w:fldCharType="separate"/>
          </w:r>
          <w:r>
            <w:t>89</w:t>
          </w:r>
          <w:r>
            <w:fldChar w:fldCharType="end"/>
          </w:r>
          <w:r>
            <w:fldChar w:fldCharType="end"/>
          </w:r>
        </w:p>
        <w:p w14:paraId="6BEFF3BB">
          <w:pPr>
            <w:pStyle w:val="17"/>
            <w:tabs>
              <w:tab w:val="right" w:leader="dot" w:pos="9026"/>
            </w:tabs>
            <w:ind w:firstLine="640"/>
          </w:pPr>
          <w:r>
            <w:fldChar w:fldCharType="begin"/>
          </w:r>
          <w:r>
            <w:instrText xml:space="preserve"> HYPERLINK \l "_Toc15887" </w:instrText>
          </w:r>
          <w:r>
            <w:fldChar w:fldCharType="separate"/>
          </w:r>
          <w:r>
            <w:rPr>
              <w:rFonts w:hint="eastAsia"/>
            </w:rPr>
            <w:t>附件4 连云区“无废城市”建设责任清单</w:t>
          </w:r>
          <w:r>
            <w:tab/>
          </w:r>
          <w:r>
            <w:fldChar w:fldCharType="begin"/>
          </w:r>
          <w:r>
            <w:instrText xml:space="preserve"> PAGEREF _Toc15887 \h </w:instrText>
          </w:r>
          <w:r>
            <w:fldChar w:fldCharType="separate"/>
          </w:r>
          <w:r>
            <w:t>91</w:t>
          </w:r>
          <w:r>
            <w:fldChar w:fldCharType="end"/>
          </w:r>
          <w:r>
            <w:fldChar w:fldCharType="end"/>
          </w:r>
        </w:p>
        <w:p w14:paraId="164E08D9">
          <w:pPr>
            <w:pStyle w:val="17"/>
            <w:tabs>
              <w:tab w:val="right" w:leader="dot" w:pos="9026"/>
            </w:tabs>
            <w:ind w:firstLine="640"/>
          </w:pPr>
          <w:r>
            <w:fldChar w:fldCharType="begin"/>
          </w:r>
          <w:r>
            <w:instrText xml:space="preserve"> HYPERLINK \l "_Toc25234" </w:instrText>
          </w:r>
          <w:r>
            <w:fldChar w:fldCharType="separate"/>
          </w:r>
          <w:r>
            <w:rPr>
              <w:rFonts w:hint="eastAsia"/>
            </w:rPr>
            <w:t>附件5 连云区“无废城市”建设项目清单</w:t>
          </w:r>
          <w:r>
            <w:tab/>
          </w:r>
          <w:r>
            <w:fldChar w:fldCharType="begin"/>
          </w:r>
          <w:r>
            <w:instrText xml:space="preserve"> PAGEREF _Toc25234 \h </w:instrText>
          </w:r>
          <w:r>
            <w:fldChar w:fldCharType="separate"/>
          </w:r>
          <w:r>
            <w:t>95</w:t>
          </w:r>
          <w:r>
            <w:fldChar w:fldCharType="end"/>
          </w:r>
          <w:r>
            <w:fldChar w:fldCharType="end"/>
          </w:r>
        </w:p>
        <w:p w14:paraId="65876717">
          <w:pPr>
            <w:ind w:firstLine="640"/>
            <w:sectPr>
              <w:headerReference r:id="rId12" w:type="default"/>
              <w:footerReference r:id="rId13" w:type="default"/>
              <w:pgSz w:w="11906" w:h="16838"/>
              <w:pgMar w:top="1440" w:right="1440" w:bottom="1440" w:left="1440" w:header="851" w:footer="992" w:gutter="0"/>
              <w:pgNumType w:start="1"/>
              <w:cols w:space="425" w:num="1"/>
              <w:docGrid w:type="lines" w:linePitch="312" w:charSpace="0"/>
            </w:sectPr>
          </w:pPr>
          <w:r>
            <w:fldChar w:fldCharType="end"/>
          </w:r>
        </w:p>
      </w:sdtContent>
    </w:sdt>
    <w:p w14:paraId="249FE3A2">
      <w:pPr>
        <w:pStyle w:val="3"/>
        <w:numPr>
          <w:ilvl w:val="0"/>
          <w:numId w:val="1"/>
        </w:numPr>
      </w:pPr>
      <w:bookmarkStart w:id="22" w:name="_Toc8636"/>
      <w:r>
        <w:rPr>
          <w:rFonts w:hint="eastAsia"/>
        </w:rPr>
        <w:t>总则</w:t>
      </w:r>
      <w:bookmarkEnd w:id="22"/>
    </w:p>
    <w:p w14:paraId="0F4970A2">
      <w:pPr>
        <w:pStyle w:val="5"/>
        <w:numPr>
          <w:ilvl w:val="1"/>
          <w:numId w:val="1"/>
        </w:numPr>
      </w:pPr>
      <w:bookmarkStart w:id="23" w:name="_Toc29188"/>
      <w:r>
        <w:rPr>
          <w:rFonts w:hint="eastAsia"/>
        </w:rPr>
        <w:t>项目背景</w:t>
      </w:r>
      <w:bookmarkEnd w:id="23"/>
    </w:p>
    <w:p w14:paraId="52A5A55A">
      <w:pPr>
        <w:ind w:firstLine="640"/>
      </w:pPr>
      <w:r>
        <w:rPr>
          <w:rFonts w:hint="eastAsia"/>
        </w:rPr>
        <w:t>连云区开展“无废城市”建设，是深入贯彻落实习近平生态文明思想的具体行动，是推动实现减污降碳协同增效的重要举措，是推动建设现代化国际海滨城区的内在要求。</w:t>
      </w:r>
    </w:p>
    <w:p w14:paraId="0BC0CFC7">
      <w:pPr>
        <w:ind w:firstLine="640"/>
      </w:pPr>
      <w:r>
        <w:rPr>
          <w:rFonts w:hint="eastAsia"/>
        </w:rPr>
        <w:t>2021年12月，国家生态环境部、发展和改革委员会等18个部委联合印发《“十四五”时期“无废城市”建设工作方案》（环固体〔2021〕114号），提出推动100个左右地级及以上城市开展“无废城市”建设。2022年1月，省政府办公厅印发《江苏省全域“无废城市”建设工作方案》（苏政办发〔2022〕2号），提出到2025年，完成全域“无废城市”建设任务，到2030年，所有设区市均达到国家“无废城市”建设要求。2022年12月，连云港市政府办公室印发《连云港市“无废城市”建设实施方案（2022-2025）》（连政办发〔2022〕74号），要求全市开展“无废城市”建设，各县区、功能板块分别制定“无废城市”建设实施方案。为响应国家、江苏省、连云港市“无废城市”建设工作部署，连云区结合实际，编制本实施方案。</w:t>
      </w:r>
    </w:p>
    <w:p w14:paraId="460110C0">
      <w:pPr>
        <w:pStyle w:val="5"/>
        <w:numPr>
          <w:ilvl w:val="1"/>
          <w:numId w:val="1"/>
        </w:numPr>
      </w:pPr>
      <w:bookmarkStart w:id="24" w:name="_Toc23639"/>
      <w:r>
        <w:rPr>
          <w:rFonts w:hint="eastAsia"/>
        </w:rPr>
        <w:t>编制依据</w:t>
      </w:r>
      <w:bookmarkEnd w:id="24"/>
    </w:p>
    <w:p w14:paraId="2811DCDE">
      <w:pPr>
        <w:pStyle w:val="6"/>
        <w:numPr>
          <w:ilvl w:val="2"/>
          <w:numId w:val="1"/>
        </w:numPr>
      </w:pPr>
      <w:bookmarkStart w:id="25" w:name="_Toc4619"/>
      <w:r>
        <w:rPr>
          <w:rFonts w:hint="eastAsia"/>
        </w:rPr>
        <w:t>国家法律法规及相关文件</w:t>
      </w:r>
      <w:bookmarkEnd w:id="25"/>
    </w:p>
    <w:p w14:paraId="4636A054">
      <w:pPr>
        <w:numPr>
          <w:ilvl w:val="0"/>
          <w:numId w:val="2"/>
        </w:numPr>
        <w:ind w:left="0" w:firstLine="640"/>
      </w:pPr>
      <w:r>
        <w:rPr>
          <w:rFonts w:hint="eastAsia"/>
        </w:rPr>
        <w:t>《中华人民共和国环境保护法》（中华人民共和国主席令第二十二号，2014年修订）</w:t>
      </w:r>
    </w:p>
    <w:p w14:paraId="0BC0E4E7">
      <w:pPr>
        <w:numPr>
          <w:ilvl w:val="0"/>
          <w:numId w:val="2"/>
        </w:numPr>
        <w:ind w:left="0" w:firstLine="640"/>
      </w:pPr>
      <w:r>
        <w:rPr>
          <w:rFonts w:hint="eastAsia"/>
        </w:rPr>
        <w:t>《中华人民共和国固体废物污染环境防治法》（中华人民共和国主席令第四十三号，2020年修订）</w:t>
      </w:r>
    </w:p>
    <w:p w14:paraId="6E3D343B">
      <w:pPr>
        <w:numPr>
          <w:ilvl w:val="0"/>
          <w:numId w:val="2"/>
        </w:numPr>
        <w:ind w:left="0" w:firstLine="640"/>
      </w:pPr>
      <w:r>
        <w:rPr>
          <w:rFonts w:hint="eastAsia"/>
        </w:rPr>
        <w:t>《中华人民共和国循环经济促进法》（中华人民共和国主席令第四号，2018年修订）</w:t>
      </w:r>
    </w:p>
    <w:p w14:paraId="7830C6FA">
      <w:pPr>
        <w:numPr>
          <w:ilvl w:val="0"/>
          <w:numId w:val="2"/>
        </w:numPr>
        <w:ind w:left="0" w:firstLine="640"/>
      </w:pPr>
      <w:r>
        <w:rPr>
          <w:rFonts w:hint="eastAsia"/>
        </w:rPr>
        <w:t>《中华人民共和国清洁生产促进法》（中华人民共和国主席令第五十四号，2019年修订）</w:t>
      </w:r>
    </w:p>
    <w:p w14:paraId="2EB51067">
      <w:pPr>
        <w:numPr>
          <w:ilvl w:val="0"/>
          <w:numId w:val="2"/>
        </w:numPr>
        <w:ind w:left="0" w:firstLine="640"/>
      </w:pPr>
      <w:r>
        <w:rPr>
          <w:rFonts w:hint="eastAsia"/>
        </w:rPr>
        <w:t>《医疗废物管理条例》（国务院令第380号，2011年1月8日修订）</w:t>
      </w:r>
    </w:p>
    <w:p w14:paraId="618C0712">
      <w:pPr>
        <w:numPr>
          <w:ilvl w:val="0"/>
          <w:numId w:val="2"/>
        </w:numPr>
        <w:ind w:left="0" w:firstLine="640"/>
      </w:pPr>
      <w:r>
        <w:rPr>
          <w:rFonts w:hint="eastAsia"/>
        </w:rPr>
        <w:t>《工业固体废物资源综合利用评价管理暂行办法》（工信部公告2018年第26号）</w:t>
      </w:r>
    </w:p>
    <w:p w14:paraId="7B8CD7F1">
      <w:pPr>
        <w:numPr>
          <w:ilvl w:val="0"/>
          <w:numId w:val="2"/>
        </w:numPr>
        <w:ind w:left="0" w:firstLine="640"/>
      </w:pPr>
      <w:r>
        <w:rPr>
          <w:rFonts w:hint="eastAsia"/>
        </w:rPr>
        <w:t>《农药包装废弃物回收处理管理办法》（农业农村部、生态环境部令2020年第6号，2020年10月1日起施行）</w:t>
      </w:r>
    </w:p>
    <w:p w14:paraId="5C7F6CC2">
      <w:pPr>
        <w:numPr>
          <w:ilvl w:val="0"/>
          <w:numId w:val="2"/>
        </w:numPr>
        <w:ind w:left="0" w:firstLine="640"/>
      </w:pPr>
      <w:r>
        <w:rPr>
          <w:rFonts w:hint="eastAsia"/>
        </w:rPr>
        <w:t>《农用薄膜管理办法》（农业农村部、工业和信息化部、生态环境部、市场监管总局令2020年第4号，2022年9月1日起施行）</w:t>
      </w:r>
    </w:p>
    <w:p w14:paraId="1D42C220">
      <w:pPr>
        <w:numPr>
          <w:ilvl w:val="0"/>
          <w:numId w:val="2"/>
        </w:numPr>
        <w:ind w:left="0" w:firstLine="640"/>
      </w:pPr>
      <w:r>
        <w:rPr>
          <w:rFonts w:hint="eastAsia"/>
        </w:rPr>
        <w:t>《“十四五”时期“无废城市”建设工作方案》（环固体〔2021〕114号）</w:t>
      </w:r>
    </w:p>
    <w:p w14:paraId="79A106BA">
      <w:pPr>
        <w:numPr>
          <w:ilvl w:val="0"/>
          <w:numId w:val="2"/>
        </w:numPr>
        <w:ind w:left="0" w:firstLine="640"/>
      </w:pPr>
      <w:r>
        <w:rPr>
          <w:rFonts w:hint="eastAsia"/>
        </w:rPr>
        <w:t>《“十四五”节能减排综合工作方案》（国发〔2021〕33号）</w:t>
      </w:r>
    </w:p>
    <w:p w14:paraId="57DC7047">
      <w:pPr>
        <w:numPr>
          <w:ilvl w:val="0"/>
          <w:numId w:val="2"/>
        </w:numPr>
        <w:ind w:left="0" w:firstLine="640"/>
      </w:pPr>
      <w:r>
        <w:rPr>
          <w:rFonts w:hint="eastAsia"/>
        </w:rPr>
        <w:t>《国务院关于加快健全绿色低碳循环发展经济体系的指导意见》（国发〔2021〕4号）</w:t>
      </w:r>
    </w:p>
    <w:p w14:paraId="26E62D85">
      <w:pPr>
        <w:numPr>
          <w:ilvl w:val="0"/>
          <w:numId w:val="2"/>
        </w:numPr>
        <w:ind w:left="0" w:firstLine="640"/>
      </w:pPr>
      <w:r>
        <w:rPr>
          <w:rFonts w:hint="eastAsia"/>
        </w:rPr>
        <w:t>《中共中央国务院关于深入打好污染防治攻坚战的意见》（2021年）</w:t>
      </w:r>
    </w:p>
    <w:p w14:paraId="777CA899">
      <w:pPr>
        <w:numPr>
          <w:ilvl w:val="0"/>
          <w:numId w:val="2"/>
        </w:numPr>
        <w:ind w:left="0" w:firstLine="640"/>
      </w:pPr>
      <w:r>
        <w:rPr>
          <w:rFonts w:hint="eastAsia"/>
        </w:rPr>
        <w:t>《减污降碳协同增效实施方案》（环综合〔2022〕42号）</w:t>
      </w:r>
    </w:p>
    <w:p w14:paraId="0D5B720A">
      <w:pPr>
        <w:numPr>
          <w:ilvl w:val="0"/>
          <w:numId w:val="2"/>
        </w:numPr>
        <w:ind w:left="0" w:firstLine="640"/>
      </w:pPr>
      <w:r>
        <w:rPr>
          <w:rFonts w:hint="eastAsia"/>
        </w:rPr>
        <w:t>《关于“十四五”大宗固体废弃物综合利用的指导意见》（发改环资〔2021〕381号）</w:t>
      </w:r>
    </w:p>
    <w:p w14:paraId="476FEA95">
      <w:pPr>
        <w:numPr>
          <w:ilvl w:val="0"/>
          <w:numId w:val="2"/>
        </w:numPr>
        <w:ind w:left="0" w:firstLine="640"/>
      </w:pPr>
      <w:r>
        <w:rPr>
          <w:rFonts w:hint="eastAsia"/>
        </w:rPr>
        <w:t>《关于推进大宗固体废弃物综合利用产业集聚发展的通知》（发改办环资〔2019〕44号）</w:t>
      </w:r>
    </w:p>
    <w:p w14:paraId="42D8351E">
      <w:pPr>
        <w:numPr>
          <w:ilvl w:val="0"/>
          <w:numId w:val="2"/>
        </w:numPr>
        <w:ind w:left="0" w:firstLine="640"/>
      </w:pPr>
      <w:r>
        <w:rPr>
          <w:rFonts w:hint="eastAsia"/>
        </w:rPr>
        <w:t>《强化危险废物监管和利用处置能力改革实施方案》（国办函〔2021〕47号）</w:t>
      </w:r>
    </w:p>
    <w:p w14:paraId="603CC9CE">
      <w:pPr>
        <w:numPr>
          <w:ilvl w:val="0"/>
          <w:numId w:val="2"/>
        </w:numPr>
        <w:ind w:left="0" w:firstLine="640"/>
      </w:pPr>
      <w:r>
        <w:rPr>
          <w:rFonts w:hint="eastAsia"/>
        </w:rPr>
        <w:t>《国家发展改革委 住房城乡建设部 生态环境部关于印发&lt;污泥无害化处理和资源化利用实施方案&gt;的通知》（发改环资〔2022〕1453号）</w:t>
      </w:r>
    </w:p>
    <w:p w14:paraId="4AB35D5D">
      <w:pPr>
        <w:numPr>
          <w:ilvl w:val="0"/>
          <w:numId w:val="2"/>
        </w:numPr>
        <w:ind w:left="0" w:firstLine="640"/>
      </w:pPr>
      <w:r>
        <w:rPr>
          <w:rFonts w:hint="eastAsia"/>
        </w:rPr>
        <w:t>《“十四五”全国农业绿色发展规划》（农规发〔2021〕8号）</w:t>
      </w:r>
    </w:p>
    <w:p w14:paraId="12D991FA">
      <w:pPr>
        <w:numPr>
          <w:ilvl w:val="0"/>
          <w:numId w:val="2"/>
        </w:numPr>
        <w:ind w:left="0" w:firstLine="640"/>
      </w:pPr>
      <w:r>
        <w:rPr>
          <w:rFonts w:hint="eastAsia"/>
        </w:rPr>
        <w:t>《关于创新体制机制推进农业绿色发展的意见》（2017年）</w:t>
      </w:r>
    </w:p>
    <w:p w14:paraId="5B66CDA1">
      <w:pPr>
        <w:numPr>
          <w:ilvl w:val="0"/>
          <w:numId w:val="2"/>
        </w:numPr>
        <w:ind w:left="0" w:firstLine="640"/>
      </w:pPr>
      <w:r>
        <w:rPr>
          <w:rFonts w:hint="eastAsia"/>
        </w:rPr>
        <w:t>《“十四五”建筑节能与绿色建筑发展规划》（建标〔2022〕24号）</w:t>
      </w:r>
    </w:p>
    <w:p w14:paraId="69160ECB">
      <w:pPr>
        <w:numPr>
          <w:ilvl w:val="0"/>
          <w:numId w:val="2"/>
        </w:numPr>
        <w:ind w:left="0" w:firstLine="640"/>
      </w:pPr>
      <w:r>
        <w:rPr>
          <w:rFonts w:hint="eastAsia"/>
        </w:rPr>
        <w:t>《住房城乡建设部关于推进建筑垃圾减量化的指导意见》（建质〔2020〕46号）</w:t>
      </w:r>
    </w:p>
    <w:p w14:paraId="19FEBB09">
      <w:pPr>
        <w:numPr>
          <w:ilvl w:val="0"/>
          <w:numId w:val="2"/>
        </w:numPr>
        <w:ind w:left="0" w:firstLine="640"/>
      </w:pPr>
      <w:r>
        <w:rPr>
          <w:rFonts w:hint="eastAsia"/>
        </w:rPr>
        <w:t>《关于进一步推进生活垃圾分类工作的若干意见》（建城〔2020〕93号）</w:t>
      </w:r>
    </w:p>
    <w:p w14:paraId="3C18E4AA">
      <w:pPr>
        <w:numPr>
          <w:ilvl w:val="0"/>
          <w:numId w:val="2"/>
        </w:numPr>
        <w:ind w:left="0" w:firstLine="640"/>
      </w:pPr>
      <w:r>
        <w:rPr>
          <w:rFonts w:hint="eastAsia"/>
        </w:rPr>
        <w:t>《城市生活垃圾分类标志》（GB/T 19095-2019）</w:t>
      </w:r>
    </w:p>
    <w:p w14:paraId="180A3FCB">
      <w:pPr>
        <w:numPr>
          <w:ilvl w:val="0"/>
          <w:numId w:val="2"/>
        </w:numPr>
        <w:ind w:left="0" w:firstLine="640"/>
      </w:pPr>
      <w:r>
        <w:rPr>
          <w:rFonts w:hint="eastAsia"/>
        </w:rPr>
        <w:t>《农村生活垃圾处理导则》（GB/T 37066-2018）</w:t>
      </w:r>
    </w:p>
    <w:p w14:paraId="06EBA452">
      <w:pPr>
        <w:numPr>
          <w:ilvl w:val="0"/>
          <w:numId w:val="2"/>
        </w:numPr>
        <w:ind w:left="0" w:firstLine="640"/>
      </w:pPr>
      <w:r>
        <w:rPr>
          <w:rFonts w:hint="eastAsia"/>
        </w:rPr>
        <w:t>《农村生活污水处理导则》（GB/T 37071-2018）</w:t>
      </w:r>
    </w:p>
    <w:p w14:paraId="49EC215C">
      <w:pPr>
        <w:pStyle w:val="6"/>
        <w:numPr>
          <w:ilvl w:val="2"/>
          <w:numId w:val="1"/>
        </w:numPr>
      </w:pPr>
      <w:bookmarkStart w:id="26" w:name="_Toc16472"/>
      <w:r>
        <w:rPr>
          <w:rFonts w:hint="eastAsia"/>
        </w:rPr>
        <w:t>江苏省法律法规及相关文件</w:t>
      </w:r>
      <w:bookmarkEnd w:id="26"/>
    </w:p>
    <w:p w14:paraId="2C83436B">
      <w:pPr>
        <w:numPr>
          <w:ilvl w:val="0"/>
          <w:numId w:val="3"/>
        </w:numPr>
        <w:ind w:left="0" w:firstLine="640"/>
      </w:pPr>
      <w:r>
        <w:rPr>
          <w:rFonts w:hint="eastAsia"/>
        </w:rPr>
        <w:t>《江苏省固体废物污染环境防治条例》（2018年修订）</w:t>
      </w:r>
    </w:p>
    <w:p w14:paraId="769CB21C">
      <w:pPr>
        <w:numPr>
          <w:ilvl w:val="0"/>
          <w:numId w:val="3"/>
        </w:numPr>
        <w:ind w:left="0" w:firstLine="640"/>
      </w:pPr>
      <w:r>
        <w:rPr>
          <w:rFonts w:hint="eastAsia"/>
        </w:rPr>
        <w:t>《江苏省农业生态环境保护条例》（2018年修订）</w:t>
      </w:r>
    </w:p>
    <w:p w14:paraId="518BB368">
      <w:pPr>
        <w:numPr>
          <w:ilvl w:val="0"/>
          <w:numId w:val="3"/>
        </w:numPr>
        <w:ind w:left="0" w:firstLine="640"/>
      </w:pPr>
      <w:r>
        <w:rPr>
          <w:rFonts w:hint="eastAsia"/>
        </w:rPr>
        <w:t>《江苏省餐厨垃圾管理办法》（江苏省人民政府令第156号）</w:t>
      </w:r>
    </w:p>
    <w:p w14:paraId="7A0CCD8D">
      <w:pPr>
        <w:numPr>
          <w:ilvl w:val="0"/>
          <w:numId w:val="3"/>
        </w:numPr>
        <w:ind w:left="0" w:firstLine="640"/>
      </w:pPr>
      <w:r>
        <w:rPr>
          <w:rFonts w:hint="eastAsia"/>
        </w:rPr>
        <w:t>《江苏省全域“无废城市”建设工作方案》（苏政办发〔2022〕2号）</w:t>
      </w:r>
    </w:p>
    <w:p w14:paraId="1CC443BB">
      <w:pPr>
        <w:numPr>
          <w:ilvl w:val="0"/>
          <w:numId w:val="3"/>
        </w:numPr>
        <w:ind w:left="0" w:firstLine="640"/>
      </w:pPr>
      <w:r>
        <w:rPr>
          <w:rFonts w:hint="eastAsia"/>
        </w:rPr>
        <w:t>《江苏省企业环保信用评价暂行办法》（苏环办〔2018〕515号）</w:t>
      </w:r>
    </w:p>
    <w:p w14:paraId="23EF6966">
      <w:pPr>
        <w:numPr>
          <w:ilvl w:val="0"/>
          <w:numId w:val="3"/>
        </w:numPr>
        <w:ind w:left="0" w:firstLine="640"/>
      </w:pPr>
      <w:r>
        <w:rPr>
          <w:rFonts w:hint="eastAsia"/>
        </w:rPr>
        <w:t>《关于深入推进绿色金融服务生态环境高质量发展的实施意见》（苏环办〔2018〕413号）</w:t>
      </w:r>
    </w:p>
    <w:p w14:paraId="6F83A885">
      <w:pPr>
        <w:numPr>
          <w:ilvl w:val="0"/>
          <w:numId w:val="3"/>
        </w:numPr>
        <w:ind w:left="0" w:firstLine="640"/>
      </w:pPr>
      <w:r>
        <w:rPr>
          <w:rFonts w:hint="eastAsia"/>
        </w:rPr>
        <w:t>《江苏省生活垃圾分类制度实施办法》（苏政办发〔2017〕136号）</w:t>
      </w:r>
    </w:p>
    <w:p w14:paraId="5E436628">
      <w:pPr>
        <w:numPr>
          <w:ilvl w:val="0"/>
          <w:numId w:val="3"/>
        </w:numPr>
        <w:ind w:left="0" w:firstLine="640"/>
      </w:pPr>
      <w:r>
        <w:rPr>
          <w:rFonts w:hint="eastAsia"/>
        </w:rPr>
        <w:t>《江苏省城乡生活垃圾治理工作实施方案》（苏政办发〔2018〕113号）</w:t>
      </w:r>
    </w:p>
    <w:p w14:paraId="6EA0757C">
      <w:pPr>
        <w:numPr>
          <w:ilvl w:val="0"/>
          <w:numId w:val="3"/>
        </w:numPr>
        <w:ind w:left="0" w:firstLine="640"/>
      </w:pPr>
      <w:r>
        <w:rPr>
          <w:rFonts w:hint="eastAsia"/>
        </w:rPr>
        <w:t>《江苏省工业固体废物资源综合利用评价管理实施细则（暂行）》（苏经信节能〔2018〕882号）</w:t>
      </w:r>
    </w:p>
    <w:p w14:paraId="3406B770">
      <w:pPr>
        <w:numPr>
          <w:ilvl w:val="0"/>
          <w:numId w:val="3"/>
        </w:numPr>
        <w:ind w:left="0" w:firstLine="640"/>
      </w:pPr>
      <w:r>
        <w:rPr>
          <w:rFonts w:hint="eastAsia"/>
        </w:rPr>
        <w:t>《关于切实加强农药包装废弃物回收处置工作的通知》（苏农业〔2019〕264号）</w:t>
      </w:r>
    </w:p>
    <w:p w14:paraId="1724F0EF">
      <w:pPr>
        <w:numPr>
          <w:ilvl w:val="0"/>
          <w:numId w:val="3"/>
        </w:numPr>
        <w:ind w:left="0" w:firstLine="640"/>
      </w:pPr>
      <w:r>
        <w:rPr>
          <w:rFonts w:hint="eastAsia"/>
        </w:rPr>
        <w:t>《关于进一步推进城乡生活垃圾分类工作的实施意见》（苏建城管〔2021〕152号）</w:t>
      </w:r>
    </w:p>
    <w:p w14:paraId="5DC80241">
      <w:pPr>
        <w:numPr>
          <w:ilvl w:val="0"/>
          <w:numId w:val="3"/>
        </w:numPr>
        <w:ind w:left="0" w:firstLine="640"/>
      </w:pPr>
      <w:r>
        <w:rPr>
          <w:rFonts w:hint="eastAsia"/>
        </w:rPr>
        <w:t>《关于加强农业农村污染治理促进乡村生态振兴行动计划》（苏政办发〔2021〕106号）</w:t>
      </w:r>
    </w:p>
    <w:p w14:paraId="2B8BD22A">
      <w:pPr>
        <w:numPr>
          <w:ilvl w:val="0"/>
          <w:numId w:val="3"/>
        </w:numPr>
        <w:ind w:left="0" w:firstLine="640"/>
      </w:pPr>
      <w:r>
        <w:rPr>
          <w:rFonts w:hint="eastAsia"/>
        </w:rPr>
        <w:t>《江苏省“十四五”生态环境保护规划》（苏政办发〔2021〕84号）</w:t>
      </w:r>
    </w:p>
    <w:p w14:paraId="2EB81CDF">
      <w:pPr>
        <w:numPr>
          <w:ilvl w:val="0"/>
          <w:numId w:val="3"/>
        </w:numPr>
        <w:ind w:left="0" w:firstLine="640"/>
      </w:pPr>
      <w:r>
        <w:rPr>
          <w:rFonts w:hint="eastAsia"/>
        </w:rPr>
        <w:t>《江苏省“十四五”绿色建筑高质量发展规划》（苏建科〔2021〕114号）</w:t>
      </w:r>
    </w:p>
    <w:p w14:paraId="282053CE">
      <w:pPr>
        <w:numPr>
          <w:ilvl w:val="0"/>
          <w:numId w:val="3"/>
        </w:numPr>
        <w:ind w:left="0" w:firstLine="640"/>
      </w:pPr>
      <w:r>
        <w:rPr>
          <w:rFonts w:hint="eastAsia"/>
        </w:rPr>
        <w:t>《江苏省“十四五”生态环境基础设施建设规划》（2022年）</w:t>
      </w:r>
    </w:p>
    <w:p w14:paraId="6FBB9D56">
      <w:pPr>
        <w:numPr>
          <w:ilvl w:val="0"/>
          <w:numId w:val="3"/>
        </w:numPr>
        <w:ind w:left="0" w:firstLine="640"/>
      </w:pPr>
      <w:r>
        <w:rPr>
          <w:rFonts w:hint="eastAsia"/>
        </w:rPr>
        <w:t>《关于推动高质量发展做好碳达峰碳中和工作的实施意见》（苏发〔2022〕2号）</w:t>
      </w:r>
    </w:p>
    <w:p w14:paraId="4ACF652F">
      <w:pPr>
        <w:numPr>
          <w:ilvl w:val="0"/>
          <w:numId w:val="3"/>
        </w:numPr>
        <w:ind w:left="0" w:firstLine="640"/>
      </w:pPr>
      <w:r>
        <w:rPr>
          <w:rFonts w:hint="eastAsia"/>
        </w:rPr>
        <w:t>《江苏省高耗能行业重点领域节能降碳技术改造总体实施方案》（苏发改工业发〔2022〕416号）</w:t>
      </w:r>
    </w:p>
    <w:p w14:paraId="0CAA4E23">
      <w:pPr>
        <w:pStyle w:val="6"/>
        <w:numPr>
          <w:ilvl w:val="2"/>
          <w:numId w:val="1"/>
        </w:numPr>
      </w:pPr>
      <w:bookmarkStart w:id="27" w:name="_Toc32484"/>
      <w:r>
        <w:rPr>
          <w:rFonts w:hint="eastAsia"/>
        </w:rPr>
        <w:t>连云港市相关规划及文件</w:t>
      </w:r>
      <w:bookmarkEnd w:id="27"/>
    </w:p>
    <w:p w14:paraId="6EB0E669">
      <w:pPr>
        <w:numPr>
          <w:ilvl w:val="0"/>
          <w:numId w:val="4"/>
        </w:numPr>
        <w:ind w:left="0" w:firstLine="640"/>
      </w:pPr>
      <w:r>
        <w:rPr>
          <w:rFonts w:hint="eastAsia"/>
        </w:rPr>
        <w:t>《连云港市“十四五”产业发展规划》（2021年）</w:t>
      </w:r>
    </w:p>
    <w:p w14:paraId="1E1B609D">
      <w:pPr>
        <w:numPr>
          <w:ilvl w:val="0"/>
          <w:numId w:val="4"/>
        </w:numPr>
        <w:ind w:left="0" w:firstLine="640"/>
      </w:pPr>
      <w:r>
        <w:rPr>
          <w:rFonts w:hint="eastAsia"/>
        </w:rPr>
        <w:t>《连云港市“十四五”工业发展规划》（2021年）</w:t>
      </w:r>
    </w:p>
    <w:p w14:paraId="63DD9C27">
      <w:pPr>
        <w:numPr>
          <w:ilvl w:val="0"/>
          <w:numId w:val="4"/>
        </w:numPr>
        <w:ind w:left="0" w:firstLine="640"/>
      </w:pPr>
      <w:r>
        <w:rPr>
          <w:rFonts w:hint="eastAsia"/>
        </w:rPr>
        <w:t>《连云港市“十四五”生态环境保护规划》（2022年）</w:t>
      </w:r>
    </w:p>
    <w:p w14:paraId="2DFDF886">
      <w:pPr>
        <w:numPr>
          <w:ilvl w:val="0"/>
          <w:numId w:val="4"/>
        </w:numPr>
        <w:ind w:left="0" w:firstLine="640"/>
      </w:pPr>
      <w:r>
        <w:rPr>
          <w:rFonts w:hint="eastAsia"/>
        </w:rPr>
        <w:t>《连云港市“十四五”城镇住房发展规划》（2022年）</w:t>
      </w:r>
    </w:p>
    <w:p w14:paraId="333B74C9">
      <w:pPr>
        <w:numPr>
          <w:ilvl w:val="0"/>
          <w:numId w:val="4"/>
        </w:numPr>
        <w:ind w:left="0" w:firstLine="640"/>
      </w:pPr>
      <w:r>
        <w:rPr>
          <w:rFonts w:hint="eastAsia"/>
        </w:rPr>
        <w:t>《连云港市“十四五”新型城镇化规划》（2022年）</w:t>
      </w:r>
    </w:p>
    <w:p w14:paraId="49DB67DA">
      <w:pPr>
        <w:numPr>
          <w:ilvl w:val="0"/>
          <w:numId w:val="4"/>
        </w:numPr>
        <w:ind w:left="0" w:firstLine="640"/>
      </w:pPr>
      <w:r>
        <w:rPr>
          <w:rFonts w:hint="eastAsia"/>
        </w:rPr>
        <w:t>《连云港市“十四五”新型基础设施建设规划》（2022年）</w:t>
      </w:r>
    </w:p>
    <w:p w14:paraId="019F36DA">
      <w:pPr>
        <w:numPr>
          <w:ilvl w:val="0"/>
          <w:numId w:val="4"/>
        </w:numPr>
        <w:ind w:left="0" w:firstLine="640"/>
      </w:pPr>
      <w:r>
        <w:rPr>
          <w:rFonts w:hint="eastAsia"/>
        </w:rPr>
        <w:t>《连云港市“十四五”海洋经济发展规划》（2022年）</w:t>
      </w:r>
    </w:p>
    <w:p w14:paraId="0BA5B408">
      <w:pPr>
        <w:numPr>
          <w:ilvl w:val="0"/>
          <w:numId w:val="4"/>
        </w:numPr>
        <w:ind w:left="0" w:firstLine="640"/>
      </w:pPr>
      <w:r>
        <w:rPr>
          <w:rFonts w:hint="eastAsia"/>
        </w:rPr>
        <w:t>《连云港市海洋生态环境保护“十四五”规划》（2022年）</w:t>
      </w:r>
    </w:p>
    <w:p w14:paraId="718B47D5">
      <w:pPr>
        <w:numPr>
          <w:ilvl w:val="0"/>
          <w:numId w:val="4"/>
        </w:numPr>
        <w:ind w:left="0" w:firstLine="640"/>
      </w:pPr>
      <w:r>
        <w:rPr>
          <w:rFonts w:hint="eastAsia"/>
        </w:rPr>
        <w:t>《连云港市“十四五”农业农村现代化规划》（2022年）</w:t>
      </w:r>
    </w:p>
    <w:p w14:paraId="5A00B662">
      <w:pPr>
        <w:numPr>
          <w:ilvl w:val="0"/>
          <w:numId w:val="4"/>
        </w:numPr>
        <w:ind w:left="0" w:firstLine="640"/>
      </w:pPr>
      <w:r>
        <w:rPr>
          <w:rFonts w:hint="eastAsia"/>
        </w:rPr>
        <w:t>《连云港市区环境卫生“十四五”规划》（2022年）</w:t>
      </w:r>
    </w:p>
    <w:p w14:paraId="044A106C">
      <w:pPr>
        <w:numPr>
          <w:ilvl w:val="0"/>
          <w:numId w:val="4"/>
        </w:numPr>
        <w:ind w:left="0" w:firstLine="640"/>
      </w:pPr>
      <w:r>
        <w:rPr>
          <w:rFonts w:hint="eastAsia"/>
        </w:rPr>
        <w:t>《关于印发&lt;市生态环境局2022年推动碳达峰碳中和工作计划&gt;的通知》（连环发〔2022〕78号）</w:t>
      </w:r>
    </w:p>
    <w:p w14:paraId="07C4C1E8">
      <w:pPr>
        <w:numPr>
          <w:ilvl w:val="0"/>
          <w:numId w:val="4"/>
        </w:numPr>
        <w:ind w:left="0" w:firstLine="640"/>
      </w:pPr>
      <w:r>
        <w:rPr>
          <w:rFonts w:hint="eastAsia"/>
        </w:rPr>
        <w:t>《市政府办公室关于在全市机关事业单位全面开展生活垃圾分类工作的通知》（连政办发〔2017〕136号）</w:t>
      </w:r>
    </w:p>
    <w:p w14:paraId="63798212">
      <w:pPr>
        <w:numPr>
          <w:ilvl w:val="0"/>
          <w:numId w:val="4"/>
        </w:numPr>
        <w:ind w:left="0" w:firstLine="640"/>
      </w:pPr>
      <w:r>
        <w:rPr>
          <w:rFonts w:hint="eastAsia"/>
        </w:rPr>
        <w:t>《连云港市城乡生活垃圾治理工作实施方案》（连政办传〔2019〕26号）</w:t>
      </w:r>
    </w:p>
    <w:p w14:paraId="7DD56251">
      <w:pPr>
        <w:numPr>
          <w:ilvl w:val="0"/>
          <w:numId w:val="4"/>
        </w:numPr>
        <w:ind w:left="0" w:firstLine="640"/>
      </w:pPr>
      <w:r>
        <w:rPr>
          <w:rFonts w:hint="eastAsia"/>
        </w:rPr>
        <w:t>《市政府办公室印发关于进一步推进城乡生活垃圾分类工作实施方案的通知》（连政办传〔2021〕68号）</w:t>
      </w:r>
    </w:p>
    <w:p w14:paraId="23356D08">
      <w:pPr>
        <w:numPr>
          <w:ilvl w:val="0"/>
          <w:numId w:val="4"/>
        </w:numPr>
        <w:ind w:left="0" w:firstLine="640"/>
      </w:pPr>
      <w:r>
        <w:rPr>
          <w:rFonts w:hint="eastAsia"/>
        </w:rPr>
        <w:t>《关于印发&lt;连云港市厨余垃圾分类检查暂行办法&gt;的通知》（连分治办发〔2021〕41号）</w:t>
      </w:r>
    </w:p>
    <w:p w14:paraId="1655D313">
      <w:pPr>
        <w:numPr>
          <w:ilvl w:val="0"/>
          <w:numId w:val="4"/>
        </w:numPr>
        <w:ind w:left="0" w:firstLine="640"/>
      </w:pPr>
      <w:r>
        <w:rPr>
          <w:rFonts w:hint="eastAsia"/>
        </w:rPr>
        <w:t>《连云港市市区城镇垃圾处理费征收管理办法》（2021年12月31日市十四届政府第78次常务会议通过）</w:t>
      </w:r>
    </w:p>
    <w:p w14:paraId="3A62219C">
      <w:pPr>
        <w:numPr>
          <w:ilvl w:val="0"/>
          <w:numId w:val="4"/>
        </w:numPr>
        <w:ind w:left="0" w:firstLine="640"/>
      </w:pPr>
      <w:r>
        <w:rPr>
          <w:rFonts w:hint="eastAsia"/>
        </w:rPr>
        <w:t>《关于印发&lt;连云港市加快推进快递包装绿色转型的实施方案&gt;的通知》（连发改资环发〔2021〕526号）</w:t>
      </w:r>
    </w:p>
    <w:p w14:paraId="3C0F7F2A">
      <w:pPr>
        <w:numPr>
          <w:ilvl w:val="0"/>
          <w:numId w:val="4"/>
        </w:numPr>
        <w:ind w:left="0" w:firstLine="640"/>
      </w:pPr>
      <w:r>
        <w:rPr>
          <w:rFonts w:hint="eastAsia"/>
        </w:rPr>
        <w:t>《关于印发连云港市强制免疫废弃物回收处理试点工作方案的通知》（连农〔2020〕33号）</w:t>
      </w:r>
    </w:p>
    <w:p w14:paraId="0CBFDEAC">
      <w:pPr>
        <w:numPr>
          <w:ilvl w:val="0"/>
          <w:numId w:val="4"/>
        </w:numPr>
        <w:ind w:left="0" w:firstLine="640"/>
      </w:pPr>
      <w:r>
        <w:rPr>
          <w:rFonts w:hint="eastAsia"/>
        </w:rPr>
        <w:t>《关于进一步明确绿色建筑和装配式建筑配建要求的通知》（连建科〔2021〕460号）</w:t>
      </w:r>
    </w:p>
    <w:p w14:paraId="70F27BCC">
      <w:pPr>
        <w:numPr>
          <w:ilvl w:val="0"/>
          <w:numId w:val="4"/>
        </w:numPr>
        <w:ind w:left="0" w:firstLine="640"/>
      </w:pPr>
      <w:r>
        <w:rPr>
          <w:rFonts w:hint="eastAsia"/>
        </w:rPr>
        <w:t>《市政府办公室关于印发连云港市近岸海域污染物削减和水质提升三年行动方案的通知》（连政办发〔2021〕14号）</w:t>
      </w:r>
    </w:p>
    <w:p w14:paraId="46649B07">
      <w:pPr>
        <w:numPr>
          <w:ilvl w:val="0"/>
          <w:numId w:val="4"/>
        </w:numPr>
        <w:ind w:left="0" w:firstLine="640"/>
      </w:pPr>
      <w:r>
        <w:rPr>
          <w:rFonts w:hint="eastAsia"/>
        </w:rPr>
        <w:t>《连云港市“无废城市”建设实施方案（2022-2025年）》</w:t>
      </w:r>
    </w:p>
    <w:p w14:paraId="6980E711">
      <w:pPr>
        <w:pStyle w:val="6"/>
        <w:numPr>
          <w:ilvl w:val="2"/>
          <w:numId w:val="1"/>
        </w:numPr>
      </w:pPr>
      <w:bookmarkStart w:id="28" w:name="_Toc32730"/>
      <w:r>
        <w:rPr>
          <w:rFonts w:hint="eastAsia"/>
        </w:rPr>
        <w:t>连云区相关规划及文件</w:t>
      </w:r>
      <w:bookmarkEnd w:id="28"/>
    </w:p>
    <w:p w14:paraId="6FF611CD">
      <w:pPr>
        <w:numPr>
          <w:ilvl w:val="0"/>
          <w:numId w:val="5"/>
        </w:numPr>
        <w:ind w:left="0" w:firstLine="640"/>
      </w:pPr>
      <w:r>
        <w:rPr>
          <w:rFonts w:hint="eastAsia"/>
        </w:rPr>
        <w:t>《连云区“十四五”工业和信息化发展专项规划》</w:t>
      </w:r>
    </w:p>
    <w:p w14:paraId="3C502696">
      <w:pPr>
        <w:numPr>
          <w:ilvl w:val="0"/>
          <w:numId w:val="5"/>
        </w:numPr>
        <w:ind w:left="0" w:firstLine="640"/>
      </w:pPr>
      <w:r>
        <w:rPr>
          <w:rFonts w:hint="eastAsia"/>
        </w:rPr>
        <w:t>《连云区“十四五”现代服务业发展专项规划》</w:t>
      </w:r>
    </w:p>
    <w:p w14:paraId="09A5C50E">
      <w:pPr>
        <w:numPr>
          <w:ilvl w:val="0"/>
          <w:numId w:val="5"/>
        </w:numPr>
        <w:ind w:left="0" w:firstLine="640"/>
      </w:pPr>
      <w:r>
        <w:rPr>
          <w:rFonts w:hint="eastAsia"/>
        </w:rPr>
        <w:t>《连云区“十四五”安全生产和应急管理体系建设规划》</w:t>
      </w:r>
    </w:p>
    <w:p w14:paraId="74D0B2E0">
      <w:pPr>
        <w:numPr>
          <w:ilvl w:val="0"/>
          <w:numId w:val="5"/>
        </w:numPr>
        <w:ind w:left="0" w:firstLine="640"/>
      </w:pPr>
      <w:r>
        <w:rPr>
          <w:rFonts w:hint="eastAsia"/>
        </w:rPr>
        <w:t>《连云区“十四五”海洋经济专项规划》</w:t>
      </w:r>
    </w:p>
    <w:p w14:paraId="7F5ADBE9">
      <w:pPr>
        <w:numPr>
          <w:ilvl w:val="0"/>
          <w:numId w:val="5"/>
        </w:numPr>
        <w:ind w:left="0" w:firstLine="640"/>
      </w:pPr>
      <w:r>
        <w:rPr>
          <w:rFonts w:hint="eastAsia"/>
        </w:rPr>
        <w:t>《连云区“十四五”交通专项规划》</w:t>
      </w:r>
    </w:p>
    <w:p w14:paraId="268F04AE">
      <w:pPr>
        <w:numPr>
          <w:ilvl w:val="0"/>
          <w:numId w:val="5"/>
        </w:numPr>
        <w:ind w:left="0" w:firstLine="640"/>
      </w:pPr>
      <w:r>
        <w:rPr>
          <w:rFonts w:hint="eastAsia"/>
        </w:rPr>
        <w:t>《连云区“十四五”教育事业专项规划》</w:t>
      </w:r>
    </w:p>
    <w:p w14:paraId="7C508FA6">
      <w:pPr>
        <w:numPr>
          <w:ilvl w:val="0"/>
          <w:numId w:val="5"/>
        </w:numPr>
        <w:ind w:left="0" w:firstLine="640"/>
      </w:pPr>
      <w:r>
        <w:rPr>
          <w:rFonts w:hint="eastAsia"/>
        </w:rPr>
        <w:t>《连云区“十四五”医疗卫生专项规划》</w:t>
      </w:r>
    </w:p>
    <w:p w14:paraId="4F0B46A3">
      <w:pPr>
        <w:numPr>
          <w:ilvl w:val="0"/>
          <w:numId w:val="5"/>
        </w:numPr>
        <w:ind w:left="0" w:firstLine="640"/>
      </w:pPr>
      <w:r>
        <w:rPr>
          <w:rFonts w:hint="eastAsia"/>
        </w:rPr>
        <w:t>《连云区“十四五”文化和旅游发展专项规划》</w:t>
      </w:r>
    </w:p>
    <w:p w14:paraId="689435BD">
      <w:pPr>
        <w:numPr>
          <w:ilvl w:val="0"/>
          <w:numId w:val="5"/>
        </w:numPr>
        <w:ind w:left="0" w:firstLine="640"/>
      </w:pPr>
      <w:r>
        <w:rPr>
          <w:rFonts w:hint="eastAsia"/>
        </w:rPr>
        <w:t>《自贸试验区连云区块“十四五”专项规划》</w:t>
      </w:r>
    </w:p>
    <w:p w14:paraId="3B2D4908">
      <w:pPr>
        <w:numPr>
          <w:ilvl w:val="0"/>
          <w:numId w:val="5"/>
        </w:numPr>
        <w:ind w:left="0" w:firstLine="640"/>
      </w:pPr>
      <w:r>
        <w:rPr>
          <w:rFonts w:hint="eastAsia"/>
        </w:rPr>
        <w:t>《连云新城“十四五”建设专项规划》</w:t>
      </w:r>
    </w:p>
    <w:p w14:paraId="106CB844">
      <w:pPr>
        <w:numPr>
          <w:ilvl w:val="0"/>
          <w:numId w:val="5"/>
        </w:numPr>
        <w:ind w:left="0" w:firstLine="640"/>
      </w:pPr>
      <w:r>
        <w:rPr>
          <w:rFonts w:hint="eastAsia"/>
        </w:rPr>
        <w:t>《连云区统计年鉴》2017~2021年</w:t>
      </w:r>
    </w:p>
    <w:p w14:paraId="68FA4F6F">
      <w:pPr>
        <w:numPr>
          <w:ilvl w:val="0"/>
          <w:numId w:val="5"/>
        </w:numPr>
        <w:ind w:left="0" w:firstLine="640"/>
      </w:pPr>
      <w:r>
        <w:rPr>
          <w:rFonts w:hint="eastAsia"/>
        </w:rPr>
        <w:t>《2022年连云港市连云区国民经济和社会发展统计公报》</w:t>
      </w:r>
    </w:p>
    <w:p w14:paraId="1FA77E67">
      <w:pPr>
        <w:numPr>
          <w:ilvl w:val="0"/>
          <w:numId w:val="5"/>
        </w:numPr>
        <w:ind w:left="0" w:firstLine="640"/>
      </w:pPr>
      <w:r>
        <w:rPr>
          <w:rFonts w:hint="eastAsia"/>
        </w:rPr>
        <w:t>《连云年鉴2022》</w:t>
      </w:r>
    </w:p>
    <w:p w14:paraId="755E34BD">
      <w:pPr>
        <w:pStyle w:val="5"/>
        <w:numPr>
          <w:ilvl w:val="1"/>
          <w:numId w:val="1"/>
        </w:numPr>
      </w:pPr>
      <w:bookmarkStart w:id="29" w:name="_Toc15445"/>
      <w:r>
        <w:rPr>
          <w:rFonts w:hint="eastAsia"/>
        </w:rPr>
        <w:t>建设范围及时限</w:t>
      </w:r>
      <w:bookmarkEnd w:id="29"/>
    </w:p>
    <w:p w14:paraId="5BE6865F">
      <w:pPr>
        <w:pStyle w:val="6"/>
        <w:numPr>
          <w:ilvl w:val="2"/>
          <w:numId w:val="1"/>
        </w:numPr>
      </w:pPr>
      <w:bookmarkStart w:id="30" w:name="_Toc10556"/>
      <w:r>
        <w:rPr>
          <w:rFonts w:hint="eastAsia"/>
        </w:rPr>
        <w:t>建设范围</w:t>
      </w:r>
      <w:bookmarkEnd w:id="30"/>
    </w:p>
    <w:p w14:paraId="72B38D84">
      <w:pPr>
        <w:ind w:firstLine="640"/>
      </w:pPr>
      <w:r>
        <w:rPr>
          <w:rFonts w:hint="eastAsia"/>
        </w:rPr>
        <w:t>连云区辖墟沟街道、海州湾街道、连云街道、连岛街道、板桥街道、云山街道、宿城街道、高公岛街道、前三岛乡，共8个街道、1个乡。辖区内的中云街道、猴嘴街道、朝阳街道隶属于连云港经济技术开发区管辖；徐圩街道隶属于徐圩新区管辖。连云港市经济技术开发区（含中云街道、猴嘴街道、朝阳街道）、徐圩新区（含徐圩街道、东辛农场）作为功能板块单独编制“无废城市”建设实施方案。</w:t>
      </w:r>
    </w:p>
    <w:p w14:paraId="075EE786">
      <w:pPr>
        <w:ind w:firstLine="640"/>
      </w:pPr>
      <w:r>
        <w:rPr>
          <w:rFonts w:hint="eastAsia"/>
        </w:rPr>
        <w:t>本次连云区“无废城市”建设范围为连云区的9个乡街（墟沟街道、海州湾街道、连云街道、连岛街道、板桥街道、云山街道、宿城街道、高公岛街道、前三岛乡），面积约243平方千米。</w:t>
      </w:r>
    </w:p>
    <w:p w14:paraId="77C3DCD4">
      <w:pPr>
        <w:pStyle w:val="28"/>
        <w:rPr>
          <w:rFonts w:hint="default"/>
        </w:rPr>
      </w:pPr>
      <w:r>
        <w:drawing>
          <wp:inline distT="0" distB="0" distL="114300" distR="114300">
            <wp:extent cx="5723255" cy="3884930"/>
            <wp:effectExtent l="0" t="0" r="10795" b="1270"/>
            <wp:docPr id="9" name="图片 9"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片1"/>
                    <pic:cNvPicPr>
                      <a:picLocks noChangeAspect="1"/>
                    </pic:cNvPicPr>
                  </pic:nvPicPr>
                  <pic:blipFill>
                    <a:blip r:embed="rId16"/>
                    <a:stretch>
                      <a:fillRect/>
                    </a:stretch>
                  </pic:blipFill>
                  <pic:spPr>
                    <a:xfrm>
                      <a:off x="0" y="0"/>
                      <a:ext cx="5723255" cy="3884930"/>
                    </a:xfrm>
                    <a:prstGeom prst="rect">
                      <a:avLst/>
                    </a:prstGeom>
                  </pic:spPr>
                </pic:pic>
              </a:graphicData>
            </a:graphic>
          </wp:inline>
        </w:drawing>
      </w:r>
    </w:p>
    <w:p w14:paraId="3BF9D04E">
      <w:pPr>
        <w:pStyle w:val="9"/>
        <w:spacing w:line="360" w:lineRule="auto"/>
      </w:pPr>
      <w:r>
        <w:rPr>
          <w:rFonts w:hint="eastAsia"/>
        </w:rPr>
        <w:t xml:space="preserve">图 </w:t>
      </w:r>
      <w:r>
        <w:fldChar w:fldCharType="begin"/>
      </w:r>
      <w:r>
        <w:rPr>
          <w:rFonts w:hint="eastAsia"/>
        </w:rPr>
        <w:instrText xml:space="preserve">STYLEREF 2 \s</w:instrText>
      </w:r>
      <w:r>
        <w:fldChar w:fldCharType="separate"/>
      </w:r>
      <w:r>
        <w:t>1.3</w:t>
      </w:r>
      <w:r>
        <w:fldChar w:fldCharType="end"/>
      </w:r>
      <w:r>
        <w:noBreakHyphen/>
      </w:r>
      <w:r>
        <w:fldChar w:fldCharType="begin"/>
      </w:r>
      <w:r>
        <w:rPr>
          <w:rFonts w:hint="eastAsia"/>
        </w:rPr>
        <w:instrText xml:space="preserve">SEQ 图 \* ARABIC \s 2</w:instrText>
      </w:r>
      <w:r>
        <w:fldChar w:fldCharType="separate"/>
      </w:r>
      <w:r>
        <w:t>1</w:t>
      </w:r>
      <w:r>
        <w:fldChar w:fldCharType="end"/>
      </w:r>
      <w:r>
        <w:rPr>
          <w:rFonts w:hint="eastAsia"/>
        </w:rPr>
        <w:t>连云区“无废城市”建设实施范围示意图</w:t>
      </w:r>
    </w:p>
    <w:p w14:paraId="3A21D701">
      <w:pPr>
        <w:pStyle w:val="6"/>
        <w:numPr>
          <w:ilvl w:val="2"/>
          <w:numId w:val="1"/>
        </w:numPr>
      </w:pPr>
      <w:bookmarkStart w:id="31" w:name="_Toc6704"/>
      <w:r>
        <w:rPr>
          <w:rFonts w:hint="eastAsia"/>
        </w:rPr>
        <w:t>建设时限</w:t>
      </w:r>
      <w:bookmarkEnd w:id="31"/>
    </w:p>
    <w:p w14:paraId="494E5626">
      <w:pPr>
        <w:ind w:firstLine="640"/>
      </w:pPr>
      <w:r>
        <w:t>以202</w:t>
      </w:r>
      <w:r>
        <w:rPr>
          <w:rFonts w:hint="eastAsia"/>
        </w:rPr>
        <w:t>2</w:t>
      </w:r>
      <w:r>
        <w:t>年为</w:t>
      </w:r>
      <w:r>
        <w:rPr>
          <w:rFonts w:hint="eastAsia"/>
        </w:rPr>
        <w:t>现状年</w:t>
      </w:r>
      <w:r>
        <w:t>，建设期限为202</w:t>
      </w:r>
      <w:r>
        <w:rPr>
          <w:rFonts w:hint="eastAsia"/>
        </w:rPr>
        <w:t>2</w:t>
      </w:r>
      <w:r>
        <w:t>年至2025年，</w:t>
      </w:r>
      <w:r>
        <w:rPr>
          <w:rFonts w:hint="eastAsia"/>
        </w:rPr>
        <w:t>之后</w:t>
      </w:r>
      <w:r>
        <w:t>持续推进“无废城市”建设。到2035年，固体废物减量化资源化利用水平大幅提升，建成具有</w:t>
      </w:r>
      <w:r>
        <w:rPr>
          <w:rFonts w:hint="eastAsia"/>
        </w:rPr>
        <w:t>连云区</w:t>
      </w:r>
      <w:r>
        <w:t>本地特色的“无废城市”。</w:t>
      </w:r>
      <w:r>
        <w:rPr>
          <w:rFonts w:hint="eastAsia"/>
        </w:rPr>
        <w:br w:type="page"/>
      </w:r>
    </w:p>
    <w:p w14:paraId="4133E8CE">
      <w:pPr>
        <w:pStyle w:val="3"/>
        <w:numPr>
          <w:ilvl w:val="0"/>
          <w:numId w:val="1"/>
        </w:numPr>
      </w:pPr>
      <w:bookmarkStart w:id="32" w:name="_Toc1101"/>
      <w:r>
        <w:rPr>
          <w:rFonts w:hint="eastAsia"/>
        </w:rPr>
        <w:t>城乡发展与固废管理概况</w:t>
      </w:r>
      <w:bookmarkEnd w:id="32"/>
    </w:p>
    <w:p w14:paraId="737CE60D">
      <w:pPr>
        <w:pStyle w:val="5"/>
        <w:numPr>
          <w:ilvl w:val="1"/>
          <w:numId w:val="1"/>
        </w:numPr>
        <w:rPr>
          <w:rFonts w:cs="Times New Roman"/>
        </w:rPr>
      </w:pPr>
      <w:bookmarkStart w:id="33" w:name="_Toc9023"/>
      <w:r>
        <w:rPr>
          <w:rFonts w:hint="eastAsia"/>
        </w:rPr>
        <w:t>连云区基本情况</w:t>
      </w:r>
      <w:bookmarkEnd w:id="33"/>
    </w:p>
    <w:p w14:paraId="6DEF720E">
      <w:pPr>
        <w:ind w:firstLine="640"/>
      </w:pPr>
      <w:r>
        <w:rPr>
          <w:rFonts w:cs="Times New Roman"/>
        </w:rPr>
        <w:t>连云区为连云港市东部城区</w:t>
      </w:r>
      <w:r>
        <w:rPr>
          <w:rFonts w:hint="eastAsia" w:cs="Times New Roman"/>
        </w:rPr>
        <w:t>，</w:t>
      </w:r>
      <w:r>
        <w:rPr>
          <w:rFonts w:cs="Times New Roman"/>
        </w:rPr>
        <w:t>位于北纬34°12′33″至35°8′24″、东经119°10′33″至119°21′22″之间。</w:t>
      </w:r>
      <w:r>
        <w:rPr>
          <w:rFonts w:hint="eastAsia" w:cs="Times New Roman"/>
        </w:rPr>
        <w:t>连云区</w:t>
      </w:r>
      <w:r>
        <w:rPr>
          <w:rFonts w:cs="Times New Roman"/>
        </w:rPr>
        <w:t>行政区划总面积836平方公里，实际管辖面积243平方公里</w:t>
      </w:r>
      <w:r>
        <w:rPr>
          <w:rFonts w:hint="eastAsia" w:cs="Times New Roman"/>
        </w:rPr>
        <w:t>。</w:t>
      </w:r>
      <w:r>
        <w:rPr>
          <w:rFonts w:cs="Times New Roman"/>
        </w:rPr>
        <w:t>地</w:t>
      </w:r>
      <w:r>
        <w:rPr>
          <w:rFonts w:hint="eastAsia"/>
        </w:rPr>
        <w:t>处中国沿海中部的黄海之滨，东与日本、朝鲜、韩国隔海相望，东、北为海州湾海域，西与海州区、赣榆区接界，南与灌云县接壤。横贯中国东西的陇海、兰新铁路从连云区起始；横穿东西的新疆霍尔果斯至连云港、纵贯南北的黑龙江同江至海南三亚的公路国道在此交汇；直达荷兰鹿特丹港的10900千米长的新亚欧大陆桥，以连云港为东桥头堡；境内的亿吨大港连云港港通过海上航线可达世界五大洲160多个国家、地区的1000多个港口。连云区区位优势独特，是连接中国沿海和东西部发展的纽带，在国家战略层面上具有重要战略地位。</w:t>
      </w:r>
    </w:p>
    <w:p w14:paraId="60A22282">
      <w:pPr>
        <w:pStyle w:val="19"/>
        <w:spacing w:after="0" w:line="240" w:lineRule="auto"/>
        <w:ind w:left="0" w:leftChars="0" w:firstLine="0" w:firstLineChars="0"/>
        <w:jc w:val="center"/>
      </w:pPr>
      <w:r>
        <w:rPr>
          <w:rFonts w:hint="eastAsia"/>
        </w:rPr>
        <w:drawing>
          <wp:inline distT="0" distB="0" distL="114300" distR="114300">
            <wp:extent cx="4620895" cy="4401820"/>
            <wp:effectExtent l="0" t="0" r="8255" b="17780"/>
            <wp:docPr id="6" name="图片 6"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2"/>
                    <pic:cNvPicPr>
                      <a:picLocks noChangeAspect="1"/>
                    </pic:cNvPicPr>
                  </pic:nvPicPr>
                  <pic:blipFill>
                    <a:blip r:embed="rId17"/>
                    <a:stretch>
                      <a:fillRect/>
                    </a:stretch>
                  </pic:blipFill>
                  <pic:spPr>
                    <a:xfrm>
                      <a:off x="0" y="0"/>
                      <a:ext cx="4620895" cy="4401820"/>
                    </a:xfrm>
                    <a:prstGeom prst="rect">
                      <a:avLst/>
                    </a:prstGeom>
                  </pic:spPr>
                </pic:pic>
              </a:graphicData>
            </a:graphic>
          </wp:inline>
        </w:drawing>
      </w:r>
    </w:p>
    <w:p w14:paraId="2FED9CBC">
      <w:pPr>
        <w:pStyle w:val="9"/>
        <w:snapToGrid w:val="0"/>
        <w:spacing w:line="360" w:lineRule="auto"/>
      </w:pPr>
      <w:r>
        <w:rPr>
          <w:rFonts w:hint="eastAsia"/>
        </w:rPr>
        <w:t xml:space="preserve">图 </w:t>
      </w:r>
      <w:r>
        <w:fldChar w:fldCharType="begin"/>
      </w:r>
      <w:r>
        <w:rPr>
          <w:rFonts w:hint="eastAsia"/>
        </w:rPr>
        <w:instrText xml:space="preserve">STYLEREF 2 \s</w:instrText>
      </w:r>
      <w:r>
        <w:fldChar w:fldCharType="separate"/>
      </w:r>
      <w:r>
        <w:t>2.1</w:t>
      </w:r>
      <w:r>
        <w:fldChar w:fldCharType="end"/>
      </w:r>
      <w:r>
        <w:noBreakHyphen/>
      </w:r>
      <w:r>
        <w:fldChar w:fldCharType="begin"/>
      </w:r>
      <w:r>
        <w:rPr>
          <w:rFonts w:hint="eastAsia"/>
        </w:rPr>
        <w:instrText xml:space="preserve">SEQ 图 \* ARABIC \s 2</w:instrText>
      </w:r>
      <w:r>
        <w:fldChar w:fldCharType="separate"/>
      </w:r>
      <w:r>
        <w:t>1</w:t>
      </w:r>
      <w:r>
        <w:fldChar w:fldCharType="end"/>
      </w:r>
      <w:r>
        <w:rPr>
          <w:rFonts w:hint="eastAsia"/>
        </w:rPr>
        <w:t>连云区区位</w:t>
      </w:r>
      <w:r>
        <w:t>图</w:t>
      </w:r>
    </w:p>
    <w:p w14:paraId="607B675F">
      <w:pPr>
        <w:pStyle w:val="6"/>
        <w:numPr>
          <w:ilvl w:val="2"/>
          <w:numId w:val="1"/>
        </w:numPr>
      </w:pPr>
      <w:bookmarkStart w:id="34" w:name="_Toc12793"/>
      <w:r>
        <w:rPr>
          <w:rFonts w:hint="eastAsia"/>
        </w:rPr>
        <w:t>经济发展</w:t>
      </w:r>
      <w:bookmarkEnd w:id="34"/>
    </w:p>
    <w:p w14:paraId="135019D6">
      <w:pPr>
        <w:pStyle w:val="7"/>
        <w:ind w:firstLine="640"/>
        <w:rPr>
          <w:rFonts w:cs="Times New Roman"/>
        </w:rPr>
      </w:pPr>
      <w:r>
        <w:rPr>
          <w:rFonts w:cs="Times New Roman"/>
        </w:rPr>
        <w:t>（1）</w:t>
      </w:r>
      <w:r>
        <w:rPr>
          <w:rFonts w:hint="eastAsia" w:cs="Times New Roman"/>
        </w:rPr>
        <w:t>总体情况</w:t>
      </w:r>
    </w:p>
    <w:p w14:paraId="079E8AE9">
      <w:pPr>
        <w:ind w:firstLine="643"/>
      </w:pPr>
      <w:r>
        <w:rPr>
          <w:rFonts w:hint="eastAsia"/>
          <w:b/>
          <w:bCs/>
        </w:rPr>
        <w:t>经济运行总体平稳发展。</w:t>
      </w:r>
      <w:r>
        <w:rPr>
          <w:rFonts w:hint="eastAsia"/>
        </w:rPr>
        <w:t>2022年全区完成地区生产总值265.26亿元，增长0.8%；其中，第一产业增加值8.76亿元，增长12.6%；第二产业增加值131.90亿元，增长2.7%；第三产业增加值124.60亿元，下降1.8%。</w:t>
      </w:r>
    </w:p>
    <w:p w14:paraId="3A137067">
      <w:pPr>
        <w:pStyle w:val="28"/>
        <w:rPr>
          <w:rFonts w:hint="default"/>
        </w:rPr>
      </w:pPr>
      <w:r>
        <w:drawing>
          <wp:inline distT="0" distB="0" distL="114300" distR="114300">
            <wp:extent cx="4614545" cy="2597150"/>
            <wp:effectExtent l="0" t="0" r="14605" b="12700"/>
            <wp:docPr id="13" name="图片 13" descr="图片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图片10"/>
                    <pic:cNvPicPr>
                      <a:picLocks noChangeAspect="1"/>
                    </pic:cNvPicPr>
                  </pic:nvPicPr>
                  <pic:blipFill>
                    <a:blip r:embed="rId18"/>
                    <a:stretch>
                      <a:fillRect/>
                    </a:stretch>
                  </pic:blipFill>
                  <pic:spPr>
                    <a:xfrm>
                      <a:off x="0" y="0"/>
                      <a:ext cx="4614545" cy="2597150"/>
                    </a:xfrm>
                    <a:prstGeom prst="rect">
                      <a:avLst/>
                    </a:prstGeom>
                  </pic:spPr>
                </pic:pic>
              </a:graphicData>
            </a:graphic>
          </wp:inline>
        </w:drawing>
      </w:r>
    </w:p>
    <w:p w14:paraId="42DFC5BF">
      <w:pPr>
        <w:pStyle w:val="9"/>
        <w:spacing w:line="360" w:lineRule="auto"/>
      </w:pPr>
      <w:r>
        <w:rPr>
          <w:rFonts w:hint="eastAsia"/>
        </w:rPr>
        <w:t xml:space="preserve">图 </w:t>
      </w:r>
      <w:r>
        <w:fldChar w:fldCharType="begin"/>
      </w:r>
      <w:r>
        <w:rPr>
          <w:rFonts w:hint="eastAsia"/>
        </w:rPr>
        <w:instrText xml:space="preserve">STYLEREF 2 \s</w:instrText>
      </w:r>
      <w:r>
        <w:fldChar w:fldCharType="separate"/>
      </w:r>
      <w:r>
        <w:t>2.1</w:t>
      </w:r>
      <w:r>
        <w:fldChar w:fldCharType="end"/>
      </w:r>
      <w:r>
        <w:noBreakHyphen/>
      </w:r>
      <w:r>
        <w:fldChar w:fldCharType="begin"/>
      </w:r>
      <w:r>
        <w:rPr>
          <w:rFonts w:hint="eastAsia"/>
        </w:rPr>
        <w:instrText xml:space="preserve">SEQ 图 \* ARABIC \s 2</w:instrText>
      </w:r>
      <w:r>
        <w:fldChar w:fldCharType="separate"/>
      </w:r>
      <w:r>
        <w:t>2</w:t>
      </w:r>
      <w:r>
        <w:fldChar w:fldCharType="end"/>
      </w:r>
      <w:r>
        <w:rPr>
          <w:rFonts w:hint="eastAsia"/>
        </w:rPr>
        <w:t>2017-2022年连云区地区生产总值</w:t>
      </w:r>
    </w:p>
    <w:p w14:paraId="2BF769D1">
      <w:pPr>
        <w:ind w:firstLine="643"/>
      </w:pPr>
      <w:r>
        <w:rPr>
          <w:rFonts w:hint="eastAsia"/>
          <w:b/>
          <w:bCs/>
        </w:rPr>
        <w:t>三次产业结构：</w:t>
      </w:r>
      <w:r>
        <w:rPr>
          <w:rFonts w:hint="eastAsia"/>
        </w:rPr>
        <w:t>2022年连云区三次产业结构由2017年的4.0:37.7:58.3调整为3.3:49.7:47，第一产业占比较低，第二产业占比逐步超过第三产业。</w:t>
      </w:r>
    </w:p>
    <w:p w14:paraId="4CD8992A">
      <w:pPr>
        <w:pStyle w:val="28"/>
        <w:rPr>
          <w:rFonts w:hint="default"/>
        </w:rPr>
      </w:pPr>
      <w:r>
        <w:drawing>
          <wp:inline distT="0" distB="0" distL="114300" distR="114300">
            <wp:extent cx="4596130" cy="2700655"/>
            <wp:effectExtent l="0" t="0" r="13970" b="4445"/>
            <wp:docPr id="12" name="图片 12" descr="图片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图片9"/>
                    <pic:cNvPicPr>
                      <a:picLocks noChangeAspect="1"/>
                    </pic:cNvPicPr>
                  </pic:nvPicPr>
                  <pic:blipFill>
                    <a:blip r:embed="rId19"/>
                    <a:stretch>
                      <a:fillRect/>
                    </a:stretch>
                  </pic:blipFill>
                  <pic:spPr>
                    <a:xfrm>
                      <a:off x="0" y="0"/>
                      <a:ext cx="4596130" cy="2700655"/>
                    </a:xfrm>
                    <a:prstGeom prst="rect">
                      <a:avLst/>
                    </a:prstGeom>
                  </pic:spPr>
                </pic:pic>
              </a:graphicData>
            </a:graphic>
          </wp:inline>
        </w:drawing>
      </w:r>
    </w:p>
    <w:p w14:paraId="294A1837">
      <w:pPr>
        <w:pStyle w:val="9"/>
        <w:spacing w:line="360" w:lineRule="auto"/>
      </w:pPr>
      <w:r>
        <w:rPr>
          <w:rFonts w:hint="eastAsia"/>
        </w:rPr>
        <w:t xml:space="preserve">图 </w:t>
      </w:r>
      <w:r>
        <w:fldChar w:fldCharType="begin"/>
      </w:r>
      <w:r>
        <w:rPr>
          <w:rFonts w:hint="eastAsia"/>
        </w:rPr>
        <w:instrText xml:space="preserve">STYLEREF 2 \s</w:instrText>
      </w:r>
      <w:r>
        <w:fldChar w:fldCharType="separate"/>
      </w:r>
      <w:r>
        <w:t>2.1</w:t>
      </w:r>
      <w:r>
        <w:fldChar w:fldCharType="end"/>
      </w:r>
      <w:r>
        <w:noBreakHyphen/>
      </w:r>
      <w:r>
        <w:fldChar w:fldCharType="begin"/>
      </w:r>
      <w:r>
        <w:rPr>
          <w:rFonts w:hint="eastAsia"/>
        </w:rPr>
        <w:instrText xml:space="preserve">SEQ 图 \* ARABIC \s 2</w:instrText>
      </w:r>
      <w:r>
        <w:fldChar w:fldCharType="separate"/>
      </w:r>
      <w:r>
        <w:t>3</w:t>
      </w:r>
      <w:r>
        <w:fldChar w:fldCharType="end"/>
      </w:r>
      <w:r>
        <w:rPr>
          <w:rFonts w:hint="eastAsia"/>
        </w:rPr>
        <w:t>2017-2022年连云区三次产业结构变化趋势</w:t>
      </w:r>
    </w:p>
    <w:p w14:paraId="618232DD">
      <w:pPr>
        <w:pStyle w:val="7"/>
        <w:ind w:firstLine="643"/>
        <w:rPr>
          <w:rFonts w:cs="Times New Roman"/>
          <w:b/>
        </w:rPr>
      </w:pPr>
      <w:r>
        <w:rPr>
          <w:rFonts w:hint="eastAsia" w:cs="Times New Roman"/>
          <w:b/>
        </w:rPr>
        <w:t>（2）第一产业</w:t>
      </w:r>
    </w:p>
    <w:p w14:paraId="1C64206A">
      <w:pPr>
        <w:ind w:firstLine="643"/>
      </w:pPr>
      <w:r>
        <w:rPr>
          <w:b/>
          <w:bCs/>
        </w:rPr>
        <w:t>特色农渔业稳步提升。</w:t>
      </w:r>
      <w:r>
        <w:rPr>
          <w:rFonts w:hint="eastAsia"/>
        </w:rPr>
        <w:t>2022年，</w:t>
      </w:r>
      <w:r>
        <w:t>全区实现农林牧渔业总产值15.86亿元，可比价计算增长11.5%。其中，渔业产值15.52亿元，可比价计算增长13.5%</w:t>
      </w:r>
      <w:r>
        <w:rPr>
          <w:rFonts w:hint="eastAsia"/>
        </w:rPr>
        <w:t>；</w:t>
      </w:r>
      <w:r>
        <w:t>农业产值0.21亿元，可比价计算下降48.1%</w:t>
      </w:r>
      <w:r>
        <w:rPr>
          <w:rFonts w:hint="eastAsia"/>
        </w:rPr>
        <w:t>；</w:t>
      </w:r>
      <w:r>
        <w:t>林业产值0.06亿元，可比价计算下降23.3%。</w:t>
      </w:r>
    </w:p>
    <w:p w14:paraId="08D67F67">
      <w:pPr>
        <w:ind w:firstLine="643"/>
      </w:pPr>
      <w:r>
        <w:rPr>
          <w:b/>
          <w:bCs/>
        </w:rPr>
        <w:t>海洋产业加速转型。</w:t>
      </w:r>
      <w:r>
        <w:rPr>
          <w:rFonts w:hint="eastAsia"/>
        </w:rPr>
        <w:t>2022年，</w:t>
      </w:r>
      <w:r>
        <w:t>高规格举办海洋高峰论坛、海洋经济发展峰会，多名院士为连云区海洋经济发展把脉定向。走向“深蓝”迈出关键步伐，“深蓝”号磷虾专业捕捞加工船抵达南极开展作业，南极磷虾产业园完成虾油生产设备安装。渔港经济区加快建设，连岛中心渔港形成陆域面积150亩，高公岛国家一级渔港完成升级改造。传统渔业结构调优，紫菜养殖面积持续压减，全区水产品产值15.5亿元，同比增长13.5%。积极发展休闲渔业，购置海上游船游艇6艘，常态化开通前三岛旅游航线，试点发展休闲海钓、渔事体验观光等业态。</w:t>
      </w:r>
    </w:p>
    <w:p w14:paraId="7B7E5908">
      <w:pPr>
        <w:ind w:firstLine="643"/>
      </w:pPr>
      <w:r>
        <w:rPr>
          <w:b/>
          <w:bCs/>
        </w:rPr>
        <w:t>乡村振兴扎实推进。</w:t>
      </w:r>
      <w:r>
        <w:rPr>
          <w:rFonts w:hint="eastAsia"/>
        </w:rPr>
        <w:t>2022年，</w:t>
      </w:r>
      <w:r>
        <w:t>国家农村产业融合发展示范园通过认定。大力培育休闲农业，成功承办“苏韵乡情”乡村休闲旅游农业专场推介活动，黄窝村获评中国美丽休闲乡村。接续推进农村人居环境整治，创建市生态宜居美丽示范村2个。加强传统村落保护，大竹园村入选第六批中国传统村落名录。加强村级发展和治理，柳河村、夏庄村获评市乡村振兴样板村，黄窝村入选全国乡村特色产业超亿元村。</w:t>
      </w:r>
    </w:p>
    <w:p w14:paraId="4DF4047F">
      <w:pPr>
        <w:pStyle w:val="7"/>
        <w:ind w:firstLine="643"/>
        <w:rPr>
          <w:rFonts w:cs="Times New Roman"/>
          <w:b/>
        </w:rPr>
      </w:pPr>
      <w:r>
        <w:rPr>
          <w:rFonts w:hint="eastAsia" w:cs="Times New Roman"/>
          <w:b/>
        </w:rPr>
        <w:t>（3）第二产业</w:t>
      </w:r>
    </w:p>
    <w:p w14:paraId="2349D8A2">
      <w:pPr>
        <w:ind w:firstLine="643"/>
      </w:pPr>
      <w:r>
        <w:rPr>
          <w:b/>
          <w:bCs/>
        </w:rPr>
        <w:t>工业保持较快增长。</w:t>
      </w:r>
      <w:r>
        <w:rPr>
          <w:rFonts w:hint="eastAsia"/>
        </w:rPr>
        <w:t>2022年，</w:t>
      </w:r>
      <w:r>
        <w:t>全区实现规模工业产值467亿元，增长10.9%</w:t>
      </w:r>
      <w:r>
        <w:rPr>
          <w:rFonts w:hint="eastAsia"/>
        </w:rPr>
        <w:t>；</w:t>
      </w:r>
      <w:r>
        <w:t>全年完成工业应税销售523.7亿元，增长0.3%。盐化油化、金属材料两大主导产业实现产值213亿元，增长6.5%</w:t>
      </w:r>
      <w:r>
        <w:rPr>
          <w:rFonts w:hint="eastAsia"/>
        </w:rPr>
        <w:t>，</w:t>
      </w:r>
      <w:r>
        <w:t>占全区规模工业产值的45.6%。</w:t>
      </w:r>
    </w:p>
    <w:p w14:paraId="71E5E130">
      <w:pPr>
        <w:ind w:firstLine="643"/>
      </w:pPr>
      <w:r>
        <w:rPr>
          <w:b/>
          <w:bCs/>
        </w:rPr>
        <w:t>工业经济提质增效。</w:t>
      </w:r>
      <w:r>
        <w:rPr>
          <w:rFonts w:hint="eastAsia"/>
        </w:rPr>
        <w:t>2022年，</w:t>
      </w:r>
      <w:r>
        <w:t>千亿园区建设按下“快进键”</w:t>
      </w:r>
      <w:r>
        <w:rPr>
          <w:rFonts w:hint="eastAsia"/>
        </w:rPr>
        <w:t>，</w:t>
      </w:r>
      <w:r>
        <w:t>新开工项目26个，新投产项目20个，全区完成规模以上工业产值467亿元，增长10.9%。新能源产业加快发展，核电7、8号机组建设有序推进，抽水蓄能电站启动征迁，中核田湾200万千瓦滩涂光伏项目陆上部分开工建设。新材料产业快速突破，3万吨高性能碳纤维项目成功签约，盛和锆钛、国源稀土等项目投产达效。传统优势产业提档升级，华乐酸洗、丰益氯碱二期等项目建成投产，丰益氨基酸表活、脂肪酸盐等项目开工建设。</w:t>
      </w:r>
    </w:p>
    <w:p w14:paraId="387220B0">
      <w:pPr>
        <w:ind w:firstLine="643"/>
      </w:pPr>
      <w:r>
        <w:rPr>
          <w:b/>
          <w:bCs/>
        </w:rPr>
        <w:t>建筑业平稳增长。</w:t>
      </w:r>
      <w:r>
        <w:rPr>
          <w:rFonts w:hint="eastAsia"/>
        </w:rPr>
        <w:t>2022年，</w:t>
      </w:r>
      <w:r>
        <w:t>全区33家资质以上建筑业企业共实现建筑业总产值49.33亿元，增长6.1%。竣工产值24.82亿元，下降24.7%。房屋建筑施工面积为71.16万平方米，其中本年新开工面积21.76万平方米；期末从业人员达15759人。</w:t>
      </w:r>
    </w:p>
    <w:p w14:paraId="2787B27A">
      <w:pPr>
        <w:pStyle w:val="7"/>
        <w:ind w:firstLine="643"/>
        <w:rPr>
          <w:rFonts w:cs="Times New Roman"/>
          <w:b/>
        </w:rPr>
      </w:pPr>
      <w:r>
        <w:rPr>
          <w:rFonts w:hint="eastAsia" w:cs="Times New Roman"/>
          <w:b/>
        </w:rPr>
        <w:t>（4）第三产业</w:t>
      </w:r>
    </w:p>
    <w:p w14:paraId="570AA002">
      <w:pPr>
        <w:ind w:firstLine="643"/>
      </w:pPr>
      <w:r>
        <w:rPr>
          <w:b/>
          <w:bCs/>
        </w:rPr>
        <w:t>服务业略有下降。</w:t>
      </w:r>
      <w:r>
        <w:rPr>
          <w:rFonts w:hint="eastAsia"/>
        </w:rPr>
        <w:t>2022年，</w:t>
      </w:r>
      <w:r>
        <w:t>全区107家规模以上服务业企业实现营业收入185.97亿元，下降4.8%。依托港口优势，交通运输业是连云区最具优势的行业之一，是全区服务业的支柱产业，在全区规上服务业中具有举足轻重的作用。86家规模以上交通运输、仓储和邮政业企业实现营业收入150.82亿元，占全区规上服务业比重高达81.1%</w:t>
      </w:r>
      <w:r>
        <w:rPr>
          <w:rFonts w:hint="eastAsia"/>
        </w:rPr>
        <w:t>，</w:t>
      </w:r>
      <w:r>
        <w:t>下降5.3%。</w:t>
      </w:r>
    </w:p>
    <w:p w14:paraId="7E024AEF">
      <w:pPr>
        <w:ind w:firstLine="643"/>
      </w:pPr>
      <w:r>
        <w:rPr>
          <w:b/>
          <w:bCs/>
        </w:rPr>
        <w:t>现代服务业活力增强。</w:t>
      </w:r>
      <w:r>
        <w:rPr>
          <w:rFonts w:hint="eastAsia"/>
        </w:rPr>
        <w:t>连云区</w:t>
      </w:r>
      <w:r>
        <w:t>出台支持港航贸易物流业高质量发展政策。</w:t>
      </w:r>
      <w:r>
        <w:rPr>
          <w:rFonts w:hint="eastAsia"/>
        </w:rPr>
        <w:t>2022年，</w:t>
      </w:r>
      <w:r>
        <w:t>上合物流园成功开行江苏首列中吉</w:t>
      </w:r>
      <w:r>
        <w:rPr>
          <w:rFonts w:hint="eastAsia"/>
        </w:rPr>
        <w:t>乌</w:t>
      </w:r>
      <w:r>
        <w:t>公铁联运国际货运班列，阿拉木图海外仓投入运营，比什凯克海外仓开工建设，中外运物流、鑫港高标仓建成投用，全年完成物流量6493万吨，增长48.2%。培育油品贸易企业160家，年销售额突破35亿元。积极扶持电商发展，“点点通”跨境电商平台实现交易额4.3亿元，跨境电商大数据共享平台入选省数字化绿色化协同转型发展典型案例。“一带一路”大数据产业园初显成效，移动大数据中心建成投用，电信天翼云项目主体封顶。</w:t>
      </w:r>
    </w:p>
    <w:p w14:paraId="3190AFB4">
      <w:pPr>
        <w:ind w:firstLine="643"/>
      </w:pPr>
      <w:r>
        <w:rPr>
          <w:b/>
          <w:bCs/>
        </w:rPr>
        <w:t>旅游创建成效显著。</w:t>
      </w:r>
      <w:r>
        <w:rPr>
          <w:rFonts w:hint="eastAsia"/>
        </w:rPr>
        <w:t>连云区是一个山海风光优美的海滨城区，旅游资源十分丰富，以山、海、港、岛、城为主要特色，获批“省级首批文旅产业融合发展示范区”“省级文化和旅游消费示范单位”；连云港老街获评首批“省级夜间文化和旅游消费集聚区”“省级旅游休闲街区”；羊山岛获批国家AAA级旅游景区；宿城街道留云岭获批“省级乡村旅游重点村”；连岛景区5A创建待国家文旅部验收。2022年，海上云台山“猴园”对外开放，再次开通连岛直升机低空环岛观光游，阅海楼完成升级改造并对外营业，跨海索道“定海神针”方案通过专家评审。连云区紧盯市级旅游重点项目建设，扎实开展文旅创建工作。2022年共发放旅游免费电子门票3.7万张、消费券170万元，淡季免门票时间由每年的2个月延长至4个月，成功举办连云港之夏开幕式、连岛沙滩音乐节等旅游节庆活动。</w:t>
      </w:r>
    </w:p>
    <w:p w14:paraId="367EBDD5">
      <w:pPr>
        <w:pStyle w:val="6"/>
        <w:numPr>
          <w:ilvl w:val="2"/>
          <w:numId w:val="1"/>
        </w:numPr>
      </w:pPr>
      <w:bookmarkStart w:id="35" w:name="_Toc30918"/>
      <w:r>
        <w:rPr>
          <w:rFonts w:hint="eastAsia"/>
        </w:rPr>
        <w:t>社会发展</w:t>
      </w:r>
      <w:bookmarkEnd w:id="35"/>
    </w:p>
    <w:p w14:paraId="5093181B">
      <w:pPr>
        <w:ind w:firstLine="640"/>
      </w:pPr>
      <w:r>
        <w:rPr>
          <w:rFonts w:hint="eastAsia"/>
        </w:rPr>
        <w:t>2022年，全区(不含徐圩新区)户籍人口134964人，同口径较上年末增加562人，增长0.4%。全区城乡居民人均可支配收入49945.7元，增长3.6%。其中：城镇居民人均可支配收入50738.4元，增长3.5%；农村居民人均可支配收入25251.4元，增长5.5%。</w:t>
      </w:r>
    </w:p>
    <w:p w14:paraId="27C07AE0">
      <w:pPr>
        <w:ind w:firstLine="643"/>
      </w:pPr>
      <w:r>
        <w:rPr>
          <w:rFonts w:hint="eastAsia"/>
          <w:b/>
          <w:bCs/>
        </w:rPr>
        <w:t>社会事业持续进步。</w:t>
      </w:r>
      <w:r>
        <w:rPr>
          <w:rFonts w:hint="eastAsia"/>
        </w:rPr>
        <w:t>2022年，教育投入不断加大，云山实验学校开工建设，苏外新校区投入使用，茗怡花园、万润星河西区配套幼儿园装修完成，民办义务教育规范发展；中高考再创佳绩，高考文化本科达线人数创历史新高，中考新海高中达线人数连续五年递增，海滨中学首次获评“市高中教学工作先进集体”，创成省首批高质量平安校园建设区。健康连云加快推进，区公共卫生中心开工建设，墟沟社区卫生服务中心被评为省社区医院。开展“喜迎二十大”主题系列活动，电影《幸福的小满》、音乐儿童剧《寻找花果山》荣获省第十二届精神文明建设“五个一工程”优秀作品奖。区档案馆开工建设，《连云年鉴2021》获省二等年鉴。</w:t>
      </w:r>
    </w:p>
    <w:p w14:paraId="14170E9F">
      <w:pPr>
        <w:ind w:firstLine="643"/>
      </w:pPr>
      <w:r>
        <w:rPr>
          <w:rFonts w:hint="eastAsia"/>
          <w:b/>
          <w:bCs/>
        </w:rPr>
        <w:t>社会保障厚实有力。</w:t>
      </w:r>
      <w:r>
        <w:rPr>
          <w:rFonts w:hint="eastAsia"/>
        </w:rPr>
        <w:t>实施援企稳岗专项行动，2022年，返还稳岗资金1640万元，惠及市场主体1700余户。加大就业援助力度，帮助760名就业困难人员实现再就业。举办各类招聘活动46场次，新增城镇就业5263人、自主创业834人。稳步提升养老保障水平，城乡居民基础养老金标准全市最高。新改建养老服务中心9个，完成适老化改造400户。建成残疾人集中就业“阳光助残店”，获评省残联系统创新创优示范项目。加强儿童关爱服务，建成省级未成年人保护工作站。发挥驻区部队资源优势，深入开展双拥共建、拥军优属活动。加大兜底保障力度，发放各类救助资金3250万元。</w:t>
      </w:r>
    </w:p>
    <w:p w14:paraId="32325F51">
      <w:pPr>
        <w:ind w:firstLine="643"/>
      </w:pPr>
      <w:r>
        <w:rPr>
          <w:rFonts w:hint="eastAsia"/>
          <w:b/>
          <w:bCs/>
        </w:rPr>
        <w:t>社会治理扎实有效。</w:t>
      </w:r>
      <w:r>
        <w:rPr>
          <w:rFonts w:hint="eastAsia"/>
        </w:rPr>
        <w:t>2022年，深入实施网格化治理“3365”创新工程，全面落实“精网微格”社区治理新模式，社会治理质效大幅提升。优化社区布局和管理，新设社区3个，创成省现代社区治理创新实验区。平安连云建设成效显著，扫黑除恶斗争常态推进，新建社会面监控706路，群众安全感省测结果达99.5%，创历史新高，位居全市第一。开展非诉进网格“百千万”解纷维稳行动，通过非诉方式化解矛盾纠纷3870件。深入开展“信访突出问题攻坚化解年”行动，有效化解一批重点信访积案。</w:t>
      </w:r>
    </w:p>
    <w:p w14:paraId="6F7873E1">
      <w:pPr>
        <w:pStyle w:val="6"/>
        <w:numPr>
          <w:ilvl w:val="2"/>
          <w:numId w:val="1"/>
        </w:numPr>
      </w:pPr>
      <w:bookmarkStart w:id="36" w:name="_Toc27231"/>
      <w:r>
        <w:rPr>
          <w:rFonts w:hint="eastAsia"/>
        </w:rPr>
        <w:t>生态环境</w:t>
      </w:r>
      <w:bookmarkEnd w:id="36"/>
    </w:p>
    <w:p w14:paraId="6E6A5C56">
      <w:pPr>
        <w:ind w:firstLine="643"/>
      </w:pPr>
      <w:r>
        <w:rPr>
          <w:rFonts w:hint="eastAsia"/>
          <w:b/>
          <w:bCs/>
        </w:rPr>
        <w:t>生态环境稳步提升。</w:t>
      </w:r>
      <w:r>
        <w:rPr>
          <w:rFonts w:hint="eastAsia"/>
        </w:rPr>
        <w:t>2022年连云区在生态环境质量提升方面所做工作及取得成效如下：空气质量管控加大，拆除小煤炉300余套，实施挥发性有机物源头替代及治理项目71个，完成餐饮油烟治理绿岛项目，开展钢铁行业全流程超低排放改造，PM</w:t>
      </w:r>
      <w:r>
        <w:rPr>
          <w:rFonts w:hint="eastAsia"/>
          <w:vertAlign w:val="subscript"/>
        </w:rPr>
        <w:t>2.5</w:t>
      </w:r>
      <w:r>
        <w:rPr>
          <w:rFonts w:hint="eastAsia"/>
        </w:rPr>
        <w:t>年均浓度降至26微克/立方米、空气优良天数比率达84.8%。坚持水环境统筹治理，完成市重点污染防治项目5个，实施“清水进城”开泰河疏浚整治，维修板桥片区污水管网40公里，安装曝气设备69台，种植水生植物2.7万平方米，放养水生动物21万尾，排淡河、烧香河等国考断面水质稳步提升。加强土壤污染风险管控，危废无害化处置利用率达100%。科学划定“三区三线”，严格保护与合理利用自然资源。</w:t>
      </w:r>
    </w:p>
    <w:p w14:paraId="7CCF6C1A">
      <w:pPr>
        <w:ind w:firstLine="643"/>
      </w:pPr>
      <w:r>
        <w:rPr>
          <w:rFonts w:hint="eastAsia"/>
          <w:b/>
          <w:bCs/>
        </w:rPr>
        <w:t>海滨城区特色彰显。</w:t>
      </w:r>
      <w:r>
        <w:rPr>
          <w:rFonts w:hint="eastAsia"/>
        </w:rPr>
        <w:t>连云新城总体空间概念规划通过专家评审，新建改造道路23.3公里，海州湾国家海洋公园提档升级，傲来迷彩世界全面建成，消防救援指挥中心主体封顶，碱渣综合治理项目加快推进，临洪河口滨海湿地获评省级首批美丽海湾示范项目。连岛海滨风情小镇通过省级验收，西连岛综合开发有序推进，环岛西路改扩建段建成通车，小龟山微更新改造加快实施。中山路南侧完成“红顶白墙”改造500余户，老旧小区外墙出新27万平方米。连云老街片区保护更新入选省城市更新首批试点项目。云山片区完成征收7万平方米。精心实施“蓝湾百里”连云区段景观风貌塑造工程，集中开展羊山岛、连岛环境综合整治，沿海特色风貌持续彰显。</w:t>
      </w:r>
    </w:p>
    <w:p w14:paraId="279A5CA3">
      <w:pPr>
        <w:ind w:firstLine="643"/>
      </w:pPr>
      <w:r>
        <w:rPr>
          <w:rFonts w:hint="eastAsia"/>
          <w:b/>
          <w:bCs/>
        </w:rPr>
        <w:t>城市功能不断完善。</w:t>
      </w:r>
      <w:r>
        <w:rPr>
          <w:rFonts w:hint="eastAsia"/>
        </w:rPr>
        <w:t>持续深化文明城市创建，城市环境保持常态化干净、整洁、有序。提升改造道路20条，打通运河路、东哨路等“断头路”。高标准改造老旧小区4个，试点安装电梯5部。完成绿化造林4500亩，新增城市绿化20万平方米，建成口袋公园5个，助力全市创成国家森林城市。新建新能源汽车充电桩200个、自行车站点60个。墟沟污水处理厂扩建工程投入使用，日增污水处理能力4万吨。新建省级垃圾分类小区20个，生活垃圾无害化处理率100%。聚焦群众反映强烈的“急难愁盼”，新建改造公厕13座、路灯150盏，完成低压片区供水改造360户，新增公共停车位2000个。</w:t>
      </w:r>
    </w:p>
    <w:p w14:paraId="3261F0E5">
      <w:pPr>
        <w:pStyle w:val="6"/>
        <w:numPr>
          <w:ilvl w:val="2"/>
          <w:numId w:val="1"/>
        </w:numPr>
      </w:pPr>
      <w:bookmarkStart w:id="37" w:name="_Toc9926"/>
      <w:r>
        <w:rPr>
          <w:rFonts w:hint="eastAsia"/>
        </w:rPr>
        <w:t>海洋经济</w:t>
      </w:r>
      <w:bookmarkEnd w:id="37"/>
    </w:p>
    <w:p w14:paraId="0B122FD4">
      <w:pPr>
        <w:ind w:firstLine="640"/>
      </w:pPr>
      <w:r>
        <w:rPr>
          <w:rFonts w:hint="eastAsia"/>
        </w:rPr>
        <w:t>连云区拥有63.5千米海岸线、23个岛礁、1600平方千米海域、约4万公顷近海可养殖水域等丰富独特的海洋资源、拥有江苏省唯一的基岩海岸线。连云区发挥海洋资源优势，实施海洋兴区战略，推进海洋产业结构优化升级，初步形成以临港工业、港口物流、海洋渔业、滨海旅游等为支柱的现代海洋经济产业体系。</w:t>
      </w:r>
    </w:p>
    <w:p w14:paraId="0711F969">
      <w:pPr>
        <w:ind w:firstLine="643"/>
      </w:pPr>
      <w:r>
        <w:rPr>
          <w:rFonts w:hint="eastAsia"/>
          <w:b/>
          <w:bCs/>
        </w:rPr>
        <w:t>海洋经济实力稳步提升。</w:t>
      </w:r>
      <w:r>
        <w:rPr>
          <w:rFonts w:hint="eastAsia"/>
        </w:rPr>
        <w:t>“十三五”以来，全区海洋经济增投入、优结构、促转型，逐步形成以滨海旅游业、海洋交通运输业、海洋渔业为主导产业，海工装备制造业、海洋生物医药业、海水利用业等产业协同发展，涉海设备、涉海材料等海洋相关产业发展迅速的良好格局，蓝色引擎作用持续发挥。江苏连云港国家级海洋经济发展示范区全域布局在连云区，我区在国际海陆物流一体化模式创新和开展蓝色海湾综合整治等方面持续发力，取得一系列示范成效。</w:t>
      </w:r>
    </w:p>
    <w:p w14:paraId="264E7D6C">
      <w:pPr>
        <w:ind w:firstLine="643"/>
      </w:pPr>
      <w:r>
        <w:rPr>
          <w:rFonts w:hint="eastAsia"/>
          <w:b/>
          <w:bCs/>
        </w:rPr>
        <w:t>科技兴海兴渔初见成效。</w:t>
      </w:r>
      <w:r>
        <w:rPr>
          <w:rFonts w:hint="eastAsia"/>
        </w:rPr>
        <w:t>连云区与江苏海洋大学等高校开展一系列产学研合作，实施科技兴海、科技兴渔战略，科技对海洋与渔业的支撑能力不断提升。云洲智能无人艇项目加快推进，项目总部、研发中心基本完工，建成后将成为北方地区唯一的无人船生产及海洋智能装备基地。港口集团与708所合作设计了国内首艘纯电动港作拖轮。港口集团绿色智能港口建设与运营科技示范工程顺利通过验收，连云港港获得全国第一个“绿色港口”荣誉奖牌及“2019亚太绿色港口”称号。条斑紫菜玻璃钢插杆、贝藻立体生态养殖等技术得到广泛推广。国内首艘南极磷虾专业捕捞加工船抵达南极开展作业，位于连云港市的南极磷虾高值化开发产业园区已完成虾油生产设备安装。江苏省海洋资源开发技术创新中心选址连云区，目前正在积极筹备建设中。</w:t>
      </w:r>
    </w:p>
    <w:p w14:paraId="598D990E">
      <w:pPr>
        <w:ind w:firstLine="643"/>
      </w:pPr>
      <w:r>
        <w:rPr>
          <w:rFonts w:hint="eastAsia"/>
          <w:b/>
          <w:bCs/>
        </w:rPr>
        <w:t>涉海基础设施日趋完善。</w:t>
      </w:r>
      <w:r>
        <w:rPr>
          <w:rFonts w:hint="eastAsia"/>
        </w:rPr>
        <w:t>连云港港主枢纽港功能日益完善，</w:t>
      </w:r>
      <w:r>
        <w:t>连云港区</w:t>
      </w:r>
      <w:r>
        <w:rPr>
          <w:rFonts w:hint="eastAsia"/>
        </w:rPr>
        <w:t>现</w:t>
      </w:r>
      <w:r>
        <w:t>有9家</w:t>
      </w:r>
      <w:r>
        <w:rPr>
          <w:rFonts w:hint="eastAsia"/>
        </w:rPr>
        <w:t>码头</w:t>
      </w:r>
      <w:r>
        <w:t>公司52个泊位，设计吞吐能力1.26亿吨，2022年吞吐量为2.28亿吨。</w:t>
      </w:r>
      <w:r>
        <w:rPr>
          <w:rFonts w:hint="eastAsia"/>
        </w:rPr>
        <w:t>青连盐铁路、连淮扬镇铁路、连徐高铁建成通车，花果山国际机场建成运行，以港口为中心的海陆空立体交通网络初步形成。连云新城加快建设，城市新中心功能不断彰显。</w:t>
      </w:r>
    </w:p>
    <w:p w14:paraId="13175419">
      <w:pPr>
        <w:ind w:firstLine="643"/>
      </w:pPr>
      <w:r>
        <w:rPr>
          <w:rFonts w:hint="eastAsia"/>
          <w:b/>
          <w:bCs/>
        </w:rPr>
        <w:t>海洋生态环境持续向好。</w:t>
      </w:r>
      <w:r>
        <w:rPr>
          <w:rFonts w:hint="eastAsia"/>
        </w:rPr>
        <w:t>严格执行海洋生态红线管控制度，实现“湾长制”全覆盖。近岸海水环境质量稳中趋好，优良海水面积比例稳定提高。积极推动海岸带生态保护与修复，完成临洪河口、小官山等岸线生态修复工程，临洪河口滨海湿地获评省级首批美丽海湾示范项目。连云港连岛入选全国“十大美丽海岛”。</w:t>
      </w:r>
    </w:p>
    <w:p w14:paraId="56C9DC8B">
      <w:pPr>
        <w:ind w:firstLine="643"/>
      </w:pPr>
      <w:r>
        <w:rPr>
          <w:rFonts w:hint="eastAsia"/>
          <w:b/>
          <w:bCs/>
        </w:rPr>
        <w:t>海洋综合管理显著增强。</w:t>
      </w:r>
      <w:r>
        <w:rPr>
          <w:rFonts w:hint="eastAsia"/>
        </w:rPr>
        <w:t>严格实施《江苏省海洋经济促进条例》、海洋牧场建设、海岛保护、滨海湿地保护等地方性法规，依法管海治海能力不断提升。严格养殖用海管理，不断加大紫菜非法养殖整治力度、推进贝类养殖整治、持续开展增殖放流活动。渔业资源恢复有新突破，严格执行伏季休渔制度，大力开展“三无”渔船整治行动，查扣“三无”渔船，取缔禁用及违规渔具，渔业资源得到有效恢复和保护。</w:t>
      </w:r>
    </w:p>
    <w:p w14:paraId="0BFB57DB">
      <w:pPr>
        <w:ind w:firstLine="640"/>
      </w:pPr>
      <w:r>
        <w:rPr>
          <w:rFonts w:hint="eastAsia"/>
        </w:rPr>
        <w:br w:type="page"/>
      </w:r>
    </w:p>
    <w:p w14:paraId="489BF5EA">
      <w:pPr>
        <w:pStyle w:val="5"/>
        <w:numPr>
          <w:ilvl w:val="1"/>
          <w:numId w:val="1"/>
        </w:numPr>
      </w:pPr>
      <w:bookmarkStart w:id="38" w:name="_Toc21611"/>
      <w:r>
        <w:rPr>
          <w:rFonts w:hint="eastAsia"/>
        </w:rPr>
        <w:t>固体废物管理现状</w:t>
      </w:r>
      <w:bookmarkEnd w:id="38"/>
    </w:p>
    <w:p w14:paraId="3A891FE0">
      <w:pPr>
        <w:pStyle w:val="6"/>
        <w:numPr>
          <w:ilvl w:val="2"/>
          <w:numId w:val="1"/>
        </w:numPr>
      </w:pPr>
      <w:bookmarkStart w:id="39" w:name="_Toc8101"/>
      <w:r>
        <w:rPr>
          <w:rFonts w:hint="eastAsia"/>
        </w:rPr>
        <w:t>一般工业固废管理现状</w:t>
      </w:r>
      <w:bookmarkEnd w:id="39"/>
    </w:p>
    <w:p w14:paraId="0DC85912">
      <w:pPr>
        <w:spacing w:line="240" w:lineRule="auto"/>
        <w:ind w:firstLine="0" w:firstLineChars="0"/>
      </w:pPr>
      <w:r>
        <w:rPr>
          <w:rFonts w:hint="eastAsia"/>
        </w:rPr>
        <w:drawing>
          <wp:inline distT="0" distB="0" distL="114300" distR="114300">
            <wp:extent cx="5725795" cy="4467225"/>
            <wp:effectExtent l="0" t="0" r="8255" b="9525"/>
            <wp:docPr id="7" name="图片 7"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1"/>
                    <pic:cNvPicPr>
                      <a:picLocks noChangeAspect="1"/>
                    </pic:cNvPicPr>
                  </pic:nvPicPr>
                  <pic:blipFill>
                    <a:blip r:embed="rId20"/>
                    <a:stretch>
                      <a:fillRect/>
                    </a:stretch>
                  </pic:blipFill>
                  <pic:spPr>
                    <a:xfrm>
                      <a:off x="0" y="0"/>
                      <a:ext cx="5725795" cy="4467225"/>
                    </a:xfrm>
                    <a:prstGeom prst="rect">
                      <a:avLst/>
                    </a:prstGeom>
                  </pic:spPr>
                </pic:pic>
              </a:graphicData>
            </a:graphic>
          </wp:inline>
        </w:drawing>
      </w:r>
    </w:p>
    <w:p w14:paraId="679FC890">
      <w:pPr>
        <w:pStyle w:val="19"/>
        <w:spacing w:line="240" w:lineRule="auto"/>
        <w:ind w:left="0" w:leftChars="0" w:firstLine="0" w:firstLineChars="0"/>
        <w:rPr>
          <w:sz w:val="21"/>
          <w:szCs w:val="20"/>
        </w:rPr>
      </w:pPr>
      <w:r>
        <w:rPr>
          <w:rFonts w:hint="eastAsia"/>
          <w:sz w:val="21"/>
          <w:szCs w:val="20"/>
        </w:rPr>
        <w:t>注：本图依据2022年环境统计数据绘制。</w:t>
      </w:r>
    </w:p>
    <w:p w14:paraId="594EE331">
      <w:pPr>
        <w:pStyle w:val="9"/>
        <w:spacing w:line="360" w:lineRule="auto"/>
      </w:pPr>
      <w:r>
        <w:rPr>
          <w:rFonts w:hint="eastAsia"/>
        </w:rPr>
        <w:t xml:space="preserve">图 </w:t>
      </w:r>
      <w:r>
        <w:fldChar w:fldCharType="begin"/>
      </w:r>
      <w:r>
        <w:rPr>
          <w:rFonts w:hint="eastAsia"/>
        </w:rPr>
        <w:instrText xml:space="preserve">STYLEREF 2 \s</w:instrText>
      </w:r>
      <w:r>
        <w:fldChar w:fldCharType="separate"/>
      </w:r>
      <w:r>
        <w:t>2.2</w:t>
      </w:r>
      <w:r>
        <w:fldChar w:fldCharType="end"/>
      </w:r>
      <w:r>
        <w:noBreakHyphen/>
      </w:r>
      <w:r>
        <w:fldChar w:fldCharType="begin"/>
      </w:r>
      <w:r>
        <w:rPr>
          <w:rFonts w:hint="eastAsia"/>
        </w:rPr>
        <w:instrText xml:space="preserve">SEQ 图 \* ARABIC \s 2</w:instrText>
      </w:r>
      <w:r>
        <w:fldChar w:fldCharType="separate"/>
      </w:r>
      <w:r>
        <w:t>1</w:t>
      </w:r>
      <w:r>
        <w:fldChar w:fldCharType="end"/>
      </w:r>
      <w:r>
        <w:rPr>
          <w:rFonts w:hint="eastAsia"/>
        </w:rPr>
        <w:t>连云区一般工业固废产生及利用处置情况</w:t>
      </w:r>
      <w:r>
        <w:t>图</w:t>
      </w:r>
    </w:p>
    <w:p w14:paraId="6018161B">
      <w:pPr>
        <w:ind w:firstLine="643"/>
      </w:pPr>
      <w:r>
        <w:rPr>
          <w:rFonts w:hint="eastAsia"/>
          <w:b/>
          <w:bCs/>
        </w:rPr>
        <w:t>产废强度下降明显。</w:t>
      </w:r>
      <w:r>
        <w:rPr>
          <w:rFonts w:hint="eastAsia"/>
        </w:rPr>
        <w:t>根据连云区统计局提供的数据，2022年连云区工业增加值为1210400万元。根据连云生态环境局提供的数据，2022年连云区共产生一般工业固废506031.75吨，一般工业固废产生强度0.4181吨/万元，较2021年（0.6301吨/万元）下降了34.2%。</w:t>
      </w:r>
    </w:p>
    <w:p w14:paraId="2341217C">
      <w:pPr>
        <w:ind w:firstLine="643"/>
      </w:pPr>
      <w:r>
        <w:rPr>
          <w:rFonts w:hint="eastAsia"/>
          <w:b/>
          <w:bCs/>
        </w:rPr>
        <w:t>综合利用率较高。</w:t>
      </w:r>
      <w:r>
        <w:rPr>
          <w:rFonts w:hint="eastAsia"/>
        </w:rPr>
        <w:t>2022年连云区一般工业固废综合利用量488580.46吨，处置量946.89吨，综合利用率96.6%，其中连云区内综合利用率约76.4%。</w:t>
      </w:r>
    </w:p>
    <w:p w14:paraId="1CCCF805">
      <w:pPr>
        <w:pStyle w:val="28"/>
        <w:rPr>
          <w:rFonts w:hint="default"/>
        </w:rPr>
      </w:pPr>
      <w:r>
        <w:rPr>
          <w:rFonts w:hint="default"/>
        </w:rPr>
        <w:drawing>
          <wp:inline distT="0" distB="0" distL="114300" distR="114300">
            <wp:extent cx="3656965" cy="1943735"/>
            <wp:effectExtent l="0" t="0" r="635" b="18415"/>
            <wp:docPr id="11" name="图片 11" descr="图片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片9"/>
                    <pic:cNvPicPr>
                      <a:picLocks noChangeAspect="1"/>
                    </pic:cNvPicPr>
                  </pic:nvPicPr>
                  <pic:blipFill>
                    <a:blip r:embed="rId21"/>
                    <a:srcRect l="14946" t="8833" r="30098" b="16275"/>
                    <a:stretch>
                      <a:fillRect/>
                    </a:stretch>
                  </pic:blipFill>
                  <pic:spPr>
                    <a:xfrm>
                      <a:off x="0" y="0"/>
                      <a:ext cx="3656965" cy="1943735"/>
                    </a:xfrm>
                    <a:prstGeom prst="rect">
                      <a:avLst/>
                    </a:prstGeom>
                  </pic:spPr>
                </pic:pic>
              </a:graphicData>
            </a:graphic>
          </wp:inline>
        </w:drawing>
      </w:r>
    </w:p>
    <w:p w14:paraId="50AE10CF">
      <w:pPr>
        <w:pStyle w:val="9"/>
        <w:spacing w:line="360" w:lineRule="auto"/>
      </w:pPr>
      <w:r>
        <w:rPr>
          <w:rFonts w:hint="eastAsia"/>
        </w:rPr>
        <w:t xml:space="preserve">图 </w:t>
      </w:r>
      <w:r>
        <w:fldChar w:fldCharType="begin"/>
      </w:r>
      <w:r>
        <w:rPr>
          <w:rFonts w:hint="eastAsia"/>
        </w:rPr>
        <w:instrText xml:space="preserve">STYLEREF 2 \s</w:instrText>
      </w:r>
      <w:r>
        <w:fldChar w:fldCharType="separate"/>
      </w:r>
      <w:r>
        <w:t>2.2</w:t>
      </w:r>
      <w:r>
        <w:fldChar w:fldCharType="end"/>
      </w:r>
      <w:r>
        <w:noBreakHyphen/>
      </w:r>
      <w:r>
        <w:fldChar w:fldCharType="begin"/>
      </w:r>
      <w:r>
        <w:rPr>
          <w:rFonts w:hint="eastAsia"/>
        </w:rPr>
        <w:instrText xml:space="preserve">SEQ 图 \* ARABIC \s 2</w:instrText>
      </w:r>
      <w:r>
        <w:fldChar w:fldCharType="separate"/>
      </w:r>
      <w:r>
        <w:t>2</w:t>
      </w:r>
      <w:r>
        <w:fldChar w:fldCharType="end"/>
      </w:r>
      <w:r>
        <w:rPr>
          <w:rFonts w:hint="eastAsia"/>
        </w:rPr>
        <w:t>一般工业固废产生情况</w:t>
      </w:r>
      <w:r>
        <w:t>图</w:t>
      </w:r>
      <w:r>
        <w:rPr>
          <w:rFonts w:hint="eastAsia"/>
        </w:rPr>
        <w:t>（万吨）</w:t>
      </w:r>
    </w:p>
    <w:p w14:paraId="7416B287">
      <w:pPr>
        <w:ind w:firstLine="643"/>
      </w:pPr>
      <w:r>
        <w:rPr>
          <w:rFonts w:hint="eastAsia"/>
          <w:b/>
          <w:bCs/>
        </w:rPr>
        <w:t>产废类别和行业较为集中</w:t>
      </w:r>
      <w:r>
        <w:rPr>
          <w:rFonts w:hint="eastAsia"/>
        </w:rPr>
        <w:t>。一般固废中主要为SW01冶炼废渣（36.65万吨，占比72%），主要由非金属矿物制品业（连云港华乐合金集团有限公司）产生。</w:t>
      </w:r>
    </w:p>
    <w:p w14:paraId="1A6A8FF0">
      <w:pPr>
        <w:pStyle w:val="6"/>
        <w:numPr>
          <w:ilvl w:val="2"/>
          <w:numId w:val="1"/>
        </w:numPr>
      </w:pPr>
      <w:bookmarkStart w:id="40" w:name="_Toc2921"/>
      <w:r>
        <w:rPr>
          <w:rFonts w:hint="eastAsia"/>
        </w:rPr>
        <w:t>危险废物的管理现状</w:t>
      </w:r>
      <w:bookmarkEnd w:id="40"/>
    </w:p>
    <w:p w14:paraId="0B6AD4AC">
      <w:pPr>
        <w:spacing w:line="240" w:lineRule="auto"/>
        <w:ind w:firstLine="0" w:firstLineChars="0"/>
      </w:pPr>
      <w:r>
        <w:rPr>
          <w:rFonts w:hint="eastAsia"/>
        </w:rPr>
        <w:drawing>
          <wp:inline distT="0" distB="0" distL="114300" distR="114300">
            <wp:extent cx="5728970" cy="4709160"/>
            <wp:effectExtent l="0" t="0" r="5080" b="15240"/>
            <wp:docPr id="16" name="图片 16"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图片3"/>
                    <pic:cNvPicPr>
                      <a:picLocks noChangeAspect="1"/>
                    </pic:cNvPicPr>
                  </pic:nvPicPr>
                  <pic:blipFill>
                    <a:blip r:embed="rId22"/>
                    <a:stretch>
                      <a:fillRect/>
                    </a:stretch>
                  </pic:blipFill>
                  <pic:spPr>
                    <a:xfrm>
                      <a:off x="0" y="0"/>
                      <a:ext cx="5728970" cy="4709160"/>
                    </a:xfrm>
                    <a:prstGeom prst="rect">
                      <a:avLst/>
                    </a:prstGeom>
                  </pic:spPr>
                </pic:pic>
              </a:graphicData>
            </a:graphic>
          </wp:inline>
        </w:drawing>
      </w:r>
    </w:p>
    <w:p w14:paraId="5F876CBE">
      <w:pPr>
        <w:pStyle w:val="19"/>
        <w:spacing w:line="240" w:lineRule="auto"/>
        <w:ind w:left="0" w:leftChars="0" w:firstLine="0" w:firstLineChars="0"/>
        <w:rPr>
          <w:sz w:val="21"/>
          <w:szCs w:val="20"/>
        </w:rPr>
      </w:pPr>
      <w:r>
        <w:rPr>
          <w:rFonts w:hint="eastAsia"/>
          <w:sz w:val="21"/>
          <w:szCs w:val="20"/>
        </w:rPr>
        <w:t>注：本图依据危废全生命周期系统数据及各单位提供的数据绘制。</w:t>
      </w:r>
    </w:p>
    <w:p w14:paraId="126A3E06">
      <w:pPr>
        <w:pStyle w:val="9"/>
        <w:spacing w:line="360" w:lineRule="auto"/>
      </w:pPr>
      <w:r>
        <w:rPr>
          <w:rFonts w:hint="eastAsia"/>
        </w:rPr>
        <w:t xml:space="preserve">图 </w:t>
      </w:r>
      <w:r>
        <w:fldChar w:fldCharType="begin"/>
      </w:r>
      <w:r>
        <w:rPr>
          <w:rFonts w:hint="eastAsia"/>
        </w:rPr>
        <w:instrText xml:space="preserve">STYLEREF 2 \s</w:instrText>
      </w:r>
      <w:r>
        <w:fldChar w:fldCharType="separate"/>
      </w:r>
      <w:r>
        <w:t>2.2</w:t>
      </w:r>
      <w:r>
        <w:fldChar w:fldCharType="end"/>
      </w:r>
      <w:r>
        <w:noBreakHyphen/>
      </w:r>
      <w:r>
        <w:fldChar w:fldCharType="begin"/>
      </w:r>
      <w:r>
        <w:rPr>
          <w:rFonts w:hint="eastAsia"/>
        </w:rPr>
        <w:instrText xml:space="preserve">SEQ 图 \* ARABIC \s 2</w:instrText>
      </w:r>
      <w:r>
        <w:fldChar w:fldCharType="separate"/>
      </w:r>
      <w:r>
        <w:t>3</w:t>
      </w:r>
      <w:r>
        <w:fldChar w:fldCharType="end"/>
      </w:r>
      <w:r>
        <w:rPr>
          <w:rFonts w:hint="eastAsia"/>
        </w:rPr>
        <w:t>连云区危废产生及处置利用情况</w:t>
      </w:r>
      <w:r>
        <w:t>图</w:t>
      </w:r>
    </w:p>
    <w:p w14:paraId="30372D12">
      <w:pPr>
        <w:pStyle w:val="7"/>
        <w:ind w:firstLine="640"/>
      </w:pPr>
      <w:r>
        <w:rPr>
          <w:rFonts w:cs="Times New Roman"/>
        </w:rPr>
        <w:t>（1）工</w:t>
      </w:r>
      <w:r>
        <w:rPr>
          <w:rFonts w:hint="eastAsia"/>
        </w:rPr>
        <w:t>业源危废</w:t>
      </w:r>
    </w:p>
    <w:p w14:paraId="6BD91334">
      <w:pPr>
        <w:ind w:firstLine="643"/>
        <w:rPr>
          <w:rFonts w:cs="Times New Roman"/>
        </w:rPr>
      </w:pPr>
      <w:r>
        <w:rPr>
          <w:rFonts w:hint="eastAsia"/>
          <w:b/>
          <w:bCs/>
        </w:rPr>
        <w:t>产废强度略有升高。</w:t>
      </w:r>
      <w:r>
        <w:rPr>
          <w:rFonts w:hint="eastAsia"/>
        </w:rPr>
        <w:t>根据连云区统计局提供的数据，2022年连云区工业增加值为1210400万元。</w:t>
      </w:r>
      <w:r>
        <w:rPr>
          <w:rFonts w:cs="Times New Roman"/>
        </w:rPr>
        <w:t>根据危险废物全生命周期系统数据，</w:t>
      </w:r>
      <w:r>
        <w:rPr>
          <w:rFonts w:hint="eastAsia" w:cs="Times New Roman"/>
        </w:rPr>
        <w:t>2022年连云区共有28家危废产生单位，共产生工业危废21909.82吨，危废产生强度0.0181吨/万元，较2021年（0.0142吨/万元）增加27.5%。</w:t>
      </w:r>
    </w:p>
    <w:p w14:paraId="4355413E">
      <w:pPr>
        <w:ind w:firstLine="643"/>
        <w:rPr>
          <w:rFonts w:cs="Times New Roman"/>
          <w:b/>
          <w:bCs/>
        </w:rPr>
      </w:pPr>
      <w:r>
        <w:rPr>
          <w:rFonts w:hint="eastAsia"/>
          <w:b/>
          <w:bCs/>
        </w:rPr>
        <w:t>产废行业主要为化学原料及化学制品制造业</w:t>
      </w:r>
      <w:r>
        <w:rPr>
          <w:rFonts w:hint="eastAsia"/>
        </w:rPr>
        <w:t>。28家产废企业中，12家企业属于化学原料及化学制品制造业，上述企业共产生危废20799.55吨，占危废总产生量94.9%。</w:t>
      </w:r>
    </w:p>
    <w:p w14:paraId="1A2535AC">
      <w:pPr>
        <w:pStyle w:val="28"/>
        <w:rPr>
          <w:rFonts w:hint="default"/>
        </w:rPr>
      </w:pPr>
      <w:r>
        <w:drawing>
          <wp:inline distT="0" distB="0" distL="114300" distR="114300">
            <wp:extent cx="4290060" cy="2249170"/>
            <wp:effectExtent l="0" t="0" r="15240" b="17780"/>
            <wp:docPr id="4" name="图片 4"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2"/>
                    <pic:cNvPicPr>
                      <a:picLocks noChangeAspect="1"/>
                    </pic:cNvPicPr>
                  </pic:nvPicPr>
                  <pic:blipFill>
                    <a:blip r:embed="rId23"/>
                    <a:srcRect l="2840" t="5232" r="2036" b="11800"/>
                    <a:stretch>
                      <a:fillRect/>
                    </a:stretch>
                  </pic:blipFill>
                  <pic:spPr>
                    <a:xfrm>
                      <a:off x="0" y="0"/>
                      <a:ext cx="4290060" cy="2249170"/>
                    </a:xfrm>
                    <a:prstGeom prst="rect">
                      <a:avLst/>
                    </a:prstGeom>
                  </pic:spPr>
                </pic:pic>
              </a:graphicData>
            </a:graphic>
          </wp:inline>
        </w:drawing>
      </w:r>
    </w:p>
    <w:p w14:paraId="636371A7">
      <w:pPr>
        <w:pStyle w:val="9"/>
        <w:spacing w:line="360" w:lineRule="auto"/>
      </w:pPr>
      <w:r>
        <w:rPr>
          <w:rFonts w:hint="eastAsia"/>
        </w:rPr>
        <w:t xml:space="preserve">图 </w:t>
      </w:r>
      <w:r>
        <w:fldChar w:fldCharType="begin"/>
      </w:r>
      <w:r>
        <w:rPr>
          <w:rFonts w:hint="eastAsia"/>
        </w:rPr>
        <w:instrText xml:space="preserve">STYLEREF 2 \s</w:instrText>
      </w:r>
      <w:r>
        <w:fldChar w:fldCharType="separate"/>
      </w:r>
      <w:r>
        <w:t>2.2</w:t>
      </w:r>
      <w:r>
        <w:fldChar w:fldCharType="end"/>
      </w:r>
      <w:r>
        <w:noBreakHyphen/>
      </w:r>
      <w:r>
        <w:fldChar w:fldCharType="begin"/>
      </w:r>
      <w:r>
        <w:rPr>
          <w:rFonts w:hint="eastAsia"/>
        </w:rPr>
        <w:instrText xml:space="preserve">SEQ 图 \* ARABIC \s 2</w:instrText>
      </w:r>
      <w:r>
        <w:fldChar w:fldCharType="separate"/>
      </w:r>
      <w:r>
        <w:t>4</w:t>
      </w:r>
      <w:r>
        <w:fldChar w:fldCharType="end"/>
      </w:r>
      <w:r>
        <w:rPr>
          <w:rFonts w:hint="eastAsia"/>
        </w:rPr>
        <w:t>区内危废处置去向</w:t>
      </w:r>
      <w:r>
        <w:t>图</w:t>
      </w:r>
    </w:p>
    <w:p w14:paraId="344517F0">
      <w:pPr>
        <w:ind w:firstLine="643"/>
        <w:rPr>
          <w:rFonts w:cs="Times New Roman"/>
        </w:rPr>
      </w:pPr>
      <w:r>
        <w:rPr>
          <w:rFonts w:hint="eastAsia" w:cs="Times New Roman"/>
          <w:b/>
          <w:bCs/>
        </w:rPr>
        <w:t>危废本地消纳率较高。</w:t>
      </w:r>
      <w:r>
        <w:rPr>
          <w:rFonts w:hint="eastAsia" w:cs="Times New Roman"/>
        </w:rPr>
        <w:t>连云区现有1家持有危废经营许可证的危废处置单位（丰益高分子材料(连云港)有限公司），危废焚烧能力9900吨/年；2022年，连云区1847.88吨（约占全区危废产生量的8.4%）危废送至丰益高分子材料进行焚烧处置。此外，危废产生量最大江苏三吉利化工股份有限公司自建有焚烧炉（焚烧能力约4.5吨/小时），可以消纳三吉利化工自身厂内产生的危废；2022年，三吉利化工共产生危废16987.07吨（约占全区产废总量77.5%），厂内焚烧处置16131.05吨（约占全区危废产生量的73.6%）。综上，连云区内约82%的危废均在本地焚烧消纳。</w:t>
      </w:r>
    </w:p>
    <w:p w14:paraId="7D422BAE">
      <w:pPr>
        <w:ind w:firstLine="643"/>
        <w:rPr>
          <w:rFonts w:cs="Times New Roman"/>
        </w:rPr>
      </w:pPr>
      <w:r>
        <w:rPr>
          <w:rFonts w:hint="eastAsia" w:cs="Times New Roman"/>
          <w:b/>
          <w:bCs/>
        </w:rPr>
        <w:t>危废综合利用率偏低</w:t>
      </w:r>
      <w:r>
        <w:rPr>
          <w:rFonts w:hint="eastAsia" w:cs="Times New Roman"/>
        </w:rPr>
        <w:t>。根据危废转移联单数据，2022年共转移危废4914.52吨，其中处置3909.65吨、综合利用1004.87吨，转移的危废中，综合利用率20.4%（三吉利化工自行处置危废不填报转移联单），全区危废整体综合利用率4.6%。</w:t>
      </w:r>
    </w:p>
    <w:p w14:paraId="239324FB">
      <w:pPr>
        <w:pStyle w:val="28"/>
        <w:rPr>
          <w:rFonts w:hint="default"/>
        </w:rPr>
      </w:pPr>
      <w:r>
        <w:drawing>
          <wp:inline distT="0" distB="0" distL="114300" distR="114300">
            <wp:extent cx="3336925" cy="2116455"/>
            <wp:effectExtent l="0" t="0" r="15875" b="17145"/>
            <wp:docPr id="3" name="图片 3"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2"/>
                    <pic:cNvPicPr>
                      <a:picLocks noChangeAspect="1"/>
                    </pic:cNvPicPr>
                  </pic:nvPicPr>
                  <pic:blipFill>
                    <a:blip r:embed="rId24"/>
                    <a:srcRect l="7840" t="4033" r="14420" b="13943"/>
                    <a:stretch>
                      <a:fillRect/>
                    </a:stretch>
                  </pic:blipFill>
                  <pic:spPr>
                    <a:xfrm>
                      <a:off x="0" y="0"/>
                      <a:ext cx="3336925" cy="2116455"/>
                    </a:xfrm>
                    <a:prstGeom prst="rect">
                      <a:avLst/>
                    </a:prstGeom>
                  </pic:spPr>
                </pic:pic>
              </a:graphicData>
            </a:graphic>
          </wp:inline>
        </w:drawing>
      </w:r>
    </w:p>
    <w:p w14:paraId="0254F334">
      <w:pPr>
        <w:pStyle w:val="9"/>
        <w:spacing w:line="360" w:lineRule="auto"/>
      </w:pPr>
      <w:bookmarkStart w:id="41" w:name="_Ref4012"/>
      <w:r>
        <w:rPr>
          <w:rFonts w:hint="eastAsia"/>
        </w:rPr>
        <w:t xml:space="preserve">图 </w:t>
      </w:r>
      <w:r>
        <w:fldChar w:fldCharType="begin"/>
      </w:r>
      <w:r>
        <w:rPr>
          <w:rFonts w:hint="eastAsia"/>
        </w:rPr>
        <w:instrText xml:space="preserve">STYLEREF 2 \s</w:instrText>
      </w:r>
      <w:r>
        <w:fldChar w:fldCharType="separate"/>
      </w:r>
      <w:r>
        <w:t>2.2</w:t>
      </w:r>
      <w:r>
        <w:fldChar w:fldCharType="end"/>
      </w:r>
      <w:r>
        <w:noBreakHyphen/>
      </w:r>
      <w:r>
        <w:fldChar w:fldCharType="begin"/>
      </w:r>
      <w:r>
        <w:rPr>
          <w:rFonts w:hint="eastAsia"/>
        </w:rPr>
        <w:instrText xml:space="preserve">SEQ 图 \* ARABIC \s 2</w:instrText>
      </w:r>
      <w:r>
        <w:fldChar w:fldCharType="separate"/>
      </w:r>
      <w:r>
        <w:t>5</w:t>
      </w:r>
      <w:r>
        <w:fldChar w:fldCharType="end"/>
      </w:r>
      <w:bookmarkEnd w:id="41"/>
      <w:r>
        <w:rPr>
          <w:rFonts w:hint="eastAsia"/>
        </w:rPr>
        <w:t>区外危废来源分布</w:t>
      </w:r>
      <w:r>
        <w:t>图</w:t>
      </w:r>
    </w:p>
    <w:p w14:paraId="0959262D">
      <w:pPr>
        <w:ind w:firstLine="643"/>
        <w:rPr>
          <w:rFonts w:cs="Times New Roman"/>
        </w:rPr>
      </w:pPr>
      <w:r>
        <w:rPr>
          <w:rFonts w:hint="eastAsia" w:cs="Times New Roman"/>
          <w:b/>
          <w:bCs/>
        </w:rPr>
        <w:t>接收区外危废来源较集中。</w:t>
      </w:r>
      <w:r>
        <w:rPr>
          <w:rFonts w:hint="eastAsia" w:cs="Times New Roman"/>
        </w:rPr>
        <w:t>2022年，丰益高分子材料共接收区外危废1388.86吨，主要为环境事件清理危废以及苏州、宿迁、盐城医药生产企业的污泥和废活性炭。</w:t>
      </w:r>
    </w:p>
    <w:p w14:paraId="74F158BB">
      <w:pPr>
        <w:ind w:firstLine="643"/>
      </w:pPr>
      <w:r>
        <w:rPr>
          <w:rFonts w:hint="eastAsia"/>
          <w:b/>
          <w:bCs/>
        </w:rPr>
        <w:t>机构实验室均已纳入全生命周期系统管理。</w:t>
      </w:r>
      <w:r>
        <w:rPr>
          <w:rFonts w:hint="eastAsia"/>
        </w:rPr>
        <w:t>连云区共有科研、检验检测、监测机构实验室5家，目前均已纳入危险废物全生命周期系统管理，2022年系统中共2家实验室（通标标准技术服务有限公司、连云港莲枝环境检测有限公司），共申报处置实验室危险废物10.08吨。</w:t>
      </w:r>
    </w:p>
    <w:p w14:paraId="1CC667D3">
      <w:pPr>
        <w:ind w:firstLine="643"/>
      </w:pPr>
      <w:r>
        <w:rPr>
          <w:rFonts w:hint="eastAsia"/>
          <w:b/>
          <w:bCs/>
        </w:rPr>
        <w:t>小量危废产生单位已纳入小微收集体系。</w:t>
      </w:r>
      <w:r>
        <w:rPr>
          <w:rFonts w:hint="eastAsia"/>
        </w:rPr>
        <w:t>连云区目前共有7家小量危废产生企业，均已纳入连云港市危险废物集中收集系统管理。2022年共有4家企业，产生11.51吨危废，均由光大环保（连云港）废弃物处理有限公司（小微收集）统一收集处置。</w:t>
      </w:r>
    </w:p>
    <w:p w14:paraId="5C6099CA">
      <w:pPr>
        <w:pStyle w:val="9"/>
      </w:pPr>
      <w:r>
        <w:rPr>
          <w:rFonts w:hint="eastAsia"/>
        </w:rPr>
        <w:t xml:space="preserve">表 </w:t>
      </w:r>
      <w:r>
        <w:fldChar w:fldCharType="begin"/>
      </w:r>
      <w:r>
        <w:rPr>
          <w:rFonts w:hint="eastAsia"/>
        </w:rPr>
        <w:instrText xml:space="preserve">STYLEREF 2 \s</w:instrText>
      </w:r>
      <w:r>
        <w:fldChar w:fldCharType="separate"/>
      </w:r>
      <w:r>
        <w:t>2.2</w:t>
      </w:r>
      <w:r>
        <w:fldChar w:fldCharType="end"/>
      </w:r>
      <w:r>
        <w:noBreakHyphen/>
      </w:r>
      <w:r>
        <w:fldChar w:fldCharType="begin"/>
      </w:r>
      <w:r>
        <w:rPr>
          <w:rFonts w:hint="eastAsia"/>
        </w:rPr>
        <w:instrText xml:space="preserve">SEQ 表 \* ARABIC \s 2</w:instrText>
      </w:r>
      <w:r>
        <w:fldChar w:fldCharType="separate"/>
      </w:r>
      <w:r>
        <w:t>1</w:t>
      </w:r>
      <w:r>
        <w:fldChar w:fldCharType="end"/>
      </w:r>
      <w:r>
        <w:rPr>
          <w:rFonts w:hint="eastAsia"/>
        </w:rPr>
        <w:t xml:space="preserve"> 连云区小量危废产生企业名单</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4232"/>
        <w:gridCol w:w="1741"/>
        <w:gridCol w:w="2531"/>
      </w:tblGrid>
      <w:tr w14:paraId="29A9A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Pr>
          <w:p w14:paraId="0146461F">
            <w:pPr>
              <w:pStyle w:val="28"/>
              <w:rPr>
                <w:rFonts w:hint="default"/>
                <w:b/>
                <w:bCs/>
              </w:rPr>
            </w:pPr>
            <w:r>
              <w:rPr>
                <w:b/>
                <w:bCs/>
              </w:rPr>
              <w:t>序号</w:t>
            </w:r>
          </w:p>
        </w:tc>
        <w:tc>
          <w:tcPr>
            <w:tcW w:w="4232" w:type="dxa"/>
          </w:tcPr>
          <w:p w14:paraId="64E1CB97">
            <w:pPr>
              <w:pStyle w:val="28"/>
              <w:rPr>
                <w:rFonts w:hint="default"/>
                <w:b/>
                <w:bCs/>
              </w:rPr>
            </w:pPr>
            <w:r>
              <w:rPr>
                <w:b/>
                <w:bCs/>
              </w:rPr>
              <w:t>名称</w:t>
            </w:r>
          </w:p>
        </w:tc>
        <w:tc>
          <w:tcPr>
            <w:tcW w:w="1741" w:type="dxa"/>
          </w:tcPr>
          <w:p w14:paraId="21199D8E">
            <w:pPr>
              <w:pStyle w:val="28"/>
              <w:rPr>
                <w:rFonts w:hint="default"/>
                <w:b/>
                <w:bCs/>
              </w:rPr>
            </w:pPr>
            <w:r>
              <w:rPr>
                <w:b/>
                <w:bCs/>
              </w:rPr>
              <w:t>年产危废量</w:t>
            </w:r>
          </w:p>
        </w:tc>
        <w:tc>
          <w:tcPr>
            <w:tcW w:w="2531" w:type="dxa"/>
          </w:tcPr>
          <w:p w14:paraId="29399946">
            <w:pPr>
              <w:pStyle w:val="28"/>
              <w:rPr>
                <w:rFonts w:hint="default"/>
                <w:b/>
                <w:bCs/>
              </w:rPr>
            </w:pPr>
            <w:r>
              <w:rPr>
                <w:b/>
                <w:bCs/>
              </w:rPr>
              <w:t>2022危废产生量</w:t>
            </w:r>
          </w:p>
        </w:tc>
      </w:tr>
      <w:tr w14:paraId="39AA4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Pr>
          <w:p w14:paraId="040E78BF">
            <w:pPr>
              <w:pStyle w:val="28"/>
              <w:rPr>
                <w:rFonts w:hint="default"/>
              </w:rPr>
            </w:pPr>
            <w:r>
              <w:t>1</w:t>
            </w:r>
          </w:p>
        </w:tc>
        <w:tc>
          <w:tcPr>
            <w:tcW w:w="4232" w:type="dxa"/>
          </w:tcPr>
          <w:p w14:paraId="7A3CA624">
            <w:pPr>
              <w:pStyle w:val="28"/>
              <w:rPr>
                <w:rFonts w:hint="default"/>
              </w:rPr>
            </w:pPr>
            <w:r>
              <w:t>连云港新东方国际货柜码头有限公司</w:t>
            </w:r>
          </w:p>
        </w:tc>
        <w:tc>
          <w:tcPr>
            <w:tcW w:w="1741" w:type="dxa"/>
          </w:tcPr>
          <w:p w14:paraId="3AB8385E">
            <w:pPr>
              <w:pStyle w:val="28"/>
              <w:rPr>
                <w:rFonts w:hint="default"/>
              </w:rPr>
            </w:pPr>
            <w:r>
              <w:t>1-10吨</w:t>
            </w:r>
          </w:p>
        </w:tc>
        <w:tc>
          <w:tcPr>
            <w:tcW w:w="2531" w:type="dxa"/>
          </w:tcPr>
          <w:p w14:paraId="2D7CA24D">
            <w:pPr>
              <w:pStyle w:val="28"/>
              <w:rPr>
                <w:rFonts w:hint="default"/>
              </w:rPr>
            </w:pPr>
            <w:r>
              <w:t>6.5280吨</w:t>
            </w:r>
          </w:p>
        </w:tc>
      </w:tr>
      <w:tr w14:paraId="4141F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Pr>
          <w:p w14:paraId="69A6D559">
            <w:pPr>
              <w:pStyle w:val="28"/>
              <w:rPr>
                <w:rFonts w:hint="default"/>
              </w:rPr>
            </w:pPr>
            <w:r>
              <w:t>2</w:t>
            </w:r>
          </w:p>
        </w:tc>
        <w:tc>
          <w:tcPr>
            <w:tcW w:w="4232" w:type="dxa"/>
          </w:tcPr>
          <w:p w14:paraId="02457845">
            <w:pPr>
              <w:pStyle w:val="28"/>
              <w:rPr>
                <w:rFonts w:hint="default"/>
              </w:rPr>
            </w:pPr>
            <w:r>
              <w:t>连云港港鑫卫生保洁有限公司</w:t>
            </w:r>
          </w:p>
        </w:tc>
        <w:tc>
          <w:tcPr>
            <w:tcW w:w="1741" w:type="dxa"/>
          </w:tcPr>
          <w:p w14:paraId="28AF2B0A">
            <w:pPr>
              <w:pStyle w:val="28"/>
              <w:rPr>
                <w:rFonts w:hint="default"/>
              </w:rPr>
            </w:pPr>
            <w:r>
              <w:t>1-10吨</w:t>
            </w:r>
          </w:p>
        </w:tc>
        <w:tc>
          <w:tcPr>
            <w:tcW w:w="2531" w:type="dxa"/>
          </w:tcPr>
          <w:p w14:paraId="3902BECE">
            <w:pPr>
              <w:pStyle w:val="28"/>
              <w:rPr>
                <w:rFonts w:hint="default"/>
              </w:rPr>
            </w:pPr>
            <w:r>
              <w:t>3.2800吨</w:t>
            </w:r>
          </w:p>
        </w:tc>
      </w:tr>
      <w:tr w14:paraId="2BF27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Pr>
          <w:p w14:paraId="7258D4EC">
            <w:pPr>
              <w:pStyle w:val="28"/>
              <w:rPr>
                <w:rFonts w:hint="default"/>
              </w:rPr>
            </w:pPr>
            <w:r>
              <w:t>3</w:t>
            </w:r>
          </w:p>
        </w:tc>
        <w:tc>
          <w:tcPr>
            <w:tcW w:w="4232" w:type="dxa"/>
          </w:tcPr>
          <w:p w14:paraId="33C332A9">
            <w:pPr>
              <w:pStyle w:val="28"/>
              <w:rPr>
                <w:rFonts w:hint="default"/>
              </w:rPr>
            </w:pPr>
            <w:r>
              <w:t>连云港新富海仓储有限公司</w:t>
            </w:r>
          </w:p>
        </w:tc>
        <w:tc>
          <w:tcPr>
            <w:tcW w:w="1741" w:type="dxa"/>
          </w:tcPr>
          <w:p w14:paraId="43CA9112">
            <w:pPr>
              <w:pStyle w:val="28"/>
              <w:rPr>
                <w:rFonts w:hint="default"/>
              </w:rPr>
            </w:pPr>
            <w:r>
              <w:t>1吨以下</w:t>
            </w:r>
          </w:p>
        </w:tc>
        <w:tc>
          <w:tcPr>
            <w:tcW w:w="2531" w:type="dxa"/>
          </w:tcPr>
          <w:p w14:paraId="1DEFAA18">
            <w:pPr>
              <w:pStyle w:val="28"/>
              <w:rPr>
                <w:rFonts w:hint="default"/>
              </w:rPr>
            </w:pPr>
            <w:r>
              <w:t>1.7000吨</w:t>
            </w:r>
          </w:p>
        </w:tc>
      </w:tr>
      <w:tr w14:paraId="0E0BF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Pr>
          <w:p w14:paraId="139A20B1">
            <w:pPr>
              <w:pStyle w:val="28"/>
              <w:rPr>
                <w:rFonts w:hint="default"/>
              </w:rPr>
            </w:pPr>
            <w:r>
              <w:t>4</w:t>
            </w:r>
          </w:p>
        </w:tc>
        <w:tc>
          <w:tcPr>
            <w:tcW w:w="4232" w:type="dxa"/>
          </w:tcPr>
          <w:p w14:paraId="034DB206">
            <w:pPr>
              <w:pStyle w:val="28"/>
              <w:rPr>
                <w:rFonts w:hint="default"/>
              </w:rPr>
            </w:pPr>
            <w:r>
              <w:t>连云港同欣泡塑新材料有限公司</w:t>
            </w:r>
          </w:p>
        </w:tc>
        <w:tc>
          <w:tcPr>
            <w:tcW w:w="1741" w:type="dxa"/>
          </w:tcPr>
          <w:p w14:paraId="0EED2BC5">
            <w:pPr>
              <w:pStyle w:val="28"/>
              <w:rPr>
                <w:rFonts w:hint="default"/>
              </w:rPr>
            </w:pPr>
            <w:r>
              <w:t>1吨以下</w:t>
            </w:r>
          </w:p>
        </w:tc>
        <w:tc>
          <w:tcPr>
            <w:tcW w:w="2531" w:type="dxa"/>
          </w:tcPr>
          <w:p w14:paraId="2276627A">
            <w:pPr>
              <w:pStyle w:val="28"/>
              <w:rPr>
                <w:rFonts w:hint="default"/>
              </w:rPr>
            </w:pPr>
            <w:r>
              <w:t>0.0400吨</w:t>
            </w:r>
          </w:p>
        </w:tc>
      </w:tr>
      <w:tr w14:paraId="1E07C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Pr>
          <w:p w14:paraId="1A3D6F00">
            <w:pPr>
              <w:pStyle w:val="28"/>
              <w:rPr>
                <w:rFonts w:hint="default"/>
              </w:rPr>
            </w:pPr>
            <w:r>
              <w:t>5</w:t>
            </w:r>
          </w:p>
        </w:tc>
        <w:tc>
          <w:tcPr>
            <w:tcW w:w="4232" w:type="dxa"/>
          </w:tcPr>
          <w:p w14:paraId="5BC3AC9C">
            <w:pPr>
              <w:pStyle w:val="28"/>
              <w:rPr>
                <w:rFonts w:hint="default"/>
              </w:rPr>
            </w:pPr>
            <w:r>
              <w:t>连云港瑞泰船舶服务有限公司</w:t>
            </w:r>
          </w:p>
        </w:tc>
        <w:tc>
          <w:tcPr>
            <w:tcW w:w="1741" w:type="dxa"/>
          </w:tcPr>
          <w:p w14:paraId="7D22B4FC">
            <w:pPr>
              <w:pStyle w:val="28"/>
              <w:rPr>
                <w:rFonts w:hint="default"/>
              </w:rPr>
            </w:pPr>
            <w:r>
              <w:t>1-10吨</w:t>
            </w:r>
          </w:p>
        </w:tc>
        <w:tc>
          <w:tcPr>
            <w:tcW w:w="2531" w:type="dxa"/>
          </w:tcPr>
          <w:p w14:paraId="783A8CE6">
            <w:pPr>
              <w:pStyle w:val="28"/>
              <w:rPr>
                <w:rFonts w:hint="default"/>
              </w:rPr>
            </w:pPr>
            <w:r>
              <w:t>2023年纳入系统</w:t>
            </w:r>
          </w:p>
        </w:tc>
      </w:tr>
      <w:tr w14:paraId="763FC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Pr>
          <w:p w14:paraId="5FECF250">
            <w:pPr>
              <w:pStyle w:val="28"/>
              <w:rPr>
                <w:rFonts w:hint="default"/>
              </w:rPr>
            </w:pPr>
            <w:r>
              <w:t>6</w:t>
            </w:r>
          </w:p>
        </w:tc>
        <w:tc>
          <w:tcPr>
            <w:tcW w:w="4232" w:type="dxa"/>
          </w:tcPr>
          <w:p w14:paraId="220A02D6">
            <w:pPr>
              <w:pStyle w:val="28"/>
              <w:rPr>
                <w:rFonts w:hint="default"/>
              </w:rPr>
            </w:pPr>
            <w:r>
              <w:t>连云港鸿云实业有限公司</w:t>
            </w:r>
          </w:p>
        </w:tc>
        <w:tc>
          <w:tcPr>
            <w:tcW w:w="1741" w:type="dxa"/>
          </w:tcPr>
          <w:p w14:paraId="4A5DE301">
            <w:pPr>
              <w:pStyle w:val="28"/>
              <w:rPr>
                <w:rFonts w:hint="default"/>
              </w:rPr>
            </w:pPr>
            <w:r>
              <w:t>1-10吨</w:t>
            </w:r>
          </w:p>
        </w:tc>
        <w:tc>
          <w:tcPr>
            <w:tcW w:w="2531" w:type="dxa"/>
          </w:tcPr>
          <w:p w14:paraId="69F07348">
            <w:pPr>
              <w:pStyle w:val="28"/>
              <w:rPr>
                <w:rFonts w:hint="default"/>
              </w:rPr>
            </w:pPr>
            <w:r>
              <w:t>2023年纳入系统</w:t>
            </w:r>
          </w:p>
        </w:tc>
      </w:tr>
      <w:tr w14:paraId="35883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Pr>
          <w:p w14:paraId="2650D3EE">
            <w:pPr>
              <w:pStyle w:val="28"/>
              <w:rPr>
                <w:rFonts w:hint="default"/>
              </w:rPr>
            </w:pPr>
            <w:r>
              <w:t>7</w:t>
            </w:r>
          </w:p>
        </w:tc>
        <w:tc>
          <w:tcPr>
            <w:tcW w:w="4232" w:type="dxa"/>
          </w:tcPr>
          <w:p w14:paraId="0D026774">
            <w:pPr>
              <w:pStyle w:val="28"/>
              <w:rPr>
                <w:rFonts w:hint="default"/>
              </w:rPr>
            </w:pPr>
            <w:r>
              <w:t>连云港双菱风电设备科技有限公司</w:t>
            </w:r>
          </w:p>
        </w:tc>
        <w:tc>
          <w:tcPr>
            <w:tcW w:w="1741" w:type="dxa"/>
          </w:tcPr>
          <w:p w14:paraId="2AF65738">
            <w:pPr>
              <w:pStyle w:val="28"/>
              <w:rPr>
                <w:rFonts w:hint="default"/>
              </w:rPr>
            </w:pPr>
            <w:r>
              <w:t>1吨以下</w:t>
            </w:r>
          </w:p>
        </w:tc>
        <w:tc>
          <w:tcPr>
            <w:tcW w:w="2531" w:type="dxa"/>
          </w:tcPr>
          <w:p w14:paraId="5AA029E3">
            <w:pPr>
              <w:pStyle w:val="28"/>
              <w:rPr>
                <w:rFonts w:hint="default"/>
              </w:rPr>
            </w:pPr>
            <w:r>
              <w:t>2023年纳入系统</w:t>
            </w:r>
          </w:p>
        </w:tc>
      </w:tr>
    </w:tbl>
    <w:p w14:paraId="0779C63F">
      <w:pPr>
        <w:pStyle w:val="7"/>
        <w:ind w:firstLine="640"/>
      </w:pPr>
      <w:r>
        <w:rPr>
          <w:rFonts w:hint="eastAsia"/>
        </w:rPr>
        <w:t>（2）社会源危废</w:t>
      </w:r>
    </w:p>
    <w:p w14:paraId="28622344">
      <w:pPr>
        <w:ind w:firstLine="643"/>
      </w:pPr>
      <w:r>
        <w:rPr>
          <w:rFonts w:hint="eastAsia"/>
          <w:b/>
          <w:bCs/>
        </w:rPr>
        <w:t>学校实验室危废尚未纳入统一管理。</w:t>
      </w:r>
      <w:r>
        <w:rPr>
          <w:rFonts w:hint="eastAsia"/>
        </w:rPr>
        <w:t>连云区目前共有6家中学建有实验室（海滨中学、东港中学、西苑中学、新港中学、连云中学、板桥中学）。2020年由区教育局牵头，将区内学校的实验室危废（共计15.88吨）委托盐城源顺环保科技有限公司处置；2021年9月，西苑中学、海滨中学通过行政代处置委托灌南金圆环保科技有限公司处置0.042吨实验室危废；2023年4月，西苑中学申请政府处置委托灌南金圆环保科技有限公司处置废硫酸、实验室废液等0.1122吨；其他学校未委托处置危废。</w:t>
      </w:r>
    </w:p>
    <w:p w14:paraId="31862048">
      <w:pPr>
        <w:ind w:firstLine="643"/>
      </w:pPr>
      <w:r>
        <w:rPr>
          <w:rFonts w:hint="eastAsia"/>
          <w:b/>
          <w:bCs/>
        </w:rPr>
        <w:t>主要机动车维修企业已签订危废处置协议。</w:t>
      </w:r>
      <w:r>
        <w:rPr>
          <w:rFonts w:hint="eastAsia"/>
        </w:rPr>
        <w:t>2021年，连云区对辖区内1家一类机动车维修企业、7家二类机动车维修企业开展了废矿物油污染专项整治工作，督促企业对危废进行合法合规管理，8家企业均已提交管理计划备案并与危废处置单位签订处置利用协议。</w:t>
      </w:r>
    </w:p>
    <w:p w14:paraId="48C1D9E2">
      <w:pPr>
        <w:pStyle w:val="7"/>
        <w:ind w:firstLine="640"/>
      </w:pPr>
      <w:r>
        <w:rPr>
          <w:rFonts w:cs="Times New Roman"/>
        </w:rPr>
        <w:t>（3）医</w:t>
      </w:r>
      <w:r>
        <w:rPr>
          <w:rFonts w:hint="eastAsia"/>
        </w:rPr>
        <w:t>疗废物</w:t>
      </w:r>
    </w:p>
    <w:p w14:paraId="4CE6E61D">
      <w:pPr>
        <w:ind w:firstLine="643"/>
      </w:pPr>
      <w:r>
        <w:rPr>
          <w:rFonts w:hint="eastAsia"/>
          <w:b/>
          <w:bCs/>
        </w:rPr>
        <w:t>医疗废物无害化处置率100%。</w:t>
      </w:r>
      <w:r>
        <w:t>连云区现有医疗机构7</w:t>
      </w:r>
      <w:r>
        <w:rPr>
          <w:rFonts w:hint="eastAsia"/>
        </w:rPr>
        <w:t>5</w:t>
      </w:r>
      <w:r>
        <w:t>个，其中三级医疗机构1家</w:t>
      </w:r>
      <w:r>
        <w:rPr>
          <w:rFonts w:hint="eastAsia"/>
        </w:rPr>
        <w:t>、</w:t>
      </w:r>
      <w:r>
        <w:t>二级医疗机构2家</w:t>
      </w:r>
      <w:r>
        <w:rPr>
          <w:rFonts w:hint="eastAsia"/>
        </w:rPr>
        <w:t>、</w:t>
      </w:r>
      <w:r>
        <w:t>一级及以下医疗机构</w:t>
      </w:r>
      <w:r>
        <w:rPr>
          <w:rFonts w:hint="eastAsia"/>
        </w:rPr>
        <w:t>72个。2022年共产生医疗废物55.291吨，均由位于灌云县的</w:t>
      </w:r>
      <w:r>
        <w:t>光大环保（连云港）废弃物处理有限公司</w:t>
      </w:r>
      <w:r>
        <w:rPr>
          <w:rFonts w:hint="eastAsia"/>
        </w:rPr>
        <w:t>处置，医疗废物无害化处置率100%。</w:t>
      </w:r>
    </w:p>
    <w:p w14:paraId="2BD2CFAA">
      <w:pPr>
        <w:ind w:firstLine="643"/>
      </w:pPr>
      <w:r>
        <w:rPr>
          <w:rFonts w:hint="eastAsia"/>
          <w:b/>
          <w:bCs/>
        </w:rPr>
        <w:t>医疗机构医疗废物回收处置全覆盖。</w:t>
      </w:r>
      <w:r>
        <w:rPr>
          <w:rFonts w:hint="eastAsia"/>
        </w:rPr>
        <w:t>连云区</w:t>
      </w:r>
      <w:r>
        <w:t>二级以上医院和社区卫生服务中心均</w:t>
      </w:r>
      <w:r>
        <w:rPr>
          <w:rFonts w:hint="eastAsia"/>
        </w:rPr>
        <w:t>与</w:t>
      </w:r>
      <w:r>
        <w:t>光大环保直接签订回收处置协议，由光大环保每2天一次上门收取医疗废物；其余一级及以下医疗机构由于医疗废物产生量较小，均与光大环保公司授权委托的第三方回收单位签订回收协议，由第三方回收单位2天一次上门收取医疗废物。</w:t>
      </w:r>
    </w:p>
    <w:p w14:paraId="6374C06E">
      <w:pPr>
        <w:ind w:firstLine="643"/>
      </w:pPr>
      <w:r>
        <w:rPr>
          <w:rFonts w:hint="eastAsia"/>
          <w:b/>
          <w:bCs/>
        </w:rPr>
        <w:t>医疗机构可回收物回收率100%。</w:t>
      </w:r>
      <w:r>
        <w:t>区卫健委2019年组织辖区内医疗机构与取得未被污染输液瓶袋相关资质的机构签订回收协议，各医疗机构未被污染输液瓶袋全部由取得资质的回收单位上门回收，回收率100%。</w:t>
      </w:r>
    </w:p>
    <w:p w14:paraId="2EA46341">
      <w:pPr>
        <w:pStyle w:val="6"/>
        <w:numPr>
          <w:ilvl w:val="2"/>
          <w:numId w:val="1"/>
        </w:numPr>
      </w:pPr>
      <w:bookmarkStart w:id="42" w:name="_Toc16885"/>
      <w:r>
        <w:rPr>
          <w:rFonts w:hint="eastAsia"/>
        </w:rPr>
        <w:t>农业源固废管理现状</w:t>
      </w:r>
      <w:bookmarkEnd w:id="42"/>
    </w:p>
    <w:p w14:paraId="5FA23598">
      <w:pPr>
        <w:ind w:firstLine="640"/>
      </w:pPr>
      <w:r>
        <w:rPr>
          <w:rFonts w:hint="eastAsia"/>
        </w:rPr>
        <w:t>根据《连云港市区畜禽养殖禁养区划定方案》（连政办发〔2016〕153号），连云区为禁养区，2017年已完成畜禽养殖清理搬迁，辖区内无畜禽养殖场（户），因此不涉及畜禽粪污问题。</w:t>
      </w:r>
    </w:p>
    <w:p w14:paraId="25586C93">
      <w:pPr>
        <w:ind w:firstLine="640"/>
      </w:pPr>
      <w:r>
        <w:rPr>
          <w:rFonts w:hint="eastAsia"/>
        </w:rPr>
        <w:t>连云区2022年农作物种植以小麦、水稻、玉米为主，粮食作物种植面积约3500亩，均不使用农膜，因此不涉及废旧农膜问题。</w:t>
      </w:r>
    </w:p>
    <w:p w14:paraId="74768BA8">
      <w:pPr>
        <w:ind w:firstLine="640"/>
        <w:rPr>
          <w:rFonts w:cs="Times New Roman"/>
        </w:rPr>
      </w:pPr>
      <w:r>
        <w:rPr>
          <w:rFonts w:cs="Times New Roman"/>
        </w:rPr>
        <w:t>连云区农业源固废主要为秸秆和农药包装废弃物。</w:t>
      </w:r>
    </w:p>
    <w:p w14:paraId="510A6312">
      <w:pPr>
        <w:pStyle w:val="7"/>
        <w:ind w:firstLine="640"/>
        <w:rPr>
          <w:rFonts w:cs="Times New Roman"/>
        </w:rPr>
      </w:pPr>
      <w:r>
        <w:rPr>
          <w:rFonts w:cs="Times New Roman"/>
        </w:rPr>
        <w:t>（1）农作物秸秆</w:t>
      </w:r>
    </w:p>
    <w:p w14:paraId="10DC9F78">
      <w:pPr>
        <w:ind w:firstLine="640"/>
        <w:rPr>
          <w:rFonts w:cs="Times New Roman"/>
        </w:rPr>
      </w:pPr>
      <w:r>
        <w:rPr>
          <w:rFonts w:cs="Times New Roman"/>
        </w:rPr>
        <w:t>连云区城镇化程度较高，仅板桥街道种植小麦、水稻、玉米等农作物。连云区因农作物种植面积较小且分散，未承担秸秆离田任务。2022年秸秆可收资源量2147.81吨，秸秆综合利用率98.04%，均还田利用。</w:t>
      </w:r>
    </w:p>
    <w:p w14:paraId="152C4308">
      <w:pPr>
        <w:pStyle w:val="7"/>
        <w:ind w:firstLine="640"/>
      </w:pPr>
      <w:r>
        <w:rPr>
          <w:rFonts w:cs="Times New Roman"/>
        </w:rPr>
        <w:t>（2）农药</w:t>
      </w:r>
      <w:r>
        <w:rPr>
          <w:rFonts w:hint="eastAsia"/>
        </w:rPr>
        <w:t>包装废弃物</w:t>
      </w:r>
    </w:p>
    <w:p w14:paraId="33EC534E">
      <w:pPr>
        <w:ind w:firstLine="640"/>
      </w:pPr>
      <w:r>
        <w:rPr>
          <w:rFonts w:hint="eastAsia"/>
        </w:rPr>
        <w:t>2020年，连云区印发了《连云区农药零差率统一配供和废弃包装物统一回收处理试点工作方案》（连区政办发〔2020〕109号），推进农药零差率统一配供。2021年连云区对云山供销社进行改造提升，成立李庄现代为农服务中心，对连云区的农药废弃包装物进行统一回收处置。但由于连云区可供耕地面积小且分散，传统农业较弱，农药使用量较少，近年来农药废弃包装物统一回收处置工作并没有实质上的经营。</w:t>
      </w:r>
    </w:p>
    <w:p w14:paraId="78989CB8">
      <w:pPr>
        <w:pStyle w:val="6"/>
        <w:numPr>
          <w:ilvl w:val="2"/>
          <w:numId w:val="1"/>
        </w:numPr>
      </w:pPr>
      <w:bookmarkStart w:id="43" w:name="_Toc19003"/>
      <w:r>
        <w:rPr>
          <w:rFonts w:hint="eastAsia"/>
        </w:rPr>
        <w:t>生活源固废管理现状</w:t>
      </w:r>
      <w:bookmarkEnd w:id="43"/>
    </w:p>
    <w:p w14:paraId="5CC7A274">
      <w:pPr>
        <w:ind w:firstLine="640"/>
      </w:pPr>
      <w:r>
        <w:rPr>
          <w:rFonts w:hint="eastAsia"/>
        </w:rPr>
        <w:t>生活源固体废物主要包括城乡居民产生的生活垃圾、餐厨垃圾、再生资源、市政污泥、废弃快递包装物、园林绿化垃圾、建筑垃圾、医疗废弃物等。</w:t>
      </w:r>
    </w:p>
    <w:p w14:paraId="196AAB5B">
      <w:pPr>
        <w:pStyle w:val="28"/>
        <w:rPr>
          <w:rFonts w:hint="default"/>
        </w:rPr>
      </w:pPr>
      <w:r>
        <w:drawing>
          <wp:inline distT="0" distB="0" distL="114300" distR="114300">
            <wp:extent cx="5725160" cy="5438140"/>
            <wp:effectExtent l="0" t="0" r="8890" b="10160"/>
            <wp:docPr id="8" name="图片 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1"/>
                    <pic:cNvPicPr>
                      <a:picLocks noChangeAspect="1"/>
                    </pic:cNvPicPr>
                  </pic:nvPicPr>
                  <pic:blipFill>
                    <a:blip r:embed="rId25"/>
                    <a:stretch>
                      <a:fillRect/>
                    </a:stretch>
                  </pic:blipFill>
                  <pic:spPr>
                    <a:xfrm>
                      <a:off x="0" y="0"/>
                      <a:ext cx="5725160" cy="5438140"/>
                    </a:xfrm>
                    <a:prstGeom prst="rect">
                      <a:avLst/>
                    </a:prstGeom>
                  </pic:spPr>
                </pic:pic>
              </a:graphicData>
            </a:graphic>
          </wp:inline>
        </w:drawing>
      </w:r>
    </w:p>
    <w:p w14:paraId="47E20FCE">
      <w:pPr>
        <w:pStyle w:val="19"/>
        <w:spacing w:line="240" w:lineRule="auto"/>
        <w:ind w:left="0" w:leftChars="0" w:firstLine="0" w:firstLineChars="0"/>
        <w:rPr>
          <w:sz w:val="21"/>
          <w:szCs w:val="20"/>
        </w:rPr>
      </w:pPr>
      <w:r>
        <w:rPr>
          <w:rFonts w:hint="eastAsia"/>
          <w:sz w:val="21"/>
          <w:szCs w:val="20"/>
        </w:rPr>
        <w:t>注：本图依据各单位提供的数据绘制。</w:t>
      </w:r>
    </w:p>
    <w:p w14:paraId="3573456B">
      <w:pPr>
        <w:pStyle w:val="9"/>
        <w:spacing w:line="360" w:lineRule="auto"/>
      </w:pPr>
      <w:r>
        <w:rPr>
          <w:rFonts w:hint="eastAsia"/>
        </w:rPr>
        <w:t xml:space="preserve">图 </w:t>
      </w:r>
      <w:r>
        <w:rPr>
          <w:rFonts w:hint="eastAsia"/>
        </w:rPr>
        <w:fldChar w:fldCharType="begin"/>
      </w:r>
      <w:r>
        <w:rPr>
          <w:rFonts w:hint="eastAsia"/>
        </w:rPr>
        <w:instrText xml:space="preserve"> STYLEREF 2 \s </w:instrText>
      </w:r>
      <w:r>
        <w:rPr>
          <w:rFonts w:hint="eastAsia"/>
        </w:rPr>
        <w:fldChar w:fldCharType="separate"/>
      </w:r>
      <w:r>
        <w:t>2.2</w:t>
      </w:r>
      <w:r>
        <w:rPr>
          <w:rFonts w:hint="eastAsia"/>
        </w:rPr>
        <w:fldChar w:fldCharType="end"/>
      </w:r>
      <w:r>
        <w:rPr>
          <w:rFonts w:hint="eastAsia"/>
        </w:rPr>
        <w:noBreakHyphen/>
      </w:r>
      <w:r>
        <w:rPr>
          <w:rFonts w:hint="eastAsia"/>
        </w:rPr>
        <w:fldChar w:fldCharType="begin"/>
      </w:r>
      <w:r>
        <w:rPr>
          <w:rFonts w:hint="eastAsia"/>
        </w:rPr>
        <w:instrText xml:space="preserve"> SEQ 图 \* ARABIC \s 2 </w:instrText>
      </w:r>
      <w:r>
        <w:rPr>
          <w:rFonts w:hint="eastAsia"/>
        </w:rPr>
        <w:fldChar w:fldCharType="separate"/>
      </w:r>
      <w:r>
        <w:t>6</w:t>
      </w:r>
      <w:r>
        <w:rPr>
          <w:rFonts w:hint="eastAsia"/>
        </w:rPr>
        <w:fldChar w:fldCharType="end"/>
      </w:r>
      <w:r>
        <w:rPr>
          <w:rFonts w:hint="eastAsia"/>
        </w:rPr>
        <w:t xml:space="preserve">  连云区生活源固废产生及利用处置情况</w:t>
      </w:r>
      <w:r>
        <w:t>图</w:t>
      </w:r>
    </w:p>
    <w:p w14:paraId="3651D5AC">
      <w:pPr>
        <w:pStyle w:val="7"/>
        <w:ind w:firstLine="640"/>
      </w:pPr>
      <w:r>
        <w:rPr>
          <w:rFonts w:hint="eastAsia"/>
        </w:rPr>
        <w:t>（1）生活垃圾</w:t>
      </w:r>
    </w:p>
    <w:p w14:paraId="35596199">
      <w:pPr>
        <w:ind w:firstLine="643"/>
      </w:pPr>
      <w:r>
        <w:rPr>
          <w:rFonts w:hint="eastAsia"/>
          <w:b/>
          <w:bCs/>
        </w:rPr>
        <w:t>垃圾分类稳步推进。</w:t>
      </w:r>
      <w:r>
        <w:rPr>
          <w:rFonts w:hint="eastAsia"/>
        </w:rPr>
        <w:t>2021年11月，区政府办印发了《连云区全域生活垃圾分类工作实施方案》，完善垃圾分类容器和分类设施、推进“撤桶并点”。各涉农街道均配备农村环卫基础设施、队伍建设和清扫保洁，形成了“村（社区）收集、街转运、区处理”的垃圾转运处理机制。连云区共有68个居民小区和16个行政村，至2022年底，65个居民小区和16个行政村已实行垃圾分类，城市居民小区生活垃圾分类覆盖率达95.6%，农村地区生活垃圾分类覆盖率达100%。</w:t>
      </w:r>
    </w:p>
    <w:p w14:paraId="33C49BA3">
      <w:pPr>
        <w:ind w:firstLine="643"/>
      </w:pPr>
      <w:r>
        <w:rPr>
          <w:rFonts w:hint="eastAsia"/>
          <w:b/>
          <w:bCs/>
        </w:rPr>
        <w:t>生活垃圾全量焚烧。</w:t>
      </w:r>
      <w:r>
        <w:rPr>
          <w:rFonts w:hint="eastAsia"/>
        </w:rPr>
        <w:t>全区除连岛街道产生的垃圾由街道运往市垃圾焚烧厂（连云港晨兴环保产业有限公司，位于连云港经济技术开发区）处理外，其他各街道均由云山垃圾转运中心集中转运至市垃圾焚烧厂进行焚烧发电。2022年全区生活垃圾清运量为66414.54吨，生活垃圾无害化处理率100%。</w:t>
      </w:r>
    </w:p>
    <w:p w14:paraId="0D5EA17F">
      <w:pPr>
        <w:ind w:firstLine="643"/>
      </w:pPr>
      <w:r>
        <w:rPr>
          <w:rFonts w:hint="eastAsia"/>
          <w:b/>
          <w:bCs/>
        </w:rPr>
        <w:t>有害垃圾暂未处置。</w:t>
      </w:r>
      <w:r>
        <w:rPr>
          <w:rFonts w:hint="eastAsia"/>
        </w:rPr>
        <w:t>连云区对有害垃圾进出登记造册，有害垃圾采取专人专车收集转运，收运车辆标识明显，运输过程全密闭，避免混装运输和抛洒污染环境。生活垃圾分类出来的有害垃圾由连云区有害垃圾暂存点（连云区栖霞路118号）暂存。连云区2022年有害垃圾暂存量155.03kg，截至2022年底，有害垃圾总暂存量1678.78kg。</w:t>
      </w:r>
    </w:p>
    <w:p w14:paraId="313FC48A">
      <w:pPr>
        <w:ind w:firstLine="643"/>
      </w:pPr>
      <w:r>
        <w:rPr>
          <w:rFonts w:hint="eastAsia"/>
          <w:b/>
          <w:bCs/>
        </w:rPr>
        <w:t>可回收物收益助力垃圾分类</w:t>
      </w:r>
      <w:r>
        <w:rPr>
          <w:rFonts w:hint="eastAsia"/>
        </w:rPr>
        <w:t>。连云区建立了有害垃圾和可回收物分类激励机制。利用垃圾分类app、小区内智能垃圾回收设备，对居民垃圾分类实行环保积分激励，积分可以兑换现金，充分调动居民参与垃圾分类的积极性。此外，连云区对可回收物进出登记造册，确保分类垃圾处置规范。做到“统一分类收集，统一定点暂存，统一指定回收，统一集中运输”。2022年，连云区城管局组织清运人员对居民小区可回收物清运约125吨，通过市场化渠道运往再生资源企业，实现资源化利用。2022年可回收物的9万余元收益已补贴到垃圾分类经费中，推动垃圾分类工作的可持续发展。</w:t>
      </w:r>
    </w:p>
    <w:p w14:paraId="33E05A42">
      <w:pPr>
        <w:pStyle w:val="7"/>
        <w:numPr>
          <w:ilvl w:val="0"/>
          <w:numId w:val="6"/>
        </w:numPr>
        <w:ind w:firstLine="640"/>
      </w:pPr>
      <w:r>
        <w:rPr>
          <w:rFonts w:hint="eastAsia"/>
        </w:rPr>
        <w:t>餐厨垃圾</w:t>
      </w:r>
    </w:p>
    <w:p w14:paraId="46B0D80F">
      <w:pPr>
        <w:ind w:firstLine="643"/>
      </w:pPr>
      <w:r>
        <w:rPr>
          <w:rFonts w:hint="eastAsia"/>
          <w:b/>
          <w:bCs/>
        </w:rPr>
        <w:t>餐厨垃圾无害化处理工作扎实开展。</w:t>
      </w:r>
      <w:r>
        <w:rPr>
          <w:rFonts w:hint="eastAsia"/>
        </w:rPr>
        <w:t>区城管局环卫处在深入摸底调研的基础上，针对不断增长的餐厨垃圾产生量，统筹安排运力、科学优化清运线路，进一步加大收运力度，重点单位和餐厨垃圾产生大户全部实现日产日清。目前全区机关事业单位内部食堂和480家企业单位已经全部签订《连云港市餐厨垃圾无害化处理》合同书，实际收运数170余户。</w:t>
      </w:r>
    </w:p>
    <w:p w14:paraId="292C9B2D">
      <w:pPr>
        <w:ind w:firstLine="643"/>
      </w:pPr>
      <w:r>
        <w:rPr>
          <w:rFonts w:hint="eastAsia"/>
          <w:b/>
          <w:bCs/>
        </w:rPr>
        <w:t>餐厨垃圾规范有序收运处理。</w:t>
      </w:r>
      <w:r>
        <w:rPr>
          <w:rFonts w:hint="eastAsia"/>
        </w:rPr>
        <w:t>2022年全区共收集餐厨垃圾5302.91吨，均由位于连云港经济技术开发区的连云港金驰生物科技有限公司进行收运处理。金驰公司在连云区配置餐厨垃圾专用收集车2辆，主要对城区经营性宾馆、饭店以及机关企事业单位食堂产生的餐厨垃圾进行专业收运。目前有两条收运线路：一号线是主城区线路，二号线是外围线路（包含港口集团、核电有限公司、板桥工业园区、板桥街道、云山街道）。</w:t>
      </w:r>
    </w:p>
    <w:p w14:paraId="51BC628F">
      <w:pPr>
        <w:pStyle w:val="7"/>
        <w:numPr>
          <w:ilvl w:val="0"/>
          <w:numId w:val="6"/>
        </w:numPr>
        <w:ind w:firstLine="640"/>
      </w:pPr>
      <w:r>
        <w:rPr>
          <w:rFonts w:hint="eastAsia"/>
        </w:rPr>
        <w:t>再生资源</w:t>
      </w:r>
    </w:p>
    <w:p w14:paraId="04927036">
      <w:pPr>
        <w:ind w:firstLine="643"/>
      </w:pPr>
      <w:r>
        <w:rPr>
          <w:b/>
          <w:bCs/>
        </w:rPr>
        <w:t>再生资源回收体系尚未实现全覆盖。</w:t>
      </w:r>
      <w:r>
        <w:rPr>
          <w:rFonts w:hint="eastAsia"/>
        </w:rPr>
        <w:t>连云区推动建立低值可回收物回收利用体系，主动为辖区居民提供大件垃圾上门收集预约服务。目前</w:t>
      </w:r>
      <w:r>
        <w:t>全</w:t>
      </w:r>
      <w:r>
        <w:rPr>
          <w:rFonts w:hint="eastAsia"/>
        </w:rPr>
        <w:t>区</w:t>
      </w:r>
      <w:r>
        <w:t>再生资源回收主要依托回收企业和个体户等市场化主体，回收种类主要为废金属类、废纸、废塑料和废玻璃等</w:t>
      </w:r>
      <w:r>
        <w:rPr>
          <w:rFonts w:hint="eastAsia"/>
        </w:rPr>
        <w:t>，根据各街道统计数据，连云区共有5家再生资源回收企业</w:t>
      </w:r>
      <w:r>
        <w:t>。</w:t>
      </w:r>
      <w:r>
        <w:rPr>
          <w:rFonts w:hint="eastAsia"/>
        </w:rPr>
        <w:t>连云区建有1座大件垃圾贮存分拣中心，分拣能力35吨/日。该项目于2021年建成运行，主要对连云区居民日常生活产生的可回收物、大件垃圾等进行分类收集和分类处置。</w:t>
      </w:r>
    </w:p>
    <w:p w14:paraId="014AE18C">
      <w:pPr>
        <w:pStyle w:val="7"/>
        <w:numPr>
          <w:ilvl w:val="0"/>
          <w:numId w:val="6"/>
        </w:numPr>
        <w:ind w:firstLine="640"/>
      </w:pPr>
      <w:r>
        <w:rPr>
          <w:rFonts w:hint="eastAsia"/>
        </w:rPr>
        <w:t>市政污泥</w:t>
      </w:r>
    </w:p>
    <w:p w14:paraId="771264C8">
      <w:pPr>
        <w:ind w:firstLine="643"/>
      </w:pPr>
      <w:r>
        <w:rPr>
          <w:rFonts w:hint="eastAsia"/>
          <w:b/>
          <w:bCs/>
        </w:rPr>
        <w:t>市政污泥全量无害化处置。</w:t>
      </w:r>
      <w:r>
        <w:rPr>
          <w:rFonts w:hint="eastAsia"/>
        </w:rPr>
        <w:t>根据连云区住建局提供的数据，连云区住建局共管辖5座生活污水站，2022年共产生污泥19.48吨（含水率80%）。连云区市政管理处与连云港德洪源实业有限公司签订污泥处置协议，该5座生活污水站产生的污泥由德洪源制成园林营养土实现资源化利用。此外，连云区辖区范围内的主要生活污水厂为连云港市墟沟污水处理厂，由连云港市公用管理中心管理，2022年共产生污泥9001.51吨（含水率80%），均在连云港市内进行综合利用或污泥接种。</w:t>
      </w:r>
    </w:p>
    <w:p w14:paraId="22434632">
      <w:pPr>
        <w:ind w:firstLine="640"/>
      </w:pPr>
      <w:bookmarkStart w:id="44" w:name="_Ref33438933"/>
      <w:r>
        <w:rPr>
          <w:rFonts w:hint="eastAsia"/>
        </w:rPr>
        <w:br w:type="page"/>
      </w:r>
    </w:p>
    <w:p w14:paraId="2CDBA991">
      <w:pPr>
        <w:pStyle w:val="9"/>
      </w:pPr>
      <w:r>
        <w:rPr>
          <w:rFonts w:hint="eastAsia"/>
        </w:rPr>
        <w:t xml:space="preserve">表 </w:t>
      </w:r>
      <w:r>
        <w:fldChar w:fldCharType="begin"/>
      </w:r>
      <w:r>
        <w:rPr>
          <w:rFonts w:hint="eastAsia"/>
        </w:rPr>
        <w:instrText xml:space="preserve">STYLEREF 2 \s</w:instrText>
      </w:r>
      <w:r>
        <w:fldChar w:fldCharType="separate"/>
      </w:r>
      <w:r>
        <w:t>2.2</w:t>
      </w:r>
      <w:r>
        <w:fldChar w:fldCharType="end"/>
      </w:r>
      <w:r>
        <w:noBreakHyphen/>
      </w:r>
      <w:r>
        <w:fldChar w:fldCharType="begin"/>
      </w:r>
      <w:r>
        <w:rPr>
          <w:rFonts w:hint="eastAsia"/>
        </w:rPr>
        <w:instrText xml:space="preserve">SEQ 表 \* ARABIC \s 2</w:instrText>
      </w:r>
      <w:r>
        <w:fldChar w:fldCharType="separate"/>
      </w:r>
      <w:r>
        <w:t>2</w:t>
      </w:r>
      <w:r>
        <w:fldChar w:fldCharType="end"/>
      </w:r>
      <w:bookmarkEnd w:id="44"/>
      <w:r>
        <w:rPr>
          <w:rFonts w:hint="eastAsia"/>
        </w:rPr>
        <w:t>连云区生活污水站/厂一览表</w:t>
      </w:r>
    </w:p>
    <w:tbl>
      <w:tblPr>
        <w:tblStyle w:val="20"/>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2"/>
        <w:gridCol w:w="1536"/>
        <w:gridCol w:w="2005"/>
        <w:gridCol w:w="1136"/>
        <w:gridCol w:w="918"/>
        <w:gridCol w:w="905"/>
        <w:gridCol w:w="1237"/>
        <w:gridCol w:w="894"/>
      </w:tblGrid>
      <w:tr w14:paraId="6BCF5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326" w:type="pct"/>
            <w:shd w:val="clear" w:color="auto" w:fill="auto"/>
            <w:noWrap/>
            <w:vAlign w:val="center"/>
          </w:tcPr>
          <w:p w14:paraId="506CD4CC">
            <w:pPr>
              <w:pStyle w:val="28"/>
              <w:ind w:left="-64" w:leftChars="-20" w:right="-64" w:rightChars="-20"/>
              <w:rPr>
                <w:rFonts w:hint="default"/>
                <w:b/>
                <w:bCs/>
              </w:rPr>
            </w:pPr>
            <w:r>
              <w:rPr>
                <w:b/>
                <w:bCs/>
              </w:rPr>
              <w:t>序号</w:t>
            </w:r>
          </w:p>
        </w:tc>
        <w:tc>
          <w:tcPr>
            <w:tcW w:w="832" w:type="pct"/>
            <w:shd w:val="clear" w:color="auto" w:fill="auto"/>
            <w:noWrap/>
            <w:vAlign w:val="center"/>
          </w:tcPr>
          <w:p w14:paraId="6AEC455B">
            <w:pPr>
              <w:pStyle w:val="28"/>
              <w:ind w:left="-64" w:leftChars="-20" w:right="-64" w:rightChars="-20"/>
              <w:rPr>
                <w:rFonts w:hint="default"/>
                <w:b/>
                <w:bCs/>
              </w:rPr>
            </w:pPr>
            <w:r>
              <w:rPr>
                <w:b/>
                <w:bCs/>
              </w:rPr>
              <w:t>污水站名称</w:t>
            </w:r>
          </w:p>
        </w:tc>
        <w:tc>
          <w:tcPr>
            <w:tcW w:w="1086" w:type="pct"/>
            <w:shd w:val="clear" w:color="auto" w:fill="auto"/>
            <w:noWrap/>
            <w:vAlign w:val="center"/>
          </w:tcPr>
          <w:p w14:paraId="501E2EAA">
            <w:pPr>
              <w:pStyle w:val="28"/>
              <w:ind w:left="-64" w:leftChars="-20" w:right="-64" w:rightChars="-20"/>
              <w:rPr>
                <w:rFonts w:hint="default"/>
                <w:b/>
                <w:bCs/>
              </w:rPr>
            </w:pPr>
            <w:r>
              <w:rPr>
                <w:b/>
                <w:bCs/>
              </w:rPr>
              <w:t>地址</w:t>
            </w:r>
          </w:p>
        </w:tc>
        <w:tc>
          <w:tcPr>
            <w:tcW w:w="615" w:type="pct"/>
            <w:shd w:val="clear" w:color="auto" w:fill="auto"/>
            <w:vAlign w:val="center"/>
          </w:tcPr>
          <w:p w14:paraId="59F700CB">
            <w:pPr>
              <w:pStyle w:val="28"/>
              <w:ind w:left="-64" w:leftChars="-20" w:right="-64" w:rightChars="-20"/>
              <w:rPr>
                <w:rFonts w:hint="default"/>
                <w:b/>
                <w:bCs/>
              </w:rPr>
            </w:pPr>
            <w:r>
              <w:rPr>
                <w:b/>
                <w:bCs/>
              </w:rPr>
              <w:t>设计规模(吨/天)</w:t>
            </w:r>
          </w:p>
        </w:tc>
        <w:tc>
          <w:tcPr>
            <w:tcW w:w="497" w:type="pct"/>
            <w:shd w:val="clear" w:color="auto" w:fill="auto"/>
            <w:noWrap/>
            <w:vAlign w:val="center"/>
          </w:tcPr>
          <w:p w14:paraId="77170F76">
            <w:pPr>
              <w:pStyle w:val="28"/>
              <w:ind w:left="-64" w:leftChars="-20" w:right="-64" w:rightChars="-20"/>
              <w:rPr>
                <w:rFonts w:hint="default"/>
                <w:b/>
                <w:bCs/>
              </w:rPr>
            </w:pPr>
            <w:r>
              <w:rPr>
                <w:b/>
                <w:bCs/>
              </w:rPr>
              <w:t>处理工艺</w:t>
            </w:r>
          </w:p>
        </w:tc>
        <w:tc>
          <w:tcPr>
            <w:tcW w:w="490" w:type="pct"/>
            <w:shd w:val="clear" w:color="auto" w:fill="auto"/>
            <w:noWrap/>
            <w:vAlign w:val="center"/>
          </w:tcPr>
          <w:p w14:paraId="67937EF5">
            <w:pPr>
              <w:pStyle w:val="28"/>
              <w:ind w:left="-64" w:leftChars="-20" w:right="-64" w:rightChars="-20"/>
              <w:rPr>
                <w:rFonts w:hint="default"/>
                <w:b/>
                <w:bCs/>
              </w:rPr>
            </w:pPr>
            <w:r>
              <w:rPr>
                <w:b/>
                <w:bCs/>
              </w:rPr>
              <w:t>污泥含水率</w:t>
            </w:r>
          </w:p>
        </w:tc>
        <w:tc>
          <w:tcPr>
            <w:tcW w:w="670" w:type="pct"/>
            <w:shd w:val="clear" w:color="auto" w:fill="auto"/>
            <w:vAlign w:val="center"/>
          </w:tcPr>
          <w:p w14:paraId="1769BA8D">
            <w:pPr>
              <w:pStyle w:val="28"/>
              <w:ind w:left="-64" w:leftChars="-20" w:right="-64" w:rightChars="-20"/>
              <w:rPr>
                <w:rFonts w:hint="default"/>
                <w:b/>
                <w:bCs/>
              </w:rPr>
            </w:pPr>
            <w:r>
              <w:rPr>
                <w:b/>
                <w:bCs/>
              </w:rPr>
              <w:t>2022年污泥产生量(吨)</w:t>
            </w:r>
          </w:p>
        </w:tc>
        <w:tc>
          <w:tcPr>
            <w:tcW w:w="480" w:type="pct"/>
            <w:shd w:val="clear" w:color="auto" w:fill="auto"/>
            <w:noWrap/>
            <w:vAlign w:val="center"/>
          </w:tcPr>
          <w:p w14:paraId="2F87C26E">
            <w:pPr>
              <w:pStyle w:val="28"/>
              <w:ind w:left="-64" w:leftChars="-20" w:right="-64" w:rightChars="-20"/>
              <w:rPr>
                <w:rFonts w:hint="default"/>
                <w:b/>
                <w:bCs/>
              </w:rPr>
            </w:pPr>
            <w:r>
              <w:rPr>
                <w:b/>
                <w:bCs/>
              </w:rPr>
              <w:t>污泥处置方式</w:t>
            </w:r>
          </w:p>
        </w:tc>
      </w:tr>
      <w:tr w14:paraId="59AB5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326" w:type="pct"/>
            <w:shd w:val="clear" w:color="auto" w:fill="auto"/>
            <w:noWrap/>
            <w:vAlign w:val="center"/>
          </w:tcPr>
          <w:p w14:paraId="3200A6B4">
            <w:pPr>
              <w:pStyle w:val="28"/>
              <w:rPr>
                <w:rFonts w:hint="default"/>
              </w:rPr>
            </w:pPr>
            <w:r>
              <w:t>1</w:t>
            </w:r>
          </w:p>
        </w:tc>
        <w:tc>
          <w:tcPr>
            <w:tcW w:w="832" w:type="pct"/>
            <w:shd w:val="clear" w:color="auto" w:fill="auto"/>
            <w:noWrap/>
            <w:vAlign w:val="center"/>
          </w:tcPr>
          <w:p w14:paraId="37B0D343">
            <w:pPr>
              <w:pStyle w:val="28"/>
              <w:rPr>
                <w:rFonts w:hint="default"/>
              </w:rPr>
            </w:pPr>
            <w:r>
              <w:t>老街污水处理站</w:t>
            </w:r>
          </w:p>
        </w:tc>
        <w:tc>
          <w:tcPr>
            <w:tcW w:w="1086" w:type="pct"/>
            <w:shd w:val="clear" w:color="auto" w:fill="auto"/>
            <w:noWrap/>
            <w:vAlign w:val="center"/>
          </w:tcPr>
          <w:p w14:paraId="30C59852">
            <w:pPr>
              <w:pStyle w:val="28"/>
              <w:rPr>
                <w:rFonts w:hint="default"/>
              </w:rPr>
            </w:pPr>
            <w:r>
              <w:t>连云老街中山路北侧、海滨大道南侧</w:t>
            </w:r>
          </w:p>
        </w:tc>
        <w:tc>
          <w:tcPr>
            <w:tcW w:w="615" w:type="pct"/>
            <w:shd w:val="clear" w:color="auto" w:fill="auto"/>
            <w:noWrap/>
            <w:vAlign w:val="center"/>
          </w:tcPr>
          <w:p w14:paraId="429047D5">
            <w:pPr>
              <w:pStyle w:val="28"/>
              <w:rPr>
                <w:rFonts w:hint="default"/>
              </w:rPr>
            </w:pPr>
            <w:r>
              <w:t>500</w:t>
            </w:r>
          </w:p>
        </w:tc>
        <w:tc>
          <w:tcPr>
            <w:tcW w:w="497" w:type="pct"/>
            <w:shd w:val="clear" w:color="auto" w:fill="auto"/>
            <w:noWrap/>
            <w:vAlign w:val="center"/>
          </w:tcPr>
          <w:p w14:paraId="077946D2">
            <w:pPr>
              <w:pStyle w:val="28"/>
              <w:rPr>
                <w:rFonts w:hint="default"/>
              </w:rPr>
            </w:pPr>
            <w:r>
              <w:t>A</w:t>
            </w:r>
            <w:r>
              <w:rPr>
                <w:vertAlign w:val="superscript"/>
              </w:rPr>
              <w:t>2</w:t>
            </w:r>
            <w:r>
              <w:t>O</w:t>
            </w:r>
          </w:p>
        </w:tc>
        <w:tc>
          <w:tcPr>
            <w:tcW w:w="490" w:type="pct"/>
            <w:shd w:val="clear" w:color="auto" w:fill="auto"/>
            <w:noWrap/>
            <w:vAlign w:val="center"/>
          </w:tcPr>
          <w:p w14:paraId="5FE2DFF7">
            <w:pPr>
              <w:pStyle w:val="28"/>
              <w:rPr>
                <w:rFonts w:hint="default"/>
              </w:rPr>
            </w:pPr>
            <w:r>
              <w:t>80%</w:t>
            </w:r>
          </w:p>
        </w:tc>
        <w:tc>
          <w:tcPr>
            <w:tcW w:w="670" w:type="pct"/>
            <w:shd w:val="clear" w:color="auto" w:fill="auto"/>
            <w:noWrap/>
            <w:vAlign w:val="center"/>
          </w:tcPr>
          <w:p w14:paraId="354BCDAB">
            <w:pPr>
              <w:pStyle w:val="28"/>
              <w:rPr>
                <w:rFonts w:hint="default"/>
              </w:rPr>
            </w:pPr>
            <w:r>
              <w:t>8.24</w:t>
            </w:r>
          </w:p>
        </w:tc>
        <w:tc>
          <w:tcPr>
            <w:tcW w:w="480" w:type="pct"/>
            <w:shd w:val="clear" w:color="auto" w:fill="auto"/>
            <w:noWrap/>
            <w:vAlign w:val="center"/>
          </w:tcPr>
          <w:p w14:paraId="0BF42068">
            <w:pPr>
              <w:pStyle w:val="28"/>
              <w:rPr>
                <w:rFonts w:hint="default"/>
              </w:rPr>
            </w:pPr>
            <w:r>
              <w:t>制营养土</w:t>
            </w:r>
          </w:p>
        </w:tc>
      </w:tr>
      <w:tr w14:paraId="66EE4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326" w:type="pct"/>
            <w:shd w:val="clear" w:color="auto" w:fill="auto"/>
            <w:noWrap/>
            <w:vAlign w:val="center"/>
          </w:tcPr>
          <w:p w14:paraId="72405854">
            <w:pPr>
              <w:pStyle w:val="28"/>
              <w:rPr>
                <w:rFonts w:hint="default"/>
              </w:rPr>
            </w:pPr>
            <w:r>
              <w:t>2</w:t>
            </w:r>
          </w:p>
        </w:tc>
        <w:tc>
          <w:tcPr>
            <w:tcW w:w="832" w:type="pct"/>
            <w:shd w:val="clear" w:color="auto" w:fill="auto"/>
            <w:noWrap/>
            <w:vAlign w:val="center"/>
          </w:tcPr>
          <w:p w14:paraId="71EFE26D">
            <w:pPr>
              <w:pStyle w:val="28"/>
              <w:rPr>
                <w:rFonts w:hint="default"/>
              </w:rPr>
            </w:pPr>
            <w:r>
              <w:t>连岛污水处理站</w:t>
            </w:r>
          </w:p>
        </w:tc>
        <w:tc>
          <w:tcPr>
            <w:tcW w:w="1086" w:type="pct"/>
            <w:shd w:val="clear" w:color="auto" w:fill="auto"/>
            <w:noWrap/>
            <w:vAlign w:val="center"/>
          </w:tcPr>
          <w:p w14:paraId="451F038A">
            <w:pPr>
              <w:pStyle w:val="28"/>
              <w:rPr>
                <w:rFonts w:hint="default"/>
              </w:rPr>
            </w:pPr>
            <w:r>
              <w:t>连岛街道连岛南路北侧</w:t>
            </w:r>
          </w:p>
        </w:tc>
        <w:tc>
          <w:tcPr>
            <w:tcW w:w="615" w:type="pct"/>
            <w:shd w:val="clear" w:color="auto" w:fill="auto"/>
            <w:noWrap/>
            <w:vAlign w:val="center"/>
          </w:tcPr>
          <w:p w14:paraId="3A144E8D">
            <w:pPr>
              <w:pStyle w:val="28"/>
              <w:rPr>
                <w:rFonts w:hint="default"/>
              </w:rPr>
            </w:pPr>
            <w:r>
              <w:t>1000</w:t>
            </w:r>
          </w:p>
        </w:tc>
        <w:tc>
          <w:tcPr>
            <w:tcW w:w="497" w:type="pct"/>
            <w:shd w:val="clear" w:color="auto" w:fill="auto"/>
            <w:noWrap/>
            <w:vAlign w:val="center"/>
          </w:tcPr>
          <w:p w14:paraId="73D6A6C5">
            <w:pPr>
              <w:pStyle w:val="28"/>
              <w:rPr>
                <w:rFonts w:hint="default"/>
              </w:rPr>
            </w:pPr>
            <w:r>
              <w:t>A</w:t>
            </w:r>
            <w:r>
              <w:rPr>
                <w:vertAlign w:val="superscript"/>
              </w:rPr>
              <w:t>2</w:t>
            </w:r>
            <w:r>
              <w:t>O</w:t>
            </w:r>
          </w:p>
        </w:tc>
        <w:tc>
          <w:tcPr>
            <w:tcW w:w="490" w:type="pct"/>
            <w:shd w:val="clear" w:color="auto" w:fill="auto"/>
            <w:noWrap/>
            <w:vAlign w:val="center"/>
          </w:tcPr>
          <w:p w14:paraId="094BB4E6">
            <w:pPr>
              <w:pStyle w:val="28"/>
              <w:rPr>
                <w:rFonts w:hint="default"/>
              </w:rPr>
            </w:pPr>
            <w:r>
              <w:t>80%</w:t>
            </w:r>
          </w:p>
        </w:tc>
        <w:tc>
          <w:tcPr>
            <w:tcW w:w="670" w:type="pct"/>
            <w:shd w:val="clear" w:color="auto" w:fill="auto"/>
            <w:noWrap/>
            <w:vAlign w:val="center"/>
          </w:tcPr>
          <w:p w14:paraId="3E30B845">
            <w:pPr>
              <w:pStyle w:val="28"/>
              <w:rPr>
                <w:rFonts w:hint="default"/>
              </w:rPr>
            </w:pPr>
            <w:r>
              <w:t>9</w:t>
            </w:r>
          </w:p>
        </w:tc>
        <w:tc>
          <w:tcPr>
            <w:tcW w:w="480" w:type="pct"/>
            <w:shd w:val="clear" w:color="auto" w:fill="auto"/>
            <w:noWrap/>
            <w:vAlign w:val="center"/>
          </w:tcPr>
          <w:p w14:paraId="1D5CE179">
            <w:pPr>
              <w:pStyle w:val="28"/>
              <w:rPr>
                <w:rFonts w:hint="default"/>
              </w:rPr>
            </w:pPr>
            <w:r>
              <w:t>制营养土</w:t>
            </w:r>
          </w:p>
        </w:tc>
      </w:tr>
      <w:tr w14:paraId="2802E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326" w:type="pct"/>
            <w:shd w:val="clear" w:color="auto" w:fill="auto"/>
            <w:noWrap/>
            <w:vAlign w:val="center"/>
          </w:tcPr>
          <w:p w14:paraId="5E35A8ED">
            <w:pPr>
              <w:pStyle w:val="28"/>
              <w:rPr>
                <w:rFonts w:hint="default"/>
              </w:rPr>
            </w:pPr>
            <w:r>
              <w:t>3</w:t>
            </w:r>
          </w:p>
        </w:tc>
        <w:tc>
          <w:tcPr>
            <w:tcW w:w="832" w:type="pct"/>
            <w:shd w:val="clear" w:color="auto" w:fill="auto"/>
            <w:noWrap/>
            <w:vAlign w:val="center"/>
          </w:tcPr>
          <w:p w14:paraId="2C28FA24">
            <w:pPr>
              <w:pStyle w:val="28"/>
              <w:rPr>
                <w:rFonts w:hint="default"/>
              </w:rPr>
            </w:pPr>
            <w:r>
              <w:t>宿城污水处理站</w:t>
            </w:r>
          </w:p>
        </w:tc>
        <w:tc>
          <w:tcPr>
            <w:tcW w:w="1086" w:type="pct"/>
            <w:shd w:val="clear" w:color="auto" w:fill="auto"/>
            <w:noWrap/>
            <w:vAlign w:val="center"/>
          </w:tcPr>
          <w:p w14:paraId="1E44060D">
            <w:pPr>
              <w:pStyle w:val="28"/>
              <w:rPr>
                <w:rFonts w:hint="default"/>
              </w:rPr>
            </w:pPr>
            <w:r>
              <w:t>宿城街道核电西路</w:t>
            </w:r>
          </w:p>
        </w:tc>
        <w:tc>
          <w:tcPr>
            <w:tcW w:w="615" w:type="pct"/>
            <w:shd w:val="clear" w:color="auto" w:fill="auto"/>
            <w:noWrap/>
            <w:vAlign w:val="center"/>
          </w:tcPr>
          <w:p w14:paraId="2DED0FAB">
            <w:pPr>
              <w:pStyle w:val="28"/>
              <w:rPr>
                <w:rFonts w:hint="default"/>
              </w:rPr>
            </w:pPr>
            <w:r>
              <w:t>1000</w:t>
            </w:r>
          </w:p>
        </w:tc>
        <w:tc>
          <w:tcPr>
            <w:tcW w:w="497" w:type="pct"/>
            <w:shd w:val="clear" w:color="auto" w:fill="auto"/>
            <w:noWrap/>
            <w:vAlign w:val="center"/>
          </w:tcPr>
          <w:p w14:paraId="7CC4B87A">
            <w:pPr>
              <w:pStyle w:val="28"/>
              <w:rPr>
                <w:rFonts w:hint="default"/>
              </w:rPr>
            </w:pPr>
            <w:r>
              <w:t>AO</w:t>
            </w:r>
          </w:p>
        </w:tc>
        <w:tc>
          <w:tcPr>
            <w:tcW w:w="490" w:type="pct"/>
            <w:shd w:val="clear" w:color="auto" w:fill="auto"/>
            <w:noWrap/>
            <w:vAlign w:val="center"/>
          </w:tcPr>
          <w:p w14:paraId="2B0E64F2">
            <w:pPr>
              <w:pStyle w:val="28"/>
              <w:rPr>
                <w:rFonts w:hint="default"/>
              </w:rPr>
            </w:pPr>
            <w:r>
              <w:t>80%</w:t>
            </w:r>
          </w:p>
        </w:tc>
        <w:tc>
          <w:tcPr>
            <w:tcW w:w="670" w:type="pct"/>
            <w:shd w:val="clear" w:color="auto" w:fill="auto"/>
            <w:noWrap/>
            <w:vAlign w:val="center"/>
          </w:tcPr>
          <w:p w14:paraId="605B4E80">
            <w:pPr>
              <w:pStyle w:val="28"/>
              <w:rPr>
                <w:rFonts w:hint="default"/>
              </w:rPr>
            </w:pPr>
            <w:r>
              <w:t>2.24</w:t>
            </w:r>
          </w:p>
        </w:tc>
        <w:tc>
          <w:tcPr>
            <w:tcW w:w="480" w:type="pct"/>
            <w:shd w:val="clear" w:color="auto" w:fill="auto"/>
            <w:noWrap/>
            <w:vAlign w:val="center"/>
          </w:tcPr>
          <w:p w14:paraId="635BAF5C">
            <w:pPr>
              <w:pStyle w:val="28"/>
              <w:rPr>
                <w:rFonts w:hint="default"/>
              </w:rPr>
            </w:pPr>
            <w:r>
              <w:t>制营养土</w:t>
            </w:r>
          </w:p>
        </w:tc>
      </w:tr>
      <w:tr w14:paraId="12D3E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326" w:type="pct"/>
            <w:shd w:val="clear" w:color="auto" w:fill="auto"/>
            <w:noWrap/>
            <w:vAlign w:val="center"/>
          </w:tcPr>
          <w:p w14:paraId="650C6E71">
            <w:pPr>
              <w:pStyle w:val="28"/>
              <w:rPr>
                <w:rFonts w:hint="default"/>
              </w:rPr>
            </w:pPr>
            <w:r>
              <w:t>4</w:t>
            </w:r>
          </w:p>
        </w:tc>
        <w:tc>
          <w:tcPr>
            <w:tcW w:w="832" w:type="pct"/>
            <w:shd w:val="clear" w:color="auto" w:fill="auto"/>
            <w:noWrap/>
            <w:vAlign w:val="center"/>
          </w:tcPr>
          <w:p w14:paraId="52EB2348">
            <w:pPr>
              <w:pStyle w:val="28"/>
              <w:rPr>
                <w:rFonts w:hint="default"/>
              </w:rPr>
            </w:pPr>
            <w:r>
              <w:t>高公岛1号站</w:t>
            </w:r>
          </w:p>
        </w:tc>
        <w:tc>
          <w:tcPr>
            <w:tcW w:w="1086" w:type="pct"/>
            <w:shd w:val="clear" w:color="auto" w:fill="auto"/>
            <w:noWrap/>
            <w:vAlign w:val="center"/>
          </w:tcPr>
          <w:p w14:paraId="7AB7E2EA">
            <w:pPr>
              <w:pStyle w:val="28"/>
              <w:rPr>
                <w:rFonts w:hint="default"/>
              </w:rPr>
            </w:pPr>
            <w:r>
              <w:t>高公岛街道黄窝村</w:t>
            </w:r>
          </w:p>
        </w:tc>
        <w:tc>
          <w:tcPr>
            <w:tcW w:w="615" w:type="pct"/>
            <w:shd w:val="clear" w:color="auto" w:fill="auto"/>
            <w:noWrap/>
            <w:vAlign w:val="center"/>
          </w:tcPr>
          <w:p w14:paraId="533FD523">
            <w:pPr>
              <w:pStyle w:val="28"/>
              <w:rPr>
                <w:rFonts w:hint="default"/>
              </w:rPr>
            </w:pPr>
            <w:r>
              <w:t>480</w:t>
            </w:r>
          </w:p>
        </w:tc>
        <w:tc>
          <w:tcPr>
            <w:tcW w:w="497" w:type="pct"/>
            <w:shd w:val="clear" w:color="auto" w:fill="auto"/>
            <w:noWrap/>
            <w:vAlign w:val="center"/>
          </w:tcPr>
          <w:p w14:paraId="01827A67">
            <w:pPr>
              <w:pStyle w:val="28"/>
              <w:rPr>
                <w:rFonts w:hint="default"/>
              </w:rPr>
            </w:pPr>
            <w:r>
              <w:t>A</w:t>
            </w:r>
            <w:r>
              <w:rPr>
                <w:vertAlign w:val="superscript"/>
              </w:rPr>
              <w:t>2</w:t>
            </w:r>
            <w:r>
              <w:t>O</w:t>
            </w:r>
          </w:p>
        </w:tc>
        <w:tc>
          <w:tcPr>
            <w:tcW w:w="490" w:type="pct"/>
            <w:shd w:val="clear" w:color="auto" w:fill="auto"/>
            <w:noWrap/>
            <w:vAlign w:val="center"/>
          </w:tcPr>
          <w:p w14:paraId="3F88A065">
            <w:pPr>
              <w:pStyle w:val="28"/>
              <w:rPr>
                <w:rFonts w:hint="default"/>
              </w:rPr>
            </w:pPr>
            <w:r>
              <w:t>/</w:t>
            </w:r>
          </w:p>
        </w:tc>
        <w:tc>
          <w:tcPr>
            <w:tcW w:w="670" w:type="pct"/>
            <w:shd w:val="clear" w:color="auto" w:fill="auto"/>
            <w:noWrap/>
            <w:vAlign w:val="center"/>
          </w:tcPr>
          <w:p w14:paraId="726557E9">
            <w:pPr>
              <w:pStyle w:val="28"/>
              <w:rPr>
                <w:rFonts w:hint="default"/>
              </w:rPr>
            </w:pPr>
            <w:r>
              <w:t>/</w:t>
            </w:r>
          </w:p>
        </w:tc>
        <w:tc>
          <w:tcPr>
            <w:tcW w:w="480" w:type="pct"/>
            <w:shd w:val="clear" w:color="auto" w:fill="auto"/>
            <w:noWrap/>
            <w:vAlign w:val="center"/>
          </w:tcPr>
          <w:p w14:paraId="263B4FFF">
            <w:pPr>
              <w:pStyle w:val="28"/>
              <w:rPr>
                <w:rFonts w:hint="default"/>
              </w:rPr>
            </w:pPr>
            <w:r>
              <w:t>/</w:t>
            </w:r>
          </w:p>
        </w:tc>
      </w:tr>
      <w:tr w14:paraId="5DF4D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326" w:type="pct"/>
            <w:shd w:val="clear" w:color="auto" w:fill="auto"/>
            <w:noWrap/>
            <w:vAlign w:val="center"/>
          </w:tcPr>
          <w:p w14:paraId="7F520A8A">
            <w:pPr>
              <w:pStyle w:val="28"/>
              <w:rPr>
                <w:rFonts w:hint="default"/>
              </w:rPr>
            </w:pPr>
            <w:r>
              <w:t>5</w:t>
            </w:r>
          </w:p>
        </w:tc>
        <w:tc>
          <w:tcPr>
            <w:tcW w:w="832" w:type="pct"/>
            <w:shd w:val="clear" w:color="auto" w:fill="auto"/>
            <w:noWrap/>
            <w:vAlign w:val="center"/>
          </w:tcPr>
          <w:p w14:paraId="4C52BC88">
            <w:pPr>
              <w:pStyle w:val="28"/>
              <w:rPr>
                <w:rFonts w:hint="default"/>
              </w:rPr>
            </w:pPr>
            <w:r>
              <w:t>高公岛2号站</w:t>
            </w:r>
          </w:p>
        </w:tc>
        <w:tc>
          <w:tcPr>
            <w:tcW w:w="1086" w:type="pct"/>
            <w:shd w:val="clear" w:color="auto" w:fill="auto"/>
            <w:noWrap/>
            <w:vAlign w:val="center"/>
          </w:tcPr>
          <w:p w14:paraId="23E659A5">
            <w:pPr>
              <w:pStyle w:val="28"/>
              <w:rPr>
                <w:rFonts w:hint="default"/>
              </w:rPr>
            </w:pPr>
            <w:r>
              <w:t>高公岛街道跨海大桥桥头东侧</w:t>
            </w:r>
          </w:p>
        </w:tc>
        <w:tc>
          <w:tcPr>
            <w:tcW w:w="615" w:type="pct"/>
            <w:shd w:val="clear" w:color="auto" w:fill="auto"/>
            <w:noWrap/>
            <w:vAlign w:val="center"/>
          </w:tcPr>
          <w:p w14:paraId="11251D76">
            <w:pPr>
              <w:pStyle w:val="28"/>
              <w:rPr>
                <w:rFonts w:hint="default"/>
              </w:rPr>
            </w:pPr>
            <w:r>
              <w:t>300</w:t>
            </w:r>
          </w:p>
        </w:tc>
        <w:tc>
          <w:tcPr>
            <w:tcW w:w="497" w:type="pct"/>
            <w:shd w:val="clear" w:color="auto" w:fill="auto"/>
            <w:noWrap/>
            <w:vAlign w:val="center"/>
          </w:tcPr>
          <w:p w14:paraId="06FE4DCB">
            <w:pPr>
              <w:pStyle w:val="28"/>
              <w:rPr>
                <w:rFonts w:hint="default"/>
              </w:rPr>
            </w:pPr>
            <w:r>
              <w:t>A</w:t>
            </w:r>
            <w:r>
              <w:rPr>
                <w:vertAlign w:val="superscript"/>
              </w:rPr>
              <w:t>2</w:t>
            </w:r>
            <w:r>
              <w:t>O</w:t>
            </w:r>
          </w:p>
        </w:tc>
        <w:tc>
          <w:tcPr>
            <w:tcW w:w="490" w:type="pct"/>
            <w:shd w:val="clear" w:color="auto" w:fill="auto"/>
            <w:noWrap/>
            <w:vAlign w:val="center"/>
          </w:tcPr>
          <w:p w14:paraId="1B39DA7B">
            <w:pPr>
              <w:pStyle w:val="28"/>
              <w:rPr>
                <w:rFonts w:hint="default"/>
              </w:rPr>
            </w:pPr>
            <w:r>
              <w:t>/</w:t>
            </w:r>
          </w:p>
        </w:tc>
        <w:tc>
          <w:tcPr>
            <w:tcW w:w="670" w:type="pct"/>
            <w:shd w:val="clear" w:color="auto" w:fill="auto"/>
            <w:noWrap/>
            <w:vAlign w:val="center"/>
          </w:tcPr>
          <w:p w14:paraId="78FB4E8E">
            <w:pPr>
              <w:pStyle w:val="28"/>
              <w:rPr>
                <w:rFonts w:hint="default"/>
              </w:rPr>
            </w:pPr>
            <w:r>
              <w:t>/</w:t>
            </w:r>
          </w:p>
        </w:tc>
        <w:tc>
          <w:tcPr>
            <w:tcW w:w="480" w:type="pct"/>
            <w:shd w:val="clear" w:color="auto" w:fill="auto"/>
            <w:noWrap/>
            <w:vAlign w:val="center"/>
          </w:tcPr>
          <w:p w14:paraId="17BB2330">
            <w:pPr>
              <w:pStyle w:val="28"/>
              <w:rPr>
                <w:rFonts w:hint="default"/>
              </w:rPr>
            </w:pPr>
            <w:r>
              <w:t>/</w:t>
            </w:r>
          </w:p>
        </w:tc>
      </w:tr>
      <w:tr w14:paraId="0C02E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326" w:type="pct"/>
            <w:shd w:val="clear" w:color="auto" w:fill="auto"/>
            <w:noWrap/>
            <w:vAlign w:val="center"/>
          </w:tcPr>
          <w:p w14:paraId="47AFE883">
            <w:pPr>
              <w:pStyle w:val="28"/>
              <w:rPr>
                <w:rFonts w:hint="default"/>
              </w:rPr>
            </w:pPr>
            <w:r>
              <w:t>6</w:t>
            </w:r>
          </w:p>
        </w:tc>
        <w:tc>
          <w:tcPr>
            <w:tcW w:w="832" w:type="pct"/>
            <w:shd w:val="clear" w:color="auto" w:fill="auto"/>
            <w:noWrap/>
            <w:vAlign w:val="center"/>
          </w:tcPr>
          <w:p w14:paraId="19AAAD91">
            <w:pPr>
              <w:pStyle w:val="28"/>
              <w:rPr>
                <w:rFonts w:hint="default"/>
              </w:rPr>
            </w:pPr>
            <w:r>
              <w:t>连云港市墟沟污水处理厂</w:t>
            </w:r>
          </w:p>
        </w:tc>
        <w:tc>
          <w:tcPr>
            <w:tcW w:w="1086" w:type="pct"/>
            <w:shd w:val="clear" w:color="auto" w:fill="auto"/>
            <w:noWrap/>
            <w:vAlign w:val="center"/>
          </w:tcPr>
          <w:p w14:paraId="085EFD91">
            <w:pPr>
              <w:pStyle w:val="28"/>
              <w:rPr>
                <w:rFonts w:hint="default"/>
              </w:rPr>
            </w:pPr>
            <w:r>
              <w:t>连云区大港西路26号</w:t>
            </w:r>
          </w:p>
        </w:tc>
        <w:tc>
          <w:tcPr>
            <w:tcW w:w="615" w:type="pct"/>
            <w:shd w:val="clear" w:color="auto" w:fill="auto"/>
            <w:noWrap/>
            <w:vAlign w:val="center"/>
          </w:tcPr>
          <w:p w14:paraId="0438712A">
            <w:pPr>
              <w:pStyle w:val="28"/>
              <w:rPr>
                <w:rFonts w:hint="default"/>
              </w:rPr>
            </w:pPr>
            <w:r>
              <w:t>40000</w:t>
            </w:r>
          </w:p>
        </w:tc>
        <w:tc>
          <w:tcPr>
            <w:tcW w:w="497" w:type="pct"/>
            <w:shd w:val="clear" w:color="auto" w:fill="auto"/>
            <w:noWrap/>
            <w:vAlign w:val="center"/>
          </w:tcPr>
          <w:p w14:paraId="69E4510B">
            <w:pPr>
              <w:pStyle w:val="28"/>
              <w:rPr>
                <w:rFonts w:hint="default"/>
              </w:rPr>
            </w:pPr>
            <w:r>
              <w:t>A</w:t>
            </w:r>
            <w:r>
              <w:rPr>
                <w:vertAlign w:val="superscript"/>
              </w:rPr>
              <w:t>2</w:t>
            </w:r>
            <w:r>
              <w:t>O</w:t>
            </w:r>
          </w:p>
        </w:tc>
        <w:tc>
          <w:tcPr>
            <w:tcW w:w="490" w:type="pct"/>
            <w:shd w:val="clear" w:color="auto" w:fill="auto"/>
            <w:noWrap/>
            <w:vAlign w:val="center"/>
          </w:tcPr>
          <w:p w14:paraId="73DA47CA">
            <w:pPr>
              <w:pStyle w:val="28"/>
              <w:rPr>
                <w:rFonts w:hint="default"/>
              </w:rPr>
            </w:pPr>
            <w:r>
              <w:t>80%</w:t>
            </w:r>
          </w:p>
        </w:tc>
        <w:tc>
          <w:tcPr>
            <w:tcW w:w="670" w:type="pct"/>
            <w:shd w:val="clear" w:color="auto" w:fill="auto"/>
            <w:noWrap/>
            <w:vAlign w:val="center"/>
          </w:tcPr>
          <w:p w14:paraId="150BAB44">
            <w:pPr>
              <w:pStyle w:val="28"/>
              <w:rPr>
                <w:rFonts w:hint="default"/>
              </w:rPr>
            </w:pPr>
            <w:r>
              <w:t>9001.51</w:t>
            </w:r>
          </w:p>
        </w:tc>
        <w:tc>
          <w:tcPr>
            <w:tcW w:w="480" w:type="pct"/>
            <w:shd w:val="clear" w:color="auto" w:fill="auto"/>
            <w:noWrap/>
            <w:vAlign w:val="center"/>
          </w:tcPr>
          <w:p w14:paraId="3E4642CF">
            <w:pPr>
              <w:pStyle w:val="28"/>
              <w:rPr>
                <w:rFonts w:hint="default"/>
              </w:rPr>
            </w:pPr>
            <w:r>
              <w:t>综合利用、污泥接种</w:t>
            </w:r>
          </w:p>
        </w:tc>
      </w:tr>
      <w:tr w14:paraId="0A347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5000" w:type="pct"/>
            <w:gridSpan w:val="8"/>
            <w:shd w:val="clear" w:color="auto" w:fill="auto"/>
            <w:noWrap/>
            <w:vAlign w:val="center"/>
          </w:tcPr>
          <w:p w14:paraId="527A940E">
            <w:pPr>
              <w:pStyle w:val="28"/>
              <w:jc w:val="both"/>
              <w:rPr>
                <w:rFonts w:hint="default"/>
              </w:rPr>
            </w:pPr>
            <w:r>
              <w:rPr>
                <w:sz w:val="21"/>
                <w:szCs w:val="21"/>
              </w:rPr>
              <w:t>注：高公岛1号、2号站处理规模较小，2022年未处置污泥。</w:t>
            </w:r>
          </w:p>
        </w:tc>
      </w:tr>
    </w:tbl>
    <w:p w14:paraId="30F98FB7">
      <w:pPr>
        <w:pStyle w:val="7"/>
        <w:numPr>
          <w:ilvl w:val="0"/>
          <w:numId w:val="6"/>
        </w:numPr>
        <w:ind w:firstLine="640"/>
      </w:pPr>
      <w:r>
        <w:rPr>
          <w:rFonts w:hint="eastAsia"/>
        </w:rPr>
        <w:t>废弃快递包装物</w:t>
      </w:r>
    </w:p>
    <w:p w14:paraId="0EBE636E">
      <w:pPr>
        <w:ind w:firstLine="640"/>
      </w:pPr>
      <w:r>
        <w:rPr>
          <w:rFonts w:hint="eastAsia"/>
        </w:rPr>
        <w:t>根据连云邮政管理局提供的数据，2022年连云区快递电子面单使用率达100%，快递绿色包装使用率40%。</w:t>
      </w:r>
    </w:p>
    <w:p w14:paraId="360F2D98">
      <w:pPr>
        <w:pStyle w:val="7"/>
        <w:numPr>
          <w:ilvl w:val="0"/>
          <w:numId w:val="6"/>
        </w:numPr>
        <w:ind w:firstLine="640"/>
      </w:pPr>
      <w:r>
        <w:rPr>
          <w:rFonts w:hint="eastAsia"/>
        </w:rPr>
        <w:t>园林绿化垃圾</w:t>
      </w:r>
    </w:p>
    <w:p w14:paraId="44AF8564">
      <w:pPr>
        <w:ind w:firstLine="643"/>
      </w:pPr>
      <w:r>
        <w:rPr>
          <w:b/>
          <w:bCs/>
        </w:rPr>
        <w:t>园林垃圾就地就近多方式利用。</w:t>
      </w:r>
      <w:r>
        <w:t>202</w:t>
      </w:r>
      <w:r>
        <w:rPr>
          <w:rFonts w:hint="eastAsia"/>
        </w:rPr>
        <w:t>2</w:t>
      </w:r>
      <w:r>
        <w:t>年，全</w:t>
      </w:r>
      <w:r>
        <w:rPr>
          <w:rFonts w:hint="eastAsia"/>
        </w:rPr>
        <w:t>区</w:t>
      </w:r>
      <w:r>
        <w:t>产生</w:t>
      </w:r>
      <w:r>
        <w:rPr>
          <w:rFonts w:hint="eastAsia"/>
        </w:rPr>
        <w:t>收集</w:t>
      </w:r>
      <w:r>
        <w:t>园林垃圾约</w:t>
      </w:r>
      <w:r>
        <w:rPr>
          <w:rFonts w:hint="eastAsia"/>
        </w:rPr>
        <w:t>1300</w:t>
      </w:r>
      <w:r>
        <w:t>吨，</w:t>
      </w:r>
      <w:r>
        <w:rPr>
          <w:rFonts w:hint="eastAsia"/>
        </w:rPr>
        <w:t>其中1100吨送至园林绿化垃圾处理站进行综合利用，其余枝条类不适合处理的集中到环卫垃圾站或掩埋成为腐殖质。园林绿化垃圾处理站综合利用方式为：粗粉碎—细粉碎—杀菌—发酵制成有机肥或产出园林彩色覆盖物。</w:t>
      </w:r>
    </w:p>
    <w:p w14:paraId="47967079">
      <w:pPr>
        <w:pStyle w:val="7"/>
        <w:ind w:left="640" w:leftChars="200" w:firstLine="0" w:firstLineChars="0"/>
      </w:pPr>
      <w:r>
        <w:rPr>
          <w:rFonts w:hint="eastAsia"/>
        </w:rPr>
        <w:t>（7）建筑垃圾</w:t>
      </w:r>
    </w:p>
    <w:p w14:paraId="7FD3CF78">
      <w:pPr>
        <w:ind w:firstLine="640"/>
      </w:pPr>
      <w:r>
        <w:rPr>
          <w:rFonts w:hint="eastAsia"/>
        </w:rPr>
        <w:t>建筑垃圾包括工程渣土、工程泥浆、拆迁垃圾和装修垃圾等。2022年，全区约产生工程渣土21.80万吨、拆迁垃圾2.70万吨、装修垃圾0.11万吨，工程泥浆就地干化至含水率40%后再参照工程渣土处理（未作统计）。</w:t>
      </w:r>
    </w:p>
    <w:p w14:paraId="1165B622">
      <w:pPr>
        <w:ind w:firstLine="643"/>
      </w:pPr>
      <w:r>
        <w:rPr>
          <w:rFonts w:hint="eastAsia"/>
          <w:b/>
          <w:bCs/>
        </w:rPr>
        <w:t>工程渣土直接用于工程回填，</w:t>
      </w:r>
      <w:r>
        <w:rPr>
          <w:rFonts w:hint="eastAsia"/>
        </w:rPr>
        <w:t>项目建设单位办理工程渣土处置核准后，对照其编制的《建筑垃圾处置方案》，建筑渣土处置主管部门对工程渣土处置进行监管。回填工程基坑、土地或地形整治需要接纳渣土的，向建筑渣土处置主管部门提出运输申请，经审批后按照规定的时间、路线运输处置，连云区内无工程渣土消纳场所。</w:t>
      </w:r>
      <w:r>
        <w:rPr>
          <w:rFonts w:hint="eastAsia"/>
          <w:b/>
          <w:bCs/>
        </w:rPr>
        <w:t>拆迁垃圾全量区内利用，</w:t>
      </w:r>
      <w:r>
        <w:rPr>
          <w:rFonts w:hint="eastAsia"/>
        </w:rPr>
        <w:t>连云区建有1座建筑垃圾资源化利用厂（然连（连云港）环保科技有限公司），位于板桥工业园内，拥有建筑垃圾粉碎生产线2条、新型砌砖生产线2条，设计年处理能力60万吨。拆迁垃圾由施工单位直接运送至连云区建筑垃圾资源化利用厂，经“分拣、粉碎、剔除”等工序后，破碎筛分成不同体积的可再生骨料，通过专用生产线做成砌砖、路牙石等成品实现再生利用。</w:t>
      </w:r>
      <w:r>
        <w:rPr>
          <w:rFonts w:hint="eastAsia"/>
          <w:b/>
          <w:bCs/>
        </w:rPr>
        <w:t>装修垃圾送徐圩新区就近利用，</w:t>
      </w:r>
      <w:r>
        <w:rPr>
          <w:rFonts w:hint="eastAsia"/>
        </w:rPr>
        <w:t>连云区设有建筑垃圾临时堆放点1处（连云区建筑装潢垃圾临时弃置场地），位于海州湾街道，占地面积470平方米。连云区暂无装修垃圾处置设施。2022年，连云区城管局协调徐圩新区已建成装修垃圾终端设施的连云港亿弘科环保科技有限公司代为处理装修垃圾，并签订《徐圩新区建筑垃圾资源化综合处理中心垃圾处理协议书》，将建筑垃圾临时堆放场的装修垃圾运送至徐圩新区建筑垃圾资源化综合处理中心进行处理。</w:t>
      </w:r>
    </w:p>
    <w:p w14:paraId="2DAA9A55">
      <w:pPr>
        <w:ind w:firstLine="643"/>
      </w:pPr>
      <w:r>
        <w:rPr>
          <w:rFonts w:hint="eastAsia"/>
          <w:b/>
          <w:bCs/>
        </w:rPr>
        <w:t>建筑垃圾收运规范。</w:t>
      </w:r>
      <w:r>
        <w:rPr>
          <w:rFonts w:hint="eastAsia"/>
        </w:rPr>
        <w:t>连云区城管部门紧抓建筑垃圾规范化收运，推行“一证两承诺”机制，对具有运输资质的企业发放《处置许可证》，签订《保洁承诺书》和《建筑垃圾运输企业承诺书》，许可证随车携带，随时接受城管部门的核查核验。</w:t>
      </w:r>
    </w:p>
    <w:p w14:paraId="05997386">
      <w:pPr>
        <w:ind w:firstLine="640"/>
      </w:pPr>
      <w:r>
        <w:rPr>
          <w:rFonts w:hint="eastAsia"/>
        </w:rPr>
        <w:t>连云区2022年竣工的项目中，绿色建筑占比76.47%；在建工程中有很多装配式建筑，但由于尚未竣工，未纳入统计范畴。</w:t>
      </w:r>
    </w:p>
    <w:p w14:paraId="57762AEE">
      <w:pPr>
        <w:pStyle w:val="6"/>
        <w:numPr>
          <w:ilvl w:val="2"/>
          <w:numId w:val="1"/>
        </w:numPr>
      </w:pPr>
      <w:bookmarkStart w:id="45" w:name="_Toc8541"/>
      <w:r>
        <w:rPr>
          <w:rFonts w:hint="eastAsia"/>
        </w:rPr>
        <w:t>海洋废弃物管理现状</w:t>
      </w:r>
      <w:bookmarkEnd w:id="45"/>
    </w:p>
    <w:p w14:paraId="7A68FE2B">
      <w:pPr>
        <w:pStyle w:val="7"/>
        <w:ind w:firstLine="640"/>
      </w:pPr>
      <w:r>
        <w:rPr>
          <w:rFonts w:hint="eastAsia"/>
        </w:rPr>
        <w:t>（1）海洋垃圾</w:t>
      </w:r>
    </w:p>
    <w:p w14:paraId="0B646393">
      <w:pPr>
        <w:ind w:firstLine="643"/>
      </w:pPr>
      <w:r>
        <w:rPr>
          <w:rFonts w:hint="eastAsia"/>
          <w:b/>
          <w:bCs/>
        </w:rPr>
        <w:t>海上养殖废弃物</w:t>
      </w:r>
      <w:r>
        <w:rPr>
          <w:rFonts w:hint="eastAsia"/>
        </w:rPr>
        <w:t>：连云区海水养殖以紫菜和贝类养殖为主，截至2022年12月，全区海水养殖面积232725亩，其中紫菜养殖面积119400亩，贝类养殖113325亩，产生的固废主要为废弃筏架、浮球、废弃渔具等。全区各涉海街道定期组织开展海上漂浮垃圾的排查清理整治行动，推进泡沫浮球、塑料浮球、毛竹、玻璃钢杆、网帘、网具等养殖、捕捞生产废弃物集中清理处置。</w:t>
      </w:r>
    </w:p>
    <w:p w14:paraId="4B2C2D69">
      <w:pPr>
        <w:ind w:firstLine="643"/>
      </w:pPr>
      <w:r>
        <w:rPr>
          <w:rFonts w:hint="eastAsia"/>
          <w:b/>
          <w:bCs/>
        </w:rPr>
        <w:t>海滩垃圾</w:t>
      </w:r>
      <w:r>
        <w:rPr>
          <w:rFonts w:hint="eastAsia"/>
        </w:rPr>
        <w:t>：主要来自游客、居民观光赶海遗留的生活垃圾。区林海局联合连云生态环境局和各涉海街道，以环境卫生综合整治为抓手，加强海岸线环境卫生综合整治力度。不定期对辖区范围内沙滩海岸线及周边积存垃圾点进行排查，将西墅沙滩、在海一方、连岛等重要节点纳入保洁范围，区城管局及相关属地街道每个点位安排保洁员实行海域垃圾常态化日常保洁，确保海岸线无积存、无死角，实现海岸线常态化长效化管理。</w:t>
      </w:r>
    </w:p>
    <w:p w14:paraId="50C8D9FE">
      <w:pPr>
        <w:ind w:firstLine="643"/>
      </w:pPr>
      <w:r>
        <w:rPr>
          <w:rFonts w:hint="eastAsia"/>
          <w:b/>
          <w:bCs/>
        </w:rPr>
        <w:t>船舶生活垃圾</w:t>
      </w:r>
      <w:r>
        <w:rPr>
          <w:rFonts w:hint="eastAsia"/>
        </w:rPr>
        <w:t>：在连岛、高公岛等渔港码头、船舶停靠点设置垃圾收集站或区域，将垃圾集中进行处理。对垃圾收集站或区域实行巡回转运制度，做到日收日清，定时定点，并按照垃圾分类要求进行分类收集，袋装后由垃圾转运车辆运至中转站或垃圾终端处理设施。</w:t>
      </w:r>
    </w:p>
    <w:p w14:paraId="1025AC99">
      <w:pPr>
        <w:ind w:firstLine="643"/>
      </w:pPr>
      <w:r>
        <w:rPr>
          <w:rFonts w:hint="eastAsia"/>
          <w:b/>
          <w:bCs/>
        </w:rPr>
        <w:t>船舶含油污水：</w:t>
      </w:r>
      <w:r>
        <w:rPr>
          <w:rFonts w:hint="eastAsia"/>
        </w:rPr>
        <w:t>具有一定经济价值，目前均未向水体排放，社会企业或从业人员通常在待泊区、码头等船舶停靠点采用直接购买、以物换物等方式接收船舶含油污水。</w:t>
      </w:r>
    </w:p>
    <w:p w14:paraId="607D846F">
      <w:pPr>
        <w:ind w:firstLine="640"/>
      </w:pPr>
      <w:r>
        <w:rPr>
          <w:rFonts w:hint="eastAsia"/>
        </w:rPr>
        <w:t>连云港是全国首批“湾长制”试点城市之一，海州湾连云区段是海州湾“湾长制”试点的重要地区。近年来，连云区出台《海州湾“湾长制”实施方案》，围绕保障海州湾生态安全、保护海州湾资源、防治海州湾污染、治理海州湾环境、修复海州湾生态等重点领域，以更有效的制度、更健全的机制、更扎实的举措，统筹海域使用、资源管理和生态环境治理，切实维护海州湾健康生态，大力推进“蓝色海湾”建设。2022年，连云区湾长办制定了《连云区海洋清漂专项行动实施方案》，明确任务目标和任务分工。通过开展海岸线综合整治、海域养殖管控、渔港码头垃圾回收等工作，有序推进海洋垃圾清理，实现近海垃圾治理常态化和长效化。</w:t>
      </w:r>
    </w:p>
    <w:p w14:paraId="3AF389A7">
      <w:pPr>
        <w:pStyle w:val="7"/>
        <w:ind w:firstLine="640"/>
      </w:pPr>
      <w:r>
        <w:rPr>
          <w:rFonts w:hint="eastAsia"/>
        </w:rPr>
        <w:t>（2）港区废弃物</w:t>
      </w:r>
    </w:p>
    <w:p w14:paraId="0A926EAE">
      <w:pPr>
        <w:ind w:firstLine="640"/>
      </w:pPr>
      <w:r>
        <w:t>连云港港为“国际枢纽港湾”“大陆桥交通走廊起点”和“港口型国家物流枢纽”。</w:t>
      </w:r>
      <w:r>
        <w:rPr>
          <w:rFonts w:hint="eastAsia"/>
        </w:rPr>
        <w:t>连云港区为连云港港口的主体。</w:t>
      </w:r>
      <w:r>
        <w:t>连云港区</w:t>
      </w:r>
      <w:r>
        <w:rPr>
          <w:rFonts w:hint="eastAsia"/>
        </w:rPr>
        <w:t>现</w:t>
      </w:r>
      <w:r>
        <w:t>有9家</w:t>
      </w:r>
      <w:r>
        <w:rPr>
          <w:rFonts w:hint="eastAsia"/>
        </w:rPr>
        <w:t>码头</w:t>
      </w:r>
      <w:r>
        <w:t>公司52个泊位，2022年吞吐量为2.28亿吨。</w:t>
      </w:r>
    </w:p>
    <w:p w14:paraId="518F3875">
      <w:pPr>
        <w:ind w:firstLine="643"/>
      </w:pPr>
      <w:r>
        <w:rPr>
          <w:rFonts w:hint="eastAsia"/>
          <w:b/>
          <w:bCs/>
        </w:rPr>
        <w:t>工业固废：</w:t>
      </w:r>
      <w:r>
        <w:t>目前港区产生的工业固体废物主要为港区的道路清扫废物（铁矿石粉尘、泥土、包装边角料等），连云港区主要单位</w:t>
      </w:r>
      <w:r>
        <w:rPr>
          <w:rFonts w:hint="eastAsia"/>
        </w:rPr>
        <w:t>的工业固废</w:t>
      </w:r>
      <w:r>
        <w:t>由港鑫保洁公司统一收集转运，2022年产生量约为5万吨。</w:t>
      </w:r>
    </w:p>
    <w:p w14:paraId="1347B1D6">
      <w:pPr>
        <w:ind w:firstLine="643"/>
      </w:pPr>
      <w:r>
        <w:rPr>
          <w:rFonts w:hint="eastAsia"/>
          <w:b/>
          <w:bCs/>
        </w:rPr>
        <w:t>陆域生活垃圾：</w:t>
      </w:r>
      <w:r>
        <w:rPr>
          <w:rFonts w:hint="eastAsia"/>
        </w:rPr>
        <w:t>连云港区</w:t>
      </w:r>
      <w:r>
        <w:t>主要单位</w:t>
      </w:r>
      <w:r>
        <w:rPr>
          <w:rFonts w:hint="eastAsia"/>
        </w:rPr>
        <w:t>产生的生活垃圾由港鑫保洁公司收集转运，生活垃圾采用密闭式垃圾车收集并运往连云港晨兴环保产业有限公司焚烧处理，2022年生活垃圾处置总量约1650吨。</w:t>
      </w:r>
    </w:p>
    <w:p w14:paraId="17F74A2B">
      <w:pPr>
        <w:ind w:firstLine="643"/>
      </w:pPr>
      <w:r>
        <w:rPr>
          <w:rFonts w:hint="eastAsia"/>
          <w:b/>
          <w:bCs/>
        </w:rPr>
        <w:t>船舶生活垃圾：</w:t>
      </w:r>
      <w:r>
        <w:rPr>
          <w:rFonts w:hint="eastAsia"/>
        </w:rPr>
        <w:t>码头各公司通过第三方船舶污染物接收企业具备了靠港作业船舶送交的各类污染物“应收尽收”的能力。通过船舶污染物的接收、转运及处置持续执行监管联单制度，实现船舶污染物从产生、接收、转移到处置实现全链条、闭环管理。港口集团在连云港区建成船舶垃圾中转站。集团外服公司主要负责内、外贸船舶的垃圾接收工作，另外有港外企业（太和、益洋、百川通等）也进行内贸船舶的垃圾接收。疫情期间外贸船舶垃圾暂停接收，连云港区2022年由外服公司处理总量约为91吨。</w:t>
      </w:r>
    </w:p>
    <w:p w14:paraId="331579AA">
      <w:pPr>
        <w:ind w:firstLine="643"/>
      </w:pPr>
      <w:r>
        <w:rPr>
          <w:rFonts w:hint="eastAsia"/>
          <w:b/>
          <w:bCs/>
        </w:rPr>
        <w:t>海漂垃圾</w:t>
      </w:r>
      <w:r>
        <w:rPr>
          <w:rFonts w:hint="eastAsia"/>
        </w:rPr>
        <w:t>：对于港池可见范围内垃圾，由港口集团按照湾长办要求开展各项湾长制工作，积极贯彻全市海洋清漂专项行动。</w:t>
      </w:r>
    </w:p>
    <w:p w14:paraId="3B47E29B">
      <w:pPr>
        <w:ind w:firstLine="643"/>
      </w:pPr>
      <w:r>
        <w:rPr>
          <w:rFonts w:hint="eastAsia"/>
          <w:b/>
          <w:bCs/>
        </w:rPr>
        <w:t>船舶含油污水</w:t>
      </w:r>
      <w:r>
        <w:rPr>
          <w:rFonts w:hint="eastAsia"/>
        </w:rPr>
        <w:t>：港口含油污水接收转运及处置服务目前由第三方服务企业提供，含油污水一部分通过管道输送至庙岭污水站（480吨/天）处理达标后排放，一部分由第三方服务企业运送至港外实施回收利用处置。</w:t>
      </w:r>
    </w:p>
    <w:p w14:paraId="4E6EA40E">
      <w:pPr>
        <w:ind w:firstLine="640"/>
      </w:pPr>
      <w:r>
        <w:rPr>
          <w:rFonts w:hint="eastAsia"/>
        </w:rPr>
        <w:br w:type="page"/>
      </w:r>
    </w:p>
    <w:p w14:paraId="3E3EB804">
      <w:pPr>
        <w:pStyle w:val="5"/>
        <w:numPr>
          <w:ilvl w:val="1"/>
          <w:numId w:val="1"/>
        </w:numPr>
      </w:pPr>
      <w:bookmarkStart w:id="46" w:name="_Toc12553"/>
      <w:r>
        <w:rPr>
          <w:rFonts w:hint="eastAsia"/>
        </w:rPr>
        <w:t>存在的问题</w:t>
      </w:r>
      <w:bookmarkEnd w:id="46"/>
    </w:p>
    <w:p w14:paraId="0CDBE03D">
      <w:pPr>
        <w:pStyle w:val="6"/>
        <w:numPr>
          <w:ilvl w:val="2"/>
          <w:numId w:val="1"/>
        </w:numPr>
      </w:pPr>
      <w:bookmarkStart w:id="47" w:name="_Toc21501"/>
      <w:r>
        <w:rPr>
          <w:rFonts w:hint="eastAsia"/>
        </w:rPr>
        <w:t>一般工业固废管理存在的问题</w:t>
      </w:r>
      <w:bookmarkEnd w:id="47"/>
    </w:p>
    <w:p w14:paraId="233556EE">
      <w:pPr>
        <w:ind w:firstLine="643"/>
      </w:pPr>
      <w:r>
        <w:rPr>
          <w:rFonts w:hint="eastAsia"/>
          <w:b/>
          <w:bCs/>
        </w:rPr>
        <w:t>一般工业固废统计口径不全，底数不精准</w:t>
      </w:r>
      <w:r>
        <w:rPr>
          <w:rFonts w:hint="eastAsia"/>
        </w:rPr>
        <w:t>。2022年的环境统计数据中，仅10家企业填报了一般固废产生和利用处置情况。虽然区内大部分产生大宗固废的企业已纳入环境统计，但仍有较多产生其他类别一般固废的企业未纳入环境统计，且环统数据填报时并未强制要求填写利用去向，导致企业并未积极申报一般工业固废产生及利用处置情况，这就造成一般工业固废底数不精准、去向不明。</w:t>
      </w:r>
    </w:p>
    <w:p w14:paraId="3DFE90E6">
      <w:pPr>
        <w:ind w:firstLine="643"/>
      </w:pPr>
      <w:r>
        <w:rPr>
          <w:rFonts w:hint="eastAsia"/>
          <w:b/>
          <w:bCs/>
        </w:rPr>
        <w:t>连云港恒鑫通矿业有限公司的尾矿大量堆存未利用处置</w:t>
      </w:r>
      <w:r>
        <w:rPr>
          <w:rFonts w:hint="eastAsia"/>
        </w:rPr>
        <w:t>。据了解，连云港恒鑫通矿业有限公司2022年产生104.72万吨磁选尾矿暂未利用处置，目前堆存于新云台对面堆场和黄窝堆场，总贮存量147.49万吨，存在一定的环境风险。</w:t>
      </w:r>
    </w:p>
    <w:p w14:paraId="512BE678">
      <w:pPr>
        <w:ind w:firstLine="643"/>
      </w:pPr>
      <w:r>
        <w:rPr>
          <w:rFonts w:hint="eastAsia"/>
          <w:b/>
          <w:bCs/>
        </w:rPr>
        <w:t>碱业公司搬迁后大量碱渣堆存</w:t>
      </w:r>
      <w:r>
        <w:rPr>
          <w:rFonts w:hint="eastAsia"/>
        </w:rPr>
        <w:t>。连云港碱厂于1989年建厂，2021年12月正式停产。目前，连云区碱渣堆存量约3484万方。碱业公司碱渣场位于连云新城重点规划区域内，毗邻CBD和连云区政府、滨海旅游度假区、连云港港口，区域位置明显。碱业碱渣形成一片“白海”，影响了周边区域的总体规划发展，对城市环境和生态造成一定的危害。</w:t>
      </w:r>
    </w:p>
    <w:p w14:paraId="17A9476D">
      <w:pPr>
        <w:pStyle w:val="6"/>
        <w:numPr>
          <w:ilvl w:val="2"/>
          <w:numId w:val="1"/>
        </w:numPr>
      </w:pPr>
      <w:bookmarkStart w:id="48" w:name="_Toc423"/>
      <w:r>
        <w:rPr>
          <w:rFonts w:hint="eastAsia"/>
        </w:rPr>
        <w:t>危险废物管理所存在的问题</w:t>
      </w:r>
      <w:bookmarkEnd w:id="48"/>
    </w:p>
    <w:p w14:paraId="5DF6031F">
      <w:pPr>
        <w:ind w:firstLine="643"/>
      </w:pPr>
      <w:r>
        <w:rPr>
          <w:rFonts w:hint="eastAsia" w:cs="Times New Roman"/>
          <w:b/>
          <w:bCs/>
        </w:rPr>
        <w:t>危废减量化和资源化利用水平有待提高。</w:t>
      </w:r>
      <w:r>
        <w:rPr>
          <w:rFonts w:hint="eastAsia" w:cs="Times New Roman"/>
        </w:rPr>
        <w:t>2022年，连云区危废产生强度0.0181吨/万元，较2021年（0.0142吨/万元）增加了27.5%，也高于连云港市“无废城市”建设的指标要求（2025年0.013吨/万元）。产废强度升高主要原因是三吉利化工产能增加。三吉利化工为连云区危废产生量最大的企业（约占全区产废总量77.5%），其65.7%的危废为精馏焦油，目前均由三吉利化工自建焚烧设施焚烧处置。</w:t>
      </w:r>
    </w:p>
    <w:p w14:paraId="5A15D906">
      <w:pPr>
        <w:ind w:firstLine="643"/>
      </w:pPr>
      <w:r>
        <w:rPr>
          <w:rFonts w:hint="eastAsia"/>
          <w:b/>
          <w:bCs/>
        </w:rPr>
        <w:t>危废小微收集体系不健全</w:t>
      </w:r>
      <w:r>
        <w:rPr>
          <w:rFonts w:hint="eastAsia"/>
        </w:rPr>
        <w:t>。小微企业、教育科研机构、机动车维修机构等行业危险废物普遍具有量小、面广、处置需求迫切且管理能力不足等问题。目前全区7家小微企业的危废均由光大环保（连云港）废弃物处理有限公司统一收集，但教育科研机构、机动车维修机构等单位的危废尚未纳入小微收集体系。</w:t>
      </w:r>
    </w:p>
    <w:p w14:paraId="1382F504">
      <w:pPr>
        <w:pStyle w:val="6"/>
        <w:numPr>
          <w:ilvl w:val="2"/>
          <w:numId w:val="1"/>
        </w:numPr>
      </w:pPr>
      <w:bookmarkStart w:id="49" w:name="_Toc20420"/>
      <w:r>
        <w:rPr>
          <w:rFonts w:hint="eastAsia"/>
        </w:rPr>
        <w:t>农业源固废管理存在的问题</w:t>
      </w:r>
      <w:bookmarkEnd w:id="49"/>
    </w:p>
    <w:p w14:paraId="3D6F0192">
      <w:pPr>
        <w:ind w:firstLine="643"/>
      </w:pPr>
      <w:r>
        <w:rPr>
          <w:rFonts w:hint="eastAsia"/>
          <w:b/>
          <w:bCs/>
        </w:rPr>
        <w:t>农药包装废弃物回收工作未落到实处</w:t>
      </w:r>
      <w:r>
        <w:rPr>
          <w:rFonts w:hint="eastAsia"/>
        </w:rPr>
        <w:t>。由于连云区城镇化进程较快，农用地逐渐减少、传统农业规模不断缩小，可供耕地面积小且分散，传统农业较弱，农药使用量极少，近年来农药废弃包装物统一回收处置工作并没有实质上的经营。</w:t>
      </w:r>
    </w:p>
    <w:p w14:paraId="6939C863">
      <w:pPr>
        <w:pStyle w:val="6"/>
        <w:numPr>
          <w:ilvl w:val="2"/>
          <w:numId w:val="1"/>
        </w:numPr>
      </w:pPr>
      <w:bookmarkStart w:id="50" w:name="_Toc20492"/>
      <w:r>
        <w:rPr>
          <w:rFonts w:hint="eastAsia"/>
        </w:rPr>
        <w:t>生活源固废管理存在的问题</w:t>
      </w:r>
      <w:bookmarkEnd w:id="50"/>
    </w:p>
    <w:p w14:paraId="0C8EF8E6">
      <w:pPr>
        <w:ind w:firstLine="643"/>
        <w:rPr>
          <w:rFonts w:cs="Times New Roman"/>
        </w:rPr>
      </w:pPr>
      <w:r>
        <w:rPr>
          <w:rFonts w:cs="Times New Roman"/>
          <w:b/>
          <w:bCs/>
        </w:rPr>
        <w:t>垃圾分类</w:t>
      </w:r>
      <w:r>
        <w:rPr>
          <w:rFonts w:hint="eastAsia" w:cs="Times New Roman"/>
          <w:b/>
          <w:bCs/>
        </w:rPr>
        <w:t>有待进一步推进</w:t>
      </w:r>
      <w:r>
        <w:rPr>
          <w:rFonts w:cs="Times New Roman"/>
        </w:rPr>
        <w:t>，街道、社区、物业公司参与垃圾分类程度还不够高，党建引领、协商机制、志愿者活动作用未能充分发挥，</w:t>
      </w:r>
      <w:r>
        <w:rPr>
          <w:rFonts w:hint="eastAsia" w:cs="Times New Roman"/>
        </w:rPr>
        <w:t>居民垃圾分类意识有待提高，</w:t>
      </w:r>
      <w:r>
        <w:rPr>
          <w:rFonts w:cs="Times New Roman"/>
        </w:rPr>
        <w:t>投放准确率还有较大提升空间。</w:t>
      </w:r>
    </w:p>
    <w:p w14:paraId="1B5D465E">
      <w:pPr>
        <w:ind w:firstLine="643"/>
      </w:pPr>
      <w:r>
        <w:rPr>
          <w:rFonts w:hint="eastAsia"/>
          <w:b/>
          <w:bCs/>
        </w:rPr>
        <w:t>有害垃圾暂未处置</w:t>
      </w:r>
      <w:r>
        <w:rPr>
          <w:rFonts w:hint="eastAsia"/>
        </w:rPr>
        <w:t>，连云区生活垃圾分类出的废电池、废灯管等有害垃圾均暂存于连云区有害垃圾暂存点，截至2022年底，该暂存点已堆存有害垃圾1678.78kg。</w:t>
      </w:r>
    </w:p>
    <w:p w14:paraId="2BA71BD4">
      <w:pPr>
        <w:ind w:firstLine="643"/>
      </w:pPr>
      <w:r>
        <w:rPr>
          <w:rFonts w:hint="eastAsia"/>
          <w:b/>
          <w:bCs/>
        </w:rPr>
        <w:t>连云区暂无厨余垃圾处理设施</w:t>
      </w:r>
      <w:r>
        <w:rPr>
          <w:rFonts w:hint="eastAsia"/>
        </w:rPr>
        <w:t>，随着生活垃圾“四分类”稳步推进，厨余垃圾产生量将逐步增多，厨余垃圾处理能力亟需提升；</w:t>
      </w:r>
      <w:r>
        <w:rPr>
          <w:rFonts w:hint="eastAsia"/>
          <w:b/>
          <w:bCs/>
        </w:rPr>
        <w:t>餐厨垃圾收运未覆盖全区，</w:t>
      </w:r>
      <w:r>
        <w:rPr>
          <w:rFonts w:hint="eastAsia"/>
        </w:rPr>
        <w:t>宿城街道、连岛街道、高公岛街道因路途较远，商户比较零散等因素没有纳入目前的餐厨垃圾收运体系；</w:t>
      </w:r>
      <w:r>
        <w:rPr>
          <w:rFonts w:hint="eastAsia"/>
          <w:b/>
          <w:bCs/>
        </w:rPr>
        <w:t>高峰时段餐厨垃圾运力不足，</w:t>
      </w:r>
      <w:r>
        <w:rPr>
          <w:rFonts w:hint="eastAsia"/>
        </w:rPr>
        <w:t>主城区新增商户产生餐厨垃圾，加之7、8月份旅游旺季餐厨垃圾产生量增大，餐厨垃圾收运压力增大，超时间运输情况时有发生。</w:t>
      </w:r>
    </w:p>
    <w:p w14:paraId="3706FC96">
      <w:pPr>
        <w:pStyle w:val="6"/>
        <w:numPr>
          <w:ilvl w:val="2"/>
          <w:numId w:val="1"/>
        </w:numPr>
      </w:pPr>
      <w:bookmarkStart w:id="51" w:name="_Toc32648"/>
      <w:r>
        <w:rPr>
          <w:rFonts w:hint="eastAsia"/>
        </w:rPr>
        <w:t>海洋废弃物管理存在的问题</w:t>
      </w:r>
      <w:bookmarkEnd w:id="51"/>
    </w:p>
    <w:p w14:paraId="03FF1BD1">
      <w:pPr>
        <w:ind w:firstLine="643"/>
      </w:pPr>
      <w:r>
        <w:rPr>
          <w:rFonts w:hint="eastAsia"/>
          <w:b/>
          <w:bCs/>
        </w:rPr>
        <w:t>海洋垃圾多方共管合力尚未形成。</w:t>
      </w:r>
      <w:r>
        <w:rPr>
          <w:rFonts w:hint="eastAsia"/>
        </w:rPr>
        <w:t>目前连云区海洋垃圾管理涉及生态环境局、林海局、涉海街道、港口集团等多个单位，已开展了多次海洋清漂专项行动。但在实际管理中，依然存在着权责不明、投入不足等问题，海洋垃圾基础情况不清楚，多方共管合力尚未形成。</w:t>
      </w:r>
      <w:r>
        <w:rPr>
          <w:rFonts w:hint="eastAsia"/>
          <w:b/>
          <w:bCs/>
        </w:rPr>
        <w:t>常态化监测和治理体系尚未建立。</w:t>
      </w:r>
      <w:r>
        <w:rPr>
          <w:rFonts w:hint="eastAsia"/>
        </w:rPr>
        <w:t>目前已开展海洋垃圾监测和治理，尚未形成常态化工作机制。对海洋垃圾的监测预警、清理、转运处置、巡视检查、违法查处等工作没有明确的管理部门，各环节衔接机制尚未建立。</w:t>
      </w:r>
    </w:p>
    <w:p w14:paraId="36EEFAA9">
      <w:pPr>
        <w:ind w:firstLine="640"/>
      </w:pPr>
      <w:r>
        <w:rPr>
          <w:rFonts w:hint="eastAsia"/>
        </w:rPr>
        <w:br w:type="page"/>
      </w:r>
    </w:p>
    <w:p w14:paraId="781A937B">
      <w:pPr>
        <w:pStyle w:val="3"/>
        <w:numPr>
          <w:ilvl w:val="0"/>
          <w:numId w:val="1"/>
        </w:numPr>
      </w:pPr>
      <w:bookmarkStart w:id="52" w:name="_Toc20358"/>
      <w:r>
        <w:rPr>
          <w:rFonts w:hint="eastAsia"/>
        </w:rPr>
        <w:t>建设思路与目标指标</w:t>
      </w:r>
      <w:bookmarkEnd w:id="52"/>
    </w:p>
    <w:p w14:paraId="2E9353DD">
      <w:pPr>
        <w:pStyle w:val="5"/>
        <w:numPr>
          <w:ilvl w:val="1"/>
          <w:numId w:val="1"/>
        </w:numPr>
      </w:pPr>
      <w:bookmarkStart w:id="53" w:name="_Toc13803"/>
      <w:r>
        <w:rPr>
          <w:rFonts w:hint="eastAsia"/>
        </w:rPr>
        <w:t>建设思路</w:t>
      </w:r>
      <w:bookmarkEnd w:id="53"/>
    </w:p>
    <w:p w14:paraId="6923A228">
      <w:pPr>
        <w:ind w:firstLine="640"/>
      </w:pPr>
      <w:r>
        <w:rPr>
          <w:rFonts w:hint="eastAsia"/>
        </w:rPr>
        <w:t>以习近平新时代中国特色社会主义思想为指导，深入贯彻党的二十大精神，全面落实总书记对连云港“后发先至”和“打造标杆示范”的重要指示精神，紧扣“</w:t>
      </w:r>
      <w:bookmarkStart w:id="106" w:name="_GoBack"/>
      <w:r>
        <w:rPr>
          <w:rFonts w:hint="eastAsia"/>
        </w:rPr>
        <w:t>一带一路</w:t>
      </w:r>
      <w:bookmarkEnd w:id="106"/>
      <w:r>
        <w:rPr>
          <w:rFonts w:hint="eastAsia"/>
        </w:rPr>
        <w:t>”</w:t>
      </w:r>
      <w:r>
        <w:rPr>
          <w:rFonts w:hint="eastAsia"/>
          <w:lang w:val="en-US" w:eastAsia="zh-CN"/>
        </w:rPr>
        <w:t>倡议</w:t>
      </w:r>
      <w:r>
        <w:rPr>
          <w:rFonts w:hint="eastAsia"/>
        </w:rPr>
        <w:t>机遇，坚定不移立足新发展阶段、贯彻新发展理念、构建新发展格局，以</w:t>
      </w:r>
      <w:r>
        <w:rPr>
          <w:rFonts w:cs="Times New Roman"/>
        </w:rPr>
        <w:t>工业源固体废物、农业源固体废物、生活源固体废物</w:t>
      </w:r>
      <w:r>
        <w:rPr>
          <w:rFonts w:hint="eastAsia" w:cs="Times New Roman"/>
        </w:rPr>
        <w:t>、海洋废弃物</w:t>
      </w:r>
      <w:r>
        <w:rPr>
          <w:rFonts w:hint="eastAsia"/>
        </w:rPr>
        <w:t>等固体废物为重点，大力推进减量化、资源化、无害化，强化制度、技术、市场、监管等保障体系建设，推动连云区固体废物治理体系和治理能力进一步提升，发挥减污降碳协同效应，提升城市精细化管理水平，推动建设现代化国际海滨城区。</w:t>
      </w:r>
    </w:p>
    <w:p w14:paraId="2D3C8F3D">
      <w:pPr>
        <w:pStyle w:val="5"/>
        <w:numPr>
          <w:ilvl w:val="1"/>
          <w:numId w:val="1"/>
        </w:numPr>
      </w:pPr>
      <w:bookmarkStart w:id="54" w:name="_Toc27282"/>
      <w:r>
        <w:rPr>
          <w:rFonts w:hint="eastAsia"/>
        </w:rPr>
        <w:t>基本原则</w:t>
      </w:r>
      <w:bookmarkEnd w:id="54"/>
    </w:p>
    <w:p w14:paraId="0F87F1BD">
      <w:pPr>
        <w:ind w:firstLine="643"/>
      </w:pPr>
      <w:r>
        <w:rPr>
          <w:rFonts w:hint="eastAsia"/>
          <w:b/>
          <w:bCs/>
        </w:rPr>
        <w:t>坚持统筹协调。</w:t>
      </w:r>
      <w:r>
        <w:rPr>
          <w:rFonts w:hint="eastAsia"/>
        </w:rPr>
        <w:t>坚持与经济社会全面绿色低碳循环发展相协调，注重三废协同处置；坚持与碳达峰、碳中和重大战略部署相协调，把减污降碳协同增效作为重要抓手；坚持海陆统筹，在“一带一路”</w:t>
      </w:r>
      <w:r>
        <w:rPr>
          <w:rFonts w:hint="eastAsia"/>
          <w:lang w:val="en-US" w:eastAsia="zh-CN"/>
        </w:rPr>
        <w:t>倡议</w:t>
      </w:r>
      <w:r>
        <w:rPr>
          <w:rFonts w:hint="eastAsia"/>
        </w:rPr>
        <w:t>背景下提升固体废物精细化管理水平。</w:t>
      </w:r>
    </w:p>
    <w:p w14:paraId="2B6852B0">
      <w:pPr>
        <w:ind w:firstLine="643"/>
      </w:pPr>
      <w:r>
        <w:rPr>
          <w:rFonts w:hint="eastAsia"/>
          <w:b/>
          <w:bCs/>
        </w:rPr>
        <w:t>坚持问题导向。</w:t>
      </w:r>
      <w:r>
        <w:rPr>
          <w:rFonts w:hint="eastAsia"/>
        </w:rPr>
        <w:t>针对连云区固废处置现状、存在的问题与“十四五”时期面临的挑战，针对性加快技术、制度和模式创新，推动实现重点突破，促进形成“无废城市”建设的市场体系和长效运行机制。</w:t>
      </w:r>
    </w:p>
    <w:p w14:paraId="0CA5E2EE">
      <w:pPr>
        <w:ind w:firstLine="643"/>
      </w:pPr>
      <w:r>
        <w:rPr>
          <w:rFonts w:hint="eastAsia"/>
          <w:b/>
          <w:bCs/>
        </w:rPr>
        <w:t>坚持全民参与。</w:t>
      </w:r>
      <w:r>
        <w:rPr>
          <w:rFonts w:hint="eastAsia"/>
        </w:rPr>
        <w:t>将绿色低碳循环发展作为“无废城市”建设重要理念，推动形成节约适度、绿色低碳、文明健康的生活方式和消费模式。充分发挥社会组织和公众监督作用，形成全社会共建共享的良好建设氛围。</w:t>
      </w:r>
    </w:p>
    <w:p w14:paraId="4D2BA631">
      <w:pPr>
        <w:pStyle w:val="5"/>
        <w:numPr>
          <w:ilvl w:val="1"/>
          <w:numId w:val="1"/>
        </w:numPr>
      </w:pPr>
      <w:bookmarkStart w:id="55" w:name="_Toc5195"/>
      <w:r>
        <w:rPr>
          <w:rFonts w:hint="eastAsia"/>
        </w:rPr>
        <w:t>建设目标</w:t>
      </w:r>
      <w:bookmarkEnd w:id="55"/>
    </w:p>
    <w:p w14:paraId="19421506">
      <w:pPr>
        <w:ind w:firstLine="640"/>
      </w:pPr>
      <w:r>
        <w:rPr>
          <w:rFonts w:hint="eastAsia"/>
        </w:rPr>
        <w:t>到2025年，完成全域“无废城市”建设，坚持绿色低碳循环发展，以一般工业固废、危险废物、农业源固废、生活源固废、海洋废弃物等固体废物为重点，实现固体废物产生强度稳步下降，综合利用水平逐步提升，利用处置能力更加优化，基本实现固体废物管理“一张网”，“无废”理念得到广泛认同，固体废物领域生态环境治理能力与治理体系现代化建设效果显著。</w:t>
      </w:r>
    </w:p>
    <w:p w14:paraId="187E8342">
      <w:pPr>
        <w:ind w:firstLine="640"/>
      </w:pPr>
      <w:r>
        <w:rPr>
          <w:rFonts w:hint="eastAsia"/>
        </w:rPr>
        <w:t>到2025年，固体废物源头减量成效明显，一般工业固体废物产生强度下降至0.4吨/万元，工业危废产生强度下降至0.013吨/万元，绿色优质农产品比重提升至75%，绿色建筑占新建建筑比例达到100%，全区生活垃圾分类覆盖率达100%，绿色快递包装使用率达60%，一般工业固体废物、社会源危险废物收集处置体系实现全覆盖；资源化利用水平显著提升，一般工业固体废物综合利用率达到97%，碱渣综合利用量逐年上升，生活垃圾回收利用率达35%，建筑垃圾资源化利用率保持100%，生活垃圾保持全量焚烧，危险废物填埋量持续下降，“无废”海滩建设比例达到70%，“无废城市”建设各项任务全面完成。</w:t>
      </w:r>
    </w:p>
    <w:p w14:paraId="7DEC66A2">
      <w:pPr>
        <w:pStyle w:val="5"/>
        <w:numPr>
          <w:ilvl w:val="1"/>
          <w:numId w:val="1"/>
        </w:numPr>
      </w:pPr>
      <w:bookmarkStart w:id="56" w:name="_Toc646"/>
      <w:r>
        <w:rPr>
          <w:rFonts w:hint="eastAsia"/>
        </w:rPr>
        <w:t>建设指标</w:t>
      </w:r>
      <w:bookmarkEnd w:id="56"/>
    </w:p>
    <w:p w14:paraId="1D6EF2A9">
      <w:pPr>
        <w:ind w:firstLine="640"/>
      </w:pPr>
      <w:r>
        <w:rPr>
          <w:rFonts w:hint="eastAsia"/>
        </w:rPr>
        <w:t>连云区“无废城市”建设（2022-2025年）目标清单根据《连云港市“无废城市”建设实施方案（2022-2025）》中的指标体系，结合连云区经济社会发展水平、数据统计难易程度及固体废物管理现状等情况，共确定5个一级指标，17个二级指标，50个三级指标。在确定的三级指标中，江苏省必选指标31项（标注★）、江苏省可选指标14项（标注☆）、连云港市自选指标4项（标注※）、连云区自选指标1项（标注</w:t>
      </w:r>
      <w:r>
        <w:rPr>
          <w:rFonts w:hint="eastAsia"/>
          <w:kern w:val="0"/>
          <w:sz w:val="28"/>
          <w:szCs w:val="28"/>
        </w:rPr>
        <w:t>▲</w:t>
      </w:r>
      <w:r>
        <w:rPr>
          <w:rFonts w:hint="eastAsia"/>
        </w:rPr>
        <w:t>），详见附件2。</w:t>
      </w:r>
    </w:p>
    <w:p w14:paraId="1130A804">
      <w:pPr>
        <w:ind w:firstLine="640"/>
      </w:pPr>
      <w:r>
        <w:rPr>
          <w:rFonts w:hint="eastAsia"/>
        </w:rPr>
        <w:t>连云区“无废城市”建设指标在连云港市“无废城市”建设指标的基础上进行设定，删除了连云区不涉及的13项指标，具体如下表。</w:t>
      </w:r>
    </w:p>
    <w:p w14:paraId="19C9AFB4">
      <w:pPr>
        <w:pStyle w:val="9"/>
      </w:pPr>
      <w:r>
        <w:rPr>
          <w:rFonts w:hint="eastAsia"/>
        </w:rPr>
        <w:t xml:space="preserve">表 </w:t>
      </w:r>
      <w:r>
        <w:fldChar w:fldCharType="begin"/>
      </w:r>
      <w:r>
        <w:rPr>
          <w:rFonts w:hint="eastAsia"/>
        </w:rPr>
        <w:instrText xml:space="preserve">STYLEREF 2 \s</w:instrText>
      </w:r>
      <w:r>
        <w:fldChar w:fldCharType="separate"/>
      </w:r>
      <w:r>
        <w:t>3.4</w:t>
      </w:r>
      <w:r>
        <w:fldChar w:fldCharType="end"/>
      </w:r>
      <w:r>
        <w:noBreakHyphen/>
      </w:r>
      <w:r>
        <w:fldChar w:fldCharType="begin"/>
      </w:r>
      <w:r>
        <w:rPr>
          <w:rFonts w:hint="eastAsia"/>
        </w:rPr>
        <w:instrText xml:space="preserve">SEQ 表 \* ARABIC \s 2</w:instrText>
      </w:r>
      <w:r>
        <w:fldChar w:fldCharType="separate"/>
      </w:r>
      <w:r>
        <w:t>1</w:t>
      </w:r>
      <w:r>
        <w:fldChar w:fldCharType="end"/>
      </w:r>
      <w:r>
        <w:rPr>
          <w:rFonts w:hint="eastAsia"/>
        </w:rPr>
        <w:t xml:space="preserve"> 连云区“无废城市”建设指标与连云港市“无废城市”指标差异一览表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3"/>
        <w:gridCol w:w="2659"/>
        <w:gridCol w:w="1344"/>
        <w:gridCol w:w="1050"/>
        <w:gridCol w:w="3666"/>
      </w:tblGrid>
      <w:tr w14:paraId="7FC76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523" w:type="dxa"/>
            <w:shd w:val="clear" w:color="auto" w:fill="auto"/>
            <w:vAlign w:val="center"/>
          </w:tcPr>
          <w:p w14:paraId="1B923E33">
            <w:pPr>
              <w:pStyle w:val="28"/>
              <w:rPr>
                <w:rFonts w:hint="default" w:cs="Times New Roman"/>
                <w:b/>
                <w:bCs/>
              </w:rPr>
            </w:pPr>
            <w:r>
              <w:rPr>
                <w:rFonts w:hint="default" w:cs="Times New Roman"/>
                <w:b/>
                <w:bCs/>
              </w:rPr>
              <w:t>序号</w:t>
            </w:r>
          </w:p>
        </w:tc>
        <w:tc>
          <w:tcPr>
            <w:tcW w:w="2659" w:type="dxa"/>
            <w:shd w:val="clear" w:color="auto" w:fill="auto"/>
            <w:vAlign w:val="center"/>
          </w:tcPr>
          <w:p w14:paraId="60ADE4C1">
            <w:pPr>
              <w:pStyle w:val="28"/>
              <w:rPr>
                <w:rFonts w:hint="default" w:cs="Times New Roman"/>
                <w:b/>
                <w:bCs/>
              </w:rPr>
            </w:pPr>
            <w:r>
              <w:rPr>
                <w:rFonts w:hint="default" w:cs="Times New Roman"/>
                <w:b/>
                <w:bCs/>
              </w:rPr>
              <w:t>连云港市“无废城市”建设指标</w:t>
            </w:r>
          </w:p>
        </w:tc>
        <w:tc>
          <w:tcPr>
            <w:tcW w:w="1344" w:type="dxa"/>
            <w:shd w:val="clear" w:color="auto" w:fill="auto"/>
            <w:vAlign w:val="center"/>
          </w:tcPr>
          <w:p w14:paraId="48ADF2E8">
            <w:pPr>
              <w:pStyle w:val="28"/>
              <w:rPr>
                <w:rFonts w:hint="default" w:cs="Times New Roman"/>
                <w:b/>
                <w:bCs/>
              </w:rPr>
            </w:pPr>
            <w:r>
              <w:rPr>
                <w:rFonts w:hint="default" w:cs="Times New Roman"/>
                <w:b/>
                <w:bCs/>
              </w:rPr>
              <w:t>连云港市2025目标值</w:t>
            </w:r>
          </w:p>
        </w:tc>
        <w:tc>
          <w:tcPr>
            <w:tcW w:w="1050" w:type="dxa"/>
            <w:shd w:val="clear" w:color="auto" w:fill="auto"/>
            <w:vAlign w:val="center"/>
          </w:tcPr>
          <w:p w14:paraId="580F4D5B">
            <w:pPr>
              <w:pStyle w:val="28"/>
              <w:rPr>
                <w:rFonts w:hint="default" w:cs="Times New Roman"/>
                <w:b/>
                <w:bCs/>
              </w:rPr>
            </w:pPr>
            <w:r>
              <w:rPr>
                <w:rFonts w:hint="default" w:cs="Times New Roman"/>
                <w:b/>
                <w:bCs/>
              </w:rPr>
              <w:t>连云区2025目标值</w:t>
            </w:r>
          </w:p>
        </w:tc>
        <w:tc>
          <w:tcPr>
            <w:tcW w:w="3666" w:type="dxa"/>
            <w:shd w:val="clear" w:color="auto" w:fill="auto"/>
            <w:vAlign w:val="center"/>
          </w:tcPr>
          <w:p w14:paraId="2523B87E">
            <w:pPr>
              <w:pStyle w:val="28"/>
              <w:rPr>
                <w:rFonts w:hint="default" w:cs="Times New Roman"/>
                <w:b/>
                <w:bCs/>
              </w:rPr>
            </w:pPr>
            <w:r>
              <w:rPr>
                <w:rFonts w:hint="default" w:cs="Times New Roman"/>
                <w:b/>
                <w:bCs/>
              </w:rPr>
              <w:t>说明</w:t>
            </w:r>
          </w:p>
        </w:tc>
      </w:tr>
      <w:tr w14:paraId="61F44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3" w:type="dxa"/>
            <w:shd w:val="clear" w:color="auto" w:fill="auto"/>
            <w:vAlign w:val="center"/>
          </w:tcPr>
          <w:p w14:paraId="3EAEE98E">
            <w:pPr>
              <w:pStyle w:val="28"/>
              <w:numPr>
                <w:ilvl w:val="0"/>
                <w:numId w:val="7"/>
              </w:numPr>
              <w:rPr>
                <w:rFonts w:hint="default" w:cs="Times New Roman"/>
              </w:rPr>
            </w:pPr>
          </w:p>
        </w:tc>
        <w:tc>
          <w:tcPr>
            <w:tcW w:w="2659" w:type="dxa"/>
            <w:shd w:val="clear" w:color="auto" w:fill="auto"/>
            <w:vAlign w:val="center"/>
          </w:tcPr>
          <w:p w14:paraId="550DAE07">
            <w:pPr>
              <w:pStyle w:val="28"/>
              <w:rPr>
                <w:rFonts w:hint="default" w:cs="Times New Roman"/>
              </w:rPr>
            </w:pPr>
            <w:r>
              <w:rPr>
                <w:rFonts w:hint="default" w:cs="Times New Roman"/>
              </w:rPr>
              <w:t>绿色矿山建成率★</w:t>
            </w:r>
          </w:p>
        </w:tc>
        <w:tc>
          <w:tcPr>
            <w:tcW w:w="1344" w:type="dxa"/>
            <w:shd w:val="clear" w:color="auto" w:fill="auto"/>
            <w:vAlign w:val="center"/>
          </w:tcPr>
          <w:p w14:paraId="74359C4B">
            <w:pPr>
              <w:pStyle w:val="28"/>
              <w:rPr>
                <w:rFonts w:hint="default" w:cs="Times New Roman"/>
              </w:rPr>
            </w:pPr>
            <w:r>
              <w:rPr>
                <w:rFonts w:hint="default" w:cs="Times New Roman"/>
              </w:rPr>
              <w:t>大型90%，中型90%，小型60%</w:t>
            </w:r>
          </w:p>
        </w:tc>
        <w:tc>
          <w:tcPr>
            <w:tcW w:w="1050" w:type="dxa"/>
            <w:shd w:val="clear" w:color="auto" w:fill="auto"/>
            <w:vAlign w:val="center"/>
          </w:tcPr>
          <w:p w14:paraId="528DF976">
            <w:pPr>
              <w:pStyle w:val="28"/>
              <w:rPr>
                <w:rFonts w:hint="default" w:cs="Times New Roman"/>
              </w:rPr>
            </w:pPr>
            <w:r>
              <w:rPr>
                <w:rFonts w:hint="default" w:cs="Times New Roman"/>
              </w:rPr>
              <w:t>不涉及</w:t>
            </w:r>
          </w:p>
        </w:tc>
        <w:tc>
          <w:tcPr>
            <w:tcW w:w="3666" w:type="dxa"/>
            <w:shd w:val="clear" w:color="auto" w:fill="auto"/>
            <w:vAlign w:val="center"/>
          </w:tcPr>
          <w:p w14:paraId="0418F2A7">
            <w:pPr>
              <w:pStyle w:val="28"/>
              <w:jc w:val="both"/>
              <w:rPr>
                <w:rFonts w:hint="default" w:cs="Times New Roman"/>
              </w:rPr>
            </w:pPr>
            <w:r>
              <w:rPr>
                <w:rFonts w:hint="default" w:cs="Times New Roman"/>
              </w:rPr>
              <w:t>连云区无矿山，不涉及该指标</w:t>
            </w:r>
          </w:p>
        </w:tc>
      </w:tr>
      <w:tr w14:paraId="527D0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3" w:type="dxa"/>
            <w:shd w:val="clear" w:color="auto" w:fill="auto"/>
            <w:vAlign w:val="center"/>
          </w:tcPr>
          <w:p w14:paraId="3F07E549">
            <w:pPr>
              <w:pStyle w:val="28"/>
              <w:numPr>
                <w:ilvl w:val="0"/>
                <w:numId w:val="7"/>
              </w:numPr>
              <w:rPr>
                <w:rFonts w:hint="default" w:cs="Times New Roman"/>
              </w:rPr>
            </w:pPr>
          </w:p>
        </w:tc>
        <w:tc>
          <w:tcPr>
            <w:tcW w:w="2659" w:type="dxa"/>
            <w:shd w:val="clear" w:color="auto" w:fill="auto"/>
            <w:vAlign w:val="center"/>
          </w:tcPr>
          <w:p w14:paraId="3799AE76">
            <w:pPr>
              <w:pStyle w:val="28"/>
              <w:rPr>
                <w:rFonts w:hint="default" w:cs="Times New Roman"/>
              </w:rPr>
            </w:pPr>
            <w:r>
              <w:rPr>
                <w:rFonts w:hint="default" w:cs="Times New Roman"/>
              </w:rPr>
              <w:t>“世界一流石化基地”内“无废工厂”建设数量※</w:t>
            </w:r>
          </w:p>
        </w:tc>
        <w:tc>
          <w:tcPr>
            <w:tcW w:w="1344" w:type="dxa"/>
            <w:shd w:val="clear" w:color="auto" w:fill="auto"/>
            <w:vAlign w:val="center"/>
          </w:tcPr>
          <w:p w14:paraId="6EC60092">
            <w:pPr>
              <w:pStyle w:val="28"/>
              <w:rPr>
                <w:rFonts w:hint="default" w:cs="Times New Roman"/>
              </w:rPr>
            </w:pPr>
            <w:r>
              <w:rPr>
                <w:rFonts w:hint="default" w:cs="Times New Roman"/>
              </w:rPr>
              <w:t>1</w:t>
            </w:r>
          </w:p>
        </w:tc>
        <w:tc>
          <w:tcPr>
            <w:tcW w:w="1050" w:type="dxa"/>
            <w:shd w:val="clear" w:color="auto" w:fill="auto"/>
            <w:vAlign w:val="center"/>
          </w:tcPr>
          <w:p w14:paraId="0CDD7E7A">
            <w:pPr>
              <w:pStyle w:val="28"/>
              <w:rPr>
                <w:rFonts w:hint="default" w:cs="Times New Roman"/>
              </w:rPr>
            </w:pPr>
            <w:r>
              <w:rPr>
                <w:rFonts w:hint="default" w:cs="Times New Roman"/>
              </w:rPr>
              <w:t>不涉及</w:t>
            </w:r>
          </w:p>
        </w:tc>
        <w:tc>
          <w:tcPr>
            <w:tcW w:w="3666" w:type="dxa"/>
            <w:shd w:val="clear" w:color="auto" w:fill="auto"/>
            <w:vAlign w:val="center"/>
          </w:tcPr>
          <w:p w14:paraId="2CA14188">
            <w:pPr>
              <w:pStyle w:val="28"/>
              <w:jc w:val="both"/>
              <w:rPr>
                <w:rFonts w:hint="default" w:cs="Times New Roman"/>
              </w:rPr>
            </w:pPr>
            <w:r>
              <w:rPr>
                <w:rFonts w:hint="default" w:cs="Times New Roman"/>
              </w:rPr>
              <w:t>为徐圩新区指标，连云区不涉及该指标</w:t>
            </w:r>
          </w:p>
        </w:tc>
      </w:tr>
      <w:tr w14:paraId="5CB91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3" w:type="dxa"/>
            <w:shd w:val="clear" w:color="auto" w:fill="auto"/>
            <w:vAlign w:val="center"/>
          </w:tcPr>
          <w:p w14:paraId="003DB16A">
            <w:pPr>
              <w:pStyle w:val="28"/>
              <w:numPr>
                <w:ilvl w:val="0"/>
                <w:numId w:val="7"/>
              </w:numPr>
              <w:rPr>
                <w:rFonts w:hint="default" w:cs="Times New Roman"/>
              </w:rPr>
            </w:pPr>
          </w:p>
        </w:tc>
        <w:tc>
          <w:tcPr>
            <w:tcW w:w="2659" w:type="dxa"/>
            <w:shd w:val="clear" w:color="auto" w:fill="auto"/>
            <w:vAlign w:val="center"/>
          </w:tcPr>
          <w:p w14:paraId="2FA1DF57">
            <w:pPr>
              <w:pStyle w:val="28"/>
              <w:rPr>
                <w:rFonts w:hint="default" w:cs="Times New Roman"/>
              </w:rPr>
            </w:pPr>
            <w:r>
              <w:rPr>
                <w:rFonts w:hint="default" w:cs="Times New Roman"/>
              </w:rPr>
              <w:t>“世界一流石化基地”内焚烧处置的危险废物在园区内消纳※</w:t>
            </w:r>
          </w:p>
        </w:tc>
        <w:tc>
          <w:tcPr>
            <w:tcW w:w="1344" w:type="dxa"/>
            <w:shd w:val="clear" w:color="auto" w:fill="auto"/>
            <w:vAlign w:val="center"/>
          </w:tcPr>
          <w:p w14:paraId="228478B5">
            <w:pPr>
              <w:pStyle w:val="28"/>
              <w:rPr>
                <w:rFonts w:hint="default" w:cs="Times New Roman"/>
              </w:rPr>
            </w:pPr>
            <w:r>
              <w:rPr>
                <w:rFonts w:hint="default" w:cs="Times New Roman"/>
              </w:rPr>
              <w:t>≥60%</w:t>
            </w:r>
          </w:p>
        </w:tc>
        <w:tc>
          <w:tcPr>
            <w:tcW w:w="1050" w:type="dxa"/>
            <w:shd w:val="clear" w:color="auto" w:fill="auto"/>
            <w:vAlign w:val="center"/>
          </w:tcPr>
          <w:p w14:paraId="4867B3F7">
            <w:pPr>
              <w:pStyle w:val="28"/>
              <w:rPr>
                <w:rFonts w:hint="default" w:cs="Times New Roman"/>
              </w:rPr>
            </w:pPr>
            <w:r>
              <w:rPr>
                <w:rFonts w:hint="default" w:cs="Times New Roman"/>
              </w:rPr>
              <w:t>不涉及</w:t>
            </w:r>
          </w:p>
        </w:tc>
        <w:tc>
          <w:tcPr>
            <w:tcW w:w="3666" w:type="dxa"/>
            <w:shd w:val="clear" w:color="auto" w:fill="auto"/>
            <w:vAlign w:val="center"/>
          </w:tcPr>
          <w:p w14:paraId="2687F470">
            <w:pPr>
              <w:pStyle w:val="28"/>
              <w:jc w:val="both"/>
              <w:rPr>
                <w:rFonts w:hint="default" w:cs="Times New Roman"/>
              </w:rPr>
            </w:pPr>
            <w:r>
              <w:rPr>
                <w:rFonts w:hint="default" w:cs="Times New Roman"/>
              </w:rPr>
              <w:t>为徐圩新区指标，连云区不涉及该指标</w:t>
            </w:r>
          </w:p>
        </w:tc>
      </w:tr>
      <w:tr w14:paraId="69589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3" w:type="dxa"/>
            <w:shd w:val="clear" w:color="auto" w:fill="auto"/>
            <w:vAlign w:val="center"/>
          </w:tcPr>
          <w:p w14:paraId="13C62720">
            <w:pPr>
              <w:pStyle w:val="28"/>
              <w:numPr>
                <w:ilvl w:val="0"/>
                <w:numId w:val="7"/>
              </w:numPr>
              <w:rPr>
                <w:rFonts w:hint="default" w:cs="Times New Roman"/>
              </w:rPr>
            </w:pPr>
          </w:p>
        </w:tc>
        <w:tc>
          <w:tcPr>
            <w:tcW w:w="2659" w:type="dxa"/>
            <w:shd w:val="clear" w:color="auto" w:fill="auto"/>
            <w:vAlign w:val="center"/>
          </w:tcPr>
          <w:p w14:paraId="1DA3621B">
            <w:pPr>
              <w:pStyle w:val="28"/>
              <w:rPr>
                <w:rFonts w:hint="default" w:cs="Times New Roman"/>
              </w:rPr>
            </w:pPr>
            <w:r>
              <w:rPr>
                <w:rFonts w:hint="default" w:cs="Times New Roman"/>
              </w:rPr>
              <w:t>连云港经济开发区“无废工厂”建设数量※</w:t>
            </w:r>
          </w:p>
        </w:tc>
        <w:tc>
          <w:tcPr>
            <w:tcW w:w="1344" w:type="dxa"/>
            <w:shd w:val="clear" w:color="auto" w:fill="auto"/>
            <w:vAlign w:val="center"/>
          </w:tcPr>
          <w:p w14:paraId="2CEAFA31">
            <w:pPr>
              <w:pStyle w:val="28"/>
              <w:rPr>
                <w:rFonts w:hint="default" w:cs="Times New Roman"/>
              </w:rPr>
            </w:pPr>
            <w:r>
              <w:rPr>
                <w:rFonts w:hint="default" w:cs="Times New Roman"/>
              </w:rPr>
              <w:t>1</w:t>
            </w:r>
          </w:p>
        </w:tc>
        <w:tc>
          <w:tcPr>
            <w:tcW w:w="1050" w:type="dxa"/>
            <w:shd w:val="clear" w:color="auto" w:fill="auto"/>
            <w:vAlign w:val="center"/>
          </w:tcPr>
          <w:p w14:paraId="60A7397B">
            <w:pPr>
              <w:pStyle w:val="28"/>
              <w:rPr>
                <w:rFonts w:hint="default" w:cs="Times New Roman"/>
              </w:rPr>
            </w:pPr>
            <w:r>
              <w:rPr>
                <w:rFonts w:hint="default" w:cs="Times New Roman"/>
              </w:rPr>
              <w:t>不涉及</w:t>
            </w:r>
          </w:p>
        </w:tc>
        <w:tc>
          <w:tcPr>
            <w:tcW w:w="3666" w:type="dxa"/>
            <w:shd w:val="clear" w:color="auto" w:fill="auto"/>
            <w:vAlign w:val="center"/>
          </w:tcPr>
          <w:p w14:paraId="08813FA0">
            <w:pPr>
              <w:pStyle w:val="28"/>
              <w:jc w:val="both"/>
              <w:rPr>
                <w:rFonts w:hint="default" w:cs="Times New Roman"/>
              </w:rPr>
            </w:pPr>
            <w:r>
              <w:rPr>
                <w:rFonts w:hint="default" w:cs="Times New Roman"/>
              </w:rPr>
              <w:t>为连云港经济开发区指标，连云区不涉及该指标</w:t>
            </w:r>
          </w:p>
        </w:tc>
      </w:tr>
      <w:tr w14:paraId="2A91B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3" w:type="dxa"/>
            <w:shd w:val="clear" w:color="auto" w:fill="auto"/>
            <w:vAlign w:val="center"/>
          </w:tcPr>
          <w:p w14:paraId="18C1B6A1">
            <w:pPr>
              <w:pStyle w:val="28"/>
              <w:numPr>
                <w:ilvl w:val="0"/>
                <w:numId w:val="7"/>
              </w:numPr>
              <w:rPr>
                <w:rFonts w:hint="default" w:cs="Times New Roman"/>
              </w:rPr>
            </w:pPr>
          </w:p>
        </w:tc>
        <w:tc>
          <w:tcPr>
            <w:tcW w:w="2659" w:type="dxa"/>
            <w:shd w:val="clear" w:color="auto" w:fill="auto"/>
            <w:vAlign w:val="center"/>
          </w:tcPr>
          <w:p w14:paraId="183CCAED">
            <w:pPr>
              <w:pStyle w:val="28"/>
              <w:rPr>
                <w:rFonts w:hint="default" w:cs="Times New Roman"/>
              </w:rPr>
            </w:pPr>
            <w:r>
              <w:rPr>
                <w:rFonts w:hint="default" w:cs="Times New Roman"/>
              </w:rPr>
              <w:t>生活垃圾焚烧处理能力占比★</w:t>
            </w:r>
          </w:p>
        </w:tc>
        <w:tc>
          <w:tcPr>
            <w:tcW w:w="1344" w:type="dxa"/>
            <w:shd w:val="clear" w:color="auto" w:fill="auto"/>
            <w:vAlign w:val="center"/>
          </w:tcPr>
          <w:p w14:paraId="1158A69B">
            <w:pPr>
              <w:pStyle w:val="28"/>
              <w:rPr>
                <w:rFonts w:hint="default" w:cs="Times New Roman"/>
              </w:rPr>
            </w:pPr>
            <w:r>
              <w:rPr>
                <w:rFonts w:hint="default" w:cs="Times New Roman"/>
              </w:rPr>
              <w:t>适度富余</w:t>
            </w:r>
          </w:p>
        </w:tc>
        <w:tc>
          <w:tcPr>
            <w:tcW w:w="1050" w:type="dxa"/>
            <w:shd w:val="clear" w:color="auto" w:fill="auto"/>
            <w:vAlign w:val="center"/>
          </w:tcPr>
          <w:p w14:paraId="5594D988">
            <w:pPr>
              <w:pStyle w:val="28"/>
              <w:rPr>
                <w:rFonts w:hint="default" w:cs="Times New Roman"/>
              </w:rPr>
            </w:pPr>
            <w:r>
              <w:rPr>
                <w:rFonts w:hint="default" w:cs="Times New Roman"/>
              </w:rPr>
              <w:t>不涉及</w:t>
            </w:r>
          </w:p>
        </w:tc>
        <w:tc>
          <w:tcPr>
            <w:tcW w:w="3666" w:type="dxa"/>
            <w:shd w:val="clear" w:color="auto" w:fill="auto"/>
            <w:vAlign w:val="center"/>
          </w:tcPr>
          <w:p w14:paraId="75E6B1D7">
            <w:pPr>
              <w:pStyle w:val="28"/>
              <w:jc w:val="both"/>
              <w:rPr>
                <w:rFonts w:hint="default" w:cs="Times New Roman"/>
              </w:rPr>
            </w:pPr>
            <w:r>
              <w:rPr>
                <w:rFonts w:hint="default" w:cs="Times New Roman"/>
              </w:rPr>
              <w:t>连云区生活垃圾均送往连云港市的垃圾焚烧厂处置，无生活垃圾焚烧设施，不涉及该指标</w:t>
            </w:r>
          </w:p>
        </w:tc>
      </w:tr>
      <w:tr w14:paraId="1E758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3" w:type="dxa"/>
            <w:shd w:val="clear" w:color="auto" w:fill="auto"/>
            <w:vAlign w:val="center"/>
          </w:tcPr>
          <w:p w14:paraId="2229949E">
            <w:pPr>
              <w:pStyle w:val="28"/>
              <w:numPr>
                <w:ilvl w:val="0"/>
                <w:numId w:val="7"/>
              </w:numPr>
              <w:rPr>
                <w:rFonts w:hint="default" w:cs="Times New Roman"/>
              </w:rPr>
            </w:pPr>
          </w:p>
        </w:tc>
        <w:tc>
          <w:tcPr>
            <w:tcW w:w="2659" w:type="dxa"/>
            <w:shd w:val="clear" w:color="auto" w:fill="auto"/>
            <w:vAlign w:val="center"/>
          </w:tcPr>
          <w:p w14:paraId="4D269535">
            <w:pPr>
              <w:pStyle w:val="28"/>
              <w:rPr>
                <w:rFonts w:hint="default" w:cs="Times New Roman"/>
              </w:rPr>
            </w:pPr>
            <w:r>
              <w:rPr>
                <w:rFonts w:hint="default" w:cs="Times New Roman"/>
              </w:rPr>
              <w:t>生活垃圾焚烧飞灰利用处置率★</w:t>
            </w:r>
          </w:p>
        </w:tc>
        <w:tc>
          <w:tcPr>
            <w:tcW w:w="1344" w:type="dxa"/>
            <w:shd w:val="clear" w:color="auto" w:fill="auto"/>
            <w:vAlign w:val="center"/>
          </w:tcPr>
          <w:p w14:paraId="3C3FC99B">
            <w:pPr>
              <w:pStyle w:val="28"/>
              <w:rPr>
                <w:rFonts w:hint="default" w:cs="Times New Roman"/>
              </w:rPr>
            </w:pPr>
            <w:r>
              <w:rPr>
                <w:rFonts w:hint="default" w:cs="Times New Roman"/>
              </w:rPr>
              <w:t>100%</w:t>
            </w:r>
          </w:p>
        </w:tc>
        <w:tc>
          <w:tcPr>
            <w:tcW w:w="1050" w:type="dxa"/>
            <w:shd w:val="clear" w:color="auto" w:fill="auto"/>
            <w:vAlign w:val="center"/>
          </w:tcPr>
          <w:p w14:paraId="78D96626">
            <w:pPr>
              <w:pStyle w:val="28"/>
              <w:rPr>
                <w:rFonts w:hint="default" w:cs="Times New Roman"/>
              </w:rPr>
            </w:pPr>
            <w:r>
              <w:rPr>
                <w:rFonts w:hint="default" w:cs="Times New Roman"/>
              </w:rPr>
              <w:t>不涉及</w:t>
            </w:r>
          </w:p>
        </w:tc>
        <w:tc>
          <w:tcPr>
            <w:tcW w:w="3666" w:type="dxa"/>
            <w:shd w:val="clear" w:color="auto" w:fill="auto"/>
            <w:vAlign w:val="center"/>
          </w:tcPr>
          <w:p w14:paraId="3A628511">
            <w:pPr>
              <w:pStyle w:val="28"/>
              <w:jc w:val="both"/>
              <w:rPr>
                <w:rFonts w:hint="default" w:cs="Times New Roman"/>
              </w:rPr>
            </w:pPr>
            <w:r>
              <w:rPr>
                <w:rFonts w:hint="default" w:cs="Times New Roman"/>
              </w:rPr>
              <w:t>连云区无生活垃圾焚烧设施，不涉及该指标</w:t>
            </w:r>
          </w:p>
        </w:tc>
      </w:tr>
      <w:tr w14:paraId="05BA9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3" w:type="dxa"/>
            <w:shd w:val="clear" w:color="auto" w:fill="auto"/>
            <w:vAlign w:val="center"/>
          </w:tcPr>
          <w:p w14:paraId="23806D95">
            <w:pPr>
              <w:pStyle w:val="28"/>
              <w:numPr>
                <w:ilvl w:val="0"/>
                <w:numId w:val="7"/>
              </w:numPr>
              <w:rPr>
                <w:rFonts w:hint="default" w:cs="Times New Roman"/>
              </w:rPr>
            </w:pPr>
          </w:p>
        </w:tc>
        <w:tc>
          <w:tcPr>
            <w:tcW w:w="2659" w:type="dxa"/>
            <w:shd w:val="clear" w:color="auto" w:fill="auto"/>
            <w:vAlign w:val="center"/>
          </w:tcPr>
          <w:p w14:paraId="19CFBA70">
            <w:pPr>
              <w:pStyle w:val="28"/>
              <w:rPr>
                <w:rFonts w:hint="default" w:cs="Times New Roman"/>
              </w:rPr>
            </w:pPr>
            <w:r>
              <w:rPr>
                <w:rFonts w:hint="default" w:cs="Times New Roman"/>
              </w:rPr>
              <w:t>病死畜禽集中无害化处理率☆</w:t>
            </w:r>
          </w:p>
        </w:tc>
        <w:tc>
          <w:tcPr>
            <w:tcW w:w="1344" w:type="dxa"/>
            <w:shd w:val="clear" w:color="auto" w:fill="auto"/>
            <w:vAlign w:val="center"/>
          </w:tcPr>
          <w:p w14:paraId="60A0C003">
            <w:pPr>
              <w:pStyle w:val="28"/>
              <w:rPr>
                <w:rFonts w:hint="default" w:cs="Times New Roman"/>
              </w:rPr>
            </w:pPr>
            <w:r>
              <w:rPr>
                <w:rFonts w:hint="default" w:cs="Times New Roman"/>
              </w:rPr>
              <w:t>100%</w:t>
            </w:r>
          </w:p>
        </w:tc>
        <w:tc>
          <w:tcPr>
            <w:tcW w:w="1050" w:type="dxa"/>
            <w:shd w:val="clear" w:color="auto" w:fill="auto"/>
            <w:vAlign w:val="center"/>
          </w:tcPr>
          <w:p w14:paraId="7EC317A1">
            <w:pPr>
              <w:pStyle w:val="28"/>
              <w:rPr>
                <w:rFonts w:hint="default" w:cs="Times New Roman"/>
              </w:rPr>
            </w:pPr>
            <w:r>
              <w:rPr>
                <w:rFonts w:hint="default" w:cs="Times New Roman"/>
              </w:rPr>
              <w:t>不涉及</w:t>
            </w:r>
          </w:p>
        </w:tc>
        <w:tc>
          <w:tcPr>
            <w:tcW w:w="3666" w:type="dxa"/>
            <w:shd w:val="clear" w:color="auto" w:fill="auto"/>
            <w:vAlign w:val="center"/>
          </w:tcPr>
          <w:p w14:paraId="57A11CF4">
            <w:pPr>
              <w:pStyle w:val="28"/>
              <w:jc w:val="both"/>
              <w:rPr>
                <w:rFonts w:hint="default" w:cs="Times New Roman"/>
              </w:rPr>
            </w:pPr>
            <w:r>
              <w:rPr>
                <w:rFonts w:hint="default" w:cs="Times New Roman"/>
              </w:rPr>
              <w:t>连云区为畜禽禁养区，不涉及该指标</w:t>
            </w:r>
          </w:p>
        </w:tc>
      </w:tr>
      <w:tr w14:paraId="6654F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3" w:type="dxa"/>
            <w:shd w:val="clear" w:color="auto" w:fill="auto"/>
            <w:vAlign w:val="center"/>
          </w:tcPr>
          <w:p w14:paraId="0A4C91D2">
            <w:pPr>
              <w:pStyle w:val="28"/>
              <w:numPr>
                <w:ilvl w:val="0"/>
                <w:numId w:val="7"/>
              </w:numPr>
              <w:rPr>
                <w:rFonts w:hint="default" w:cs="Times New Roman"/>
              </w:rPr>
            </w:pPr>
          </w:p>
        </w:tc>
        <w:tc>
          <w:tcPr>
            <w:tcW w:w="2659" w:type="dxa"/>
            <w:shd w:val="clear" w:color="auto" w:fill="auto"/>
            <w:vAlign w:val="center"/>
          </w:tcPr>
          <w:p w14:paraId="2C1EF27A">
            <w:pPr>
              <w:pStyle w:val="28"/>
              <w:rPr>
                <w:rFonts w:hint="default" w:cs="Times New Roman"/>
              </w:rPr>
            </w:pPr>
            <w:r>
              <w:rPr>
                <w:rFonts w:hint="default" w:cs="Times New Roman"/>
              </w:rPr>
              <w:t>畜禽粪污综合利用率★</w:t>
            </w:r>
          </w:p>
        </w:tc>
        <w:tc>
          <w:tcPr>
            <w:tcW w:w="1344" w:type="dxa"/>
            <w:shd w:val="clear" w:color="auto" w:fill="auto"/>
            <w:vAlign w:val="center"/>
          </w:tcPr>
          <w:p w14:paraId="465FDD0C">
            <w:pPr>
              <w:pStyle w:val="28"/>
              <w:rPr>
                <w:rFonts w:hint="default" w:cs="Times New Roman"/>
              </w:rPr>
            </w:pPr>
            <w:r>
              <w:rPr>
                <w:rFonts w:hint="default" w:cs="Times New Roman"/>
              </w:rPr>
              <w:t>97%</w:t>
            </w:r>
          </w:p>
        </w:tc>
        <w:tc>
          <w:tcPr>
            <w:tcW w:w="1050" w:type="dxa"/>
            <w:shd w:val="clear" w:color="auto" w:fill="auto"/>
            <w:vAlign w:val="center"/>
          </w:tcPr>
          <w:p w14:paraId="1CB1F5DB">
            <w:pPr>
              <w:pStyle w:val="28"/>
              <w:rPr>
                <w:rFonts w:hint="default" w:cs="Times New Roman"/>
              </w:rPr>
            </w:pPr>
            <w:r>
              <w:rPr>
                <w:rFonts w:hint="default" w:cs="Times New Roman"/>
              </w:rPr>
              <w:t>不涉及</w:t>
            </w:r>
          </w:p>
        </w:tc>
        <w:tc>
          <w:tcPr>
            <w:tcW w:w="3666" w:type="dxa"/>
            <w:shd w:val="clear" w:color="auto" w:fill="auto"/>
            <w:vAlign w:val="center"/>
          </w:tcPr>
          <w:p w14:paraId="7B956AE9">
            <w:pPr>
              <w:pStyle w:val="28"/>
              <w:jc w:val="both"/>
              <w:rPr>
                <w:rFonts w:hint="default" w:cs="Times New Roman"/>
              </w:rPr>
            </w:pPr>
            <w:r>
              <w:rPr>
                <w:rFonts w:hint="default" w:cs="Times New Roman"/>
              </w:rPr>
              <w:t>连云区为畜禽禁养区，不涉及该指标</w:t>
            </w:r>
          </w:p>
        </w:tc>
      </w:tr>
      <w:tr w14:paraId="5D95E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3" w:type="dxa"/>
            <w:shd w:val="clear" w:color="auto" w:fill="auto"/>
            <w:vAlign w:val="center"/>
          </w:tcPr>
          <w:p w14:paraId="15EC8A99">
            <w:pPr>
              <w:pStyle w:val="28"/>
              <w:numPr>
                <w:ilvl w:val="0"/>
                <w:numId w:val="7"/>
              </w:numPr>
              <w:rPr>
                <w:rFonts w:hint="default" w:cs="Times New Roman"/>
              </w:rPr>
            </w:pPr>
          </w:p>
        </w:tc>
        <w:tc>
          <w:tcPr>
            <w:tcW w:w="2659" w:type="dxa"/>
            <w:shd w:val="clear" w:color="auto" w:fill="auto"/>
            <w:vAlign w:val="center"/>
          </w:tcPr>
          <w:p w14:paraId="2EC1CCE8">
            <w:pPr>
              <w:pStyle w:val="28"/>
              <w:rPr>
                <w:rFonts w:hint="default" w:cs="Times New Roman"/>
              </w:rPr>
            </w:pPr>
            <w:r>
              <w:rPr>
                <w:rFonts w:hint="default" w:cs="Times New Roman"/>
              </w:rPr>
              <w:t>大型畜禽粪污资源化中心※</w:t>
            </w:r>
          </w:p>
        </w:tc>
        <w:tc>
          <w:tcPr>
            <w:tcW w:w="1344" w:type="dxa"/>
            <w:shd w:val="clear" w:color="auto" w:fill="auto"/>
            <w:vAlign w:val="center"/>
          </w:tcPr>
          <w:p w14:paraId="73BCE2F7">
            <w:pPr>
              <w:pStyle w:val="28"/>
              <w:rPr>
                <w:rFonts w:hint="default" w:cs="Times New Roman"/>
              </w:rPr>
            </w:pPr>
            <w:r>
              <w:rPr>
                <w:rFonts w:hint="default" w:cs="Times New Roman"/>
              </w:rPr>
              <w:t>3个</w:t>
            </w:r>
          </w:p>
        </w:tc>
        <w:tc>
          <w:tcPr>
            <w:tcW w:w="1050" w:type="dxa"/>
            <w:shd w:val="clear" w:color="auto" w:fill="auto"/>
            <w:vAlign w:val="center"/>
          </w:tcPr>
          <w:p w14:paraId="56B8692F">
            <w:pPr>
              <w:pStyle w:val="28"/>
              <w:rPr>
                <w:rFonts w:hint="default" w:cs="Times New Roman"/>
              </w:rPr>
            </w:pPr>
            <w:r>
              <w:rPr>
                <w:rFonts w:hint="default" w:cs="Times New Roman"/>
              </w:rPr>
              <w:t>不涉及</w:t>
            </w:r>
          </w:p>
        </w:tc>
        <w:tc>
          <w:tcPr>
            <w:tcW w:w="3666" w:type="dxa"/>
            <w:shd w:val="clear" w:color="auto" w:fill="auto"/>
            <w:vAlign w:val="center"/>
          </w:tcPr>
          <w:p w14:paraId="62935F96">
            <w:pPr>
              <w:pStyle w:val="28"/>
              <w:jc w:val="both"/>
              <w:rPr>
                <w:rFonts w:hint="default" w:cs="Times New Roman"/>
              </w:rPr>
            </w:pPr>
            <w:r>
              <w:rPr>
                <w:rFonts w:hint="default" w:cs="Times New Roman"/>
              </w:rPr>
              <w:t>连云区为畜禽禁养区，不涉及该指标</w:t>
            </w:r>
          </w:p>
        </w:tc>
      </w:tr>
      <w:tr w14:paraId="356BB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3" w:type="dxa"/>
            <w:shd w:val="clear" w:color="auto" w:fill="auto"/>
            <w:vAlign w:val="center"/>
          </w:tcPr>
          <w:p w14:paraId="6981369E">
            <w:pPr>
              <w:pStyle w:val="28"/>
              <w:numPr>
                <w:ilvl w:val="0"/>
                <w:numId w:val="7"/>
              </w:numPr>
              <w:rPr>
                <w:rFonts w:hint="default" w:cs="Times New Roman"/>
              </w:rPr>
            </w:pPr>
          </w:p>
        </w:tc>
        <w:tc>
          <w:tcPr>
            <w:tcW w:w="2659" w:type="dxa"/>
            <w:shd w:val="clear" w:color="auto" w:fill="auto"/>
            <w:vAlign w:val="center"/>
          </w:tcPr>
          <w:p w14:paraId="75711923">
            <w:pPr>
              <w:pStyle w:val="28"/>
              <w:rPr>
                <w:rFonts w:hint="default" w:cs="Times New Roman"/>
              </w:rPr>
            </w:pPr>
            <w:r>
              <w:rPr>
                <w:rFonts w:hint="default" w:cs="Times New Roman"/>
              </w:rPr>
              <w:t>废旧农膜回收率★</w:t>
            </w:r>
          </w:p>
        </w:tc>
        <w:tc>
          <w:tcPr>
            <w:tcW w:w="1344" w:type="dxa"/>
            <w:shd w:val="clear" w:color="auto" w:fill="auto"/>
            <w:vAlign w:val="center"/>
          </w:tcPr>
          <w:p w14:paraId="2B0E8BBF">
            <w:pPr>
              <w:pStyle w:val="28"/>
              <w:rPr>
                <w:rFonts w:hint="default" w:cs="Times New Roman"/>
              </w:rPr>
            </w:pPr>
            <w:r>
              <w:rPr>
                <w:rFonts w:hint="default" w:cs="Times New Roman"/>
              </w:rPr>
              <w:t>＞95%</w:t>
            </w:r>
          </w:p>
        </w:tc>
        <w:tc>
          <w:tcPr>
            <w:tcW w:w="1050" w:type="dxa"/>
            <w:shd w:val="clear" w:color="auto" w:fill="auto"/>
            <w:vAlign w:val="center"/>
          </w:tcPr>
          <w:p w14:paraId="731BFF36">
            <w:pPr>
              <w:pStyle w:val="28"/>
              <w:rPr>
                <w:rFonts w:hint="default" w:cs="Times New Roman"/>
              </w:rPr>
            </w:pPr>
            <w:r>
              <w:rPr>
                <w:rFonts w:hint="default" w:cs="Times New Roman"/>
              </w:rPr>
              <w:t>不涉及</w:t>
            </w:r>
          </w:p>
        </w:tc>
        <w:tc>
          <w:tcPr>
            <w:tcW w:w="3666" w:type="dxa"/>
            <w:shd w:val="clear" w:color="auto" w:fill="auto"/>
            <w:vAlign w:val="center"/>
          </w:tcPr>
          <w:p w14:paraId="2B5E4C92">
            <w:pPr>
              <w:pStyle w:val="28"/>
              <w:jc w:val="both"/>
              <w:rPr>
                <w:rFonts w:hint="default" w:cs="Times New Roman"/>
              </w:rPr>
            </w:pPr>
            <w:r>
              <w:rPr>
                <w:rFonts w:hint="default" w:cs="Times New Roman"/>
              </w:rPr>
              <w:t>连云区为非涉农县区，农业种植较少，且主要为小麦、水稻、玉米，不使用农膜，不涉及该指标</w:t>
            </w:r>
          </w:p>
        </w:tc>
      </w:tr>
      <w:tr w14:paraId="31FE2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3" w:type="dxa"/>
            <w:shd w:val="clear" w:color="auto" w:fill="auto"/>
            <w:vAlign w:val="center"/>
          </w:tcPr>
          <w:p w14:paraId="39F1CCBC">
            <w:pPr>
              <w:pStyle w:val="28"/>
              <w:numPr>
                <w:ilvl w:val="0"/>
                <w:numId w:val="7"/>
              </w:numPr>
              <w:rPr>
                <w:rFonts w:hint="default" w:cs="Times New Roman"/>
              </w:rPr>
            </w:pPr>
          </w:p>
        </w:tc>
        <w:tc>
          <w:tcPr>
            <w:tcW w:w="2659" w:type="dxa"/>
            <w:shd w:val="clear" w:color="auto" w:fill="auto"/>
            <w:vAlign w:val="center"/>
          </w:tcPr>
          <w:p w14:paraId="130591FD">
            <w:pPr>
              <w:pStyle w:val="28"/>
              <w:rPr>
                <w:rFonts w:hint="default" w:cs="Times New Roman"/>
              </w:rPr>
            </w:pPr>
            <w:r>
              <w:rPr>
                <w:rFonts w:hint="default" w:cs="Times New Roman"/>
              </w:rPr>
              <w:t>秸秆离田率☆</w:t>
            </w:r>
          </w:p>
        </w:tc>
        <w:tc>
          <w:tcPr>
            <w:tcW w:w="1344" w:type="dxa"/>
            <w:shd w:val="clear" w:color="auto" w:fill="auto"/>
            <w:vAlign w:val="center"/>
          </w:tcPr>
          <w:p w14:paraId="06660E6D">
            <w:pPr>
              <w:pStyle w:val="28"/>
              <w:rPr>
                <w:rFonts w:hint="default" w:cs="Times New Roman"/>
              </w:rPr>
            </w:pPr>
            <w:r>
              <w:rPr>
                <w:rFonts w:hint="default" w:cs="Times New Roman"/>
              </w:rPr>
              <w:t>22%</w:t>
            </w:r>
          </w:p>
        </w:tc>
        <w:tc>
          <w:tcPr>
            <w:tcW w:w="1050" w:type="dxa"/>
            <w:shd w:val="clear" w:color="auto" w:fill="auto"/>
            <w:vAlign w:val="center"/>
          </w:tcPr>
          <w:p w14:paraId="1538395A">
            <w:pPr>
              <w:pStyle w:val="28"/>
              <w:rPr>
                <w:rFonts w:hint="default" w:cs="Times New Roman"/>
              </w:rPr>
            </w:pPr>
            <w:r>
              <w:rPr>
                <w:rFonts w:hint="default" w:cs="Times New Roman"/>
              </w:rPr>
              <w:t>不涉及</w:t>
            </w:r>
          </w:p>
        </w:tc>
        <w:tc>
          <w:tcPr>
            <w:tcW w:w="3666" w:type="dxa"/>
            <w:shd w:val="clear" w:color="auto" w:fill="auto"/>
            <w:vAlign w:val="center"/>
          </w:tcPr>
          <w:p w14:paraId="4DA16021">
            <w:pPr>
              <w:pStyle w:val="28"/>
              <w:jc w:val="both"/>
              <w:rPr>
                <w:rFonts w:hint="default" w:cs="Times New Roman"/>
              </w:rPr>
            </w:pPr>
            <w:r>
              <w:rPr>
                <w:rFonts w:hint="default" w:cs="Times New Roman"/>
              </w:rPr>
              <w:t>连云区为非涉农县区，未承担秸秆离田任务，不涉及该指标</w:t>
            </w:r>
          </w:p>
        </w:tc>
      </w:tr>
      <w:tr w14:paraId="70F35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3" w:type="dxa"/>
            <w:shd w:val="clear" w:color="auto" w:fill="auto"/>
            <w:vAlign w:val="center"/>
          </w:tcPr>
          <w:p w14:paraId="16F23B9E">
            <w:pPr>
              <w:pStyle w:val="28"/>
              <w:numPr>
                <w:ilvl w:val="0"/>
                <w:numId w:val="7"/>
              </w:numPr>
              <w:rPr>
                <w:rFonts w:hint="default" w:cs="Times New Roman"/>
              </w:rPr>
            </w:pPr>
          </w:p>
        </w:tc>
        <w:tc>
          <w:tcPr>
            <w:tcW w:w="2659" w:type="dxa"/>
            <w:shd w:val="clear" w:color="auto" w:fill="auto"/>
            <w:vAlign w:val="center"/>
          </w:tcPr>
          <w:p w14:paraId="18572F07">
            <w:pPr>
              <w:pStyle w:val="28"/>
              <w:rPr>
                <w:rFonts w:hint="default" w:cs="Times New Roman"/>
              </w:rPr>
            </w:pPr>
            <w:r>
              <w:rPr>
                <w:rFonts w:hint="default" w:cs="Times New Roman"/>
              </w:rPr>
              <w:t>工程渣土消纳场所规范设置率★</w:t>
            </w:r>
          </w:p>
        </w:tc>
        <w:tc>
          <w:tcPr>
            <w:tcW w:w="1344" w:type="dxa"/>
            <w:shd w:val="clear" w:color="auto" w:fill="auto"/>
            <w:vAlign w:val="center"/>
          </w:tcPr>
          <w:p w14:paraId="7DFF30EB">
            <w:pPr>
              <w:pStyle w:val="28"/>
              <w:rPr>
                <w:rFonts w:hint="default" w:cs="Times New Roman"/>
              </w:rPr>
            </w:pPr>
            <w:r>
              <w:rPr>
                <w:rFonts w:hint="default" w:cs="Times New Roman"/>
              </w:rPr>
              <w:t>100%</w:t>
            </w:r>
          </w:p>
        </w:tc>
        <w:tc>
          <w:tcPr>
            <w:tcW w:w="1050" w:type="dxa"/>
            <w:shd w:val="clear" w:color="auto" w:fill="auto"/>
            <w:vAlign w:val="center"/>
          </w:tcPr>
          <w:p w14:paraId="248A3F5A">
            <w:pPr>
              <w:pStyle w:val="28"/>
              <w:rPr>
                <w:rFonts w:hint="default" w:cs="Times New Roman"/>
              </w:rPr>
            </w:pPr>
            <w:r>
              <w:rPr>
                <w:rFonts w:hint="default" w:cs="Times New Roman"/>
              </w:rPr>
              <w:t>不涉及</w:t>
            </w:r>
          </w:p>
        </w:tc>
        <w:tc>
          <w:tcPr>
            <w:tcW w:w="3666" w:type="dxa"/>
            <w:shd w:val="clear" w:color="auto" w:fill="auto"/>
            <w:vAlign w:val="center"/>
          </w:tcPr>
          <w:p w14:paraId="750832DD">
            <w:pPr>
              <w:pStyle w:val="28"/>
              <w:jc w:val="both"/>
              <w:rPr>
                <w:rFonts w:hint="default" w:cs="Times New Roman"/>
              </w:rPr>
            </w:pPr>
            <w:r>
              <w:rPr>
                <w:rFonts w:hint="default" w:cs="Times New Roman"/>
              </w:rPr>
              <w:t>连云区无渣土消纳场所，不涉及该指标</w:t>
            </w:r>
          </w:p>
        </w:tc>
      </w:tr>
      <w:tr w14:paraId="7CC17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3" w:type="dxa"/>
            <w:shd w:val="clear" w:color="auto" w:fill="auto"/>
            <w:vAlign w:val="center"/>
          </w:tcPr>
          <w:p w14:paraId="6192D7F8">
            <w:pPr>
              <w:pStyle w:val="28"/>
              <w:numPr>
                <w:ilvl w:val="0"/>
                <w:numId w:val="7"/>
              </w:numPr>
              <w:rPr>
                <w:rFonts w:hint="default" w:cs="Times New Roman"/>
              </w:rPr>
            </w:pPr>
          </w:p>
        </w:tc>
        <w:tc>
          <w:tcPr>
            <w:tcW w:w="2659" w:type="dxa"/>
            <w:shd w:val="clear" w:color="auto" w:fill="auto"/>
            <w:vAlign w:val="center"/>
          </w:tcPr>
          <w:p w14:paraId="6AB267D5">
            <w:pPr>
              <w:pStyle w:val="28"/>
              <w:rPr>
                <w:rFonts w:hint="default" w:cs="Times New Roman"/>
              </w:rPr>
            </w:pPr>
            <w:r>
              <w:t>报废机动车回收体系覆盖率※</w:t>
            </w:r>
          </w:p>
        </w:tc>
        <w:tc>
          <w:tcPr>
            <w:tcW w:w="1344" w:type="dxa"/>
            <w:shd w:val="clear" w:color="auto" w:fill="auto"/>
            <w:vAlign w:val="center"/>
          </w:tcPr>
          <w:p w14:paraId="69B40CE5">
            <w:pPr>
              <w:pStyle w:val="28"/>
              <w:rPr>
                <w:rFonts w:hint="default" w:cs="Times New Roman"/>
              </w:rPr>
            </w:pPr>
            <w:r>
              <w:rPr>
                <w:rFonts w:cs="Times New Roman"/>
              </w:rPr>
              <w:t>100%</w:t>
            </w:r>
          </w:p>
        </w:tc>
        <w:tc>
          <w:tcPr>
            <w:tcW w:w="1050" w:type="dxa"/>
            <w:shd w:val="clear" w:color="auto" w:fill="auto"/>
            <w:vAlign w:val="center"/>
          </w:tcPr>
          <w:p w14:paraId="47225EDD">
            <w:pPr>
              <w:pStyle w:val="28"/>
              <w:rPr>
                <w:rFonts w:hint="default" w:cs="Times New Roman"/>
              </w:rPr>
            </w:pPr>
            <w:r>
              <w:rPr>
                <w:rFonts w:hint="default" w:cs="Times New Roman"/>
              </w:rPr>
              <w:t>不涉及</w:t>
            </w:r>
          </w:p>
        </w:tc>
        <w:tc>
          <w:tcPr>
            <w:tcW w:w="3666" w:type="dxa"/>
            <w:shd w:val="clear" w:color="auto" w:fill="auto"/>
            <w:vAlign w:val="center"/>
          </w:tcPr>
          <w:p w14:paraId="54DA3E94">
            <w:pPr>
              <w:pStyle w:val="28"/>
              <w:jc w:val="both"/>
              <w:rPr>
                <w:rFonts w:hint="default" w:cs="Times New Roman"/>
              </w:rPr>
            </w:pPr>
            <w:r>
              <w:rPr>
                <w:rFonts w:cs="Times New Roman"/>
              </w:rPr>
              <w:t>连云区无报废机动车产生单位，不涉及该指标</w:t>
            </w:r>
          </w:p>
        </w:tc>
      </w:tr>
      <w:tr w14:paraId="1D41D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3" w:type="dxa"/>
            <w:shd w:val="clear" w:color="auto" w:fill="auto"/>
            <w:vAlign w:val="center"/>
          </w:tcPr>
          <w:p w14:paraId="76C0570F">
            <w:pPr>
              <w:pStyle w:val="28"/>
              <w:numPr>
                <w:ilvl w:val="0"/>
                <w:numId w:val="7"/>
              </w:numPr>
              <w:rPr>
                <w:rFonts w:hint="default" w:cs="Times New Roman"/>
              </w:rPr>
            </w:pPr>
          </w:p>
        </w:tc>
        <w:tc>
          <w:tcPr>
            <w:tcW w:w="2659" w:type="dxa"/>
            <w:shd w:val="clear" w:color="auto" w:fill="auto"/>
            <w:vAlign w:val="center"/>
          </w:tcPr>
          <w:p w14:paraId="1579F7AE">
            <w:pPr>
              <w:pStyle w:val="28"/>
              <w:rPr>
                <w:rFonts w:hint="default" w:cs="Times New Roman"/>
              </w:rPr>
            </w:pPr>
            <w:r>
              <w:rPr>
                <w:rFonts w:hint="default" w:cs="Times New Roman"/>
              </w:rPr>
              <w:t>绿色优质农产品比重☆</w:t>
            </w:r>
          </w:p>
        </w:tc>
        <w:tc>
          <w:tcPr>
            <w:tcW w:w="1344" w:type="dxa"/>
            <w:shd w:val="clear" w:color="auto" w:fill="auto"/>
            <w:vAlign w:val="center"/>
          </w:tcPr>
          <w:p w14:paraId="05164F7E">
            <w:pPr>
              <w:pStyle w:val="28"/>
              <w:rPr>
                <w:rFonts w:hint="default" w:cs="Times New Roman"/>
              </w:rPr>
            </w:pPr>
            <w:r>
              <w:rPr>
                <w:rFonts w:hint="default" w:cs="Times New Roman"/>
              </w:rPr>
              <w:t>80%</w:t>
            </w:r>
          </w:p>
        </w:tc>
        <w:tc>
          <w:tcPr>
            <w:tcW w:w="1050" w:type="dxa"/>
            <w:shd w:val="clear" w:color="auto" w:fill="auto"/>
            <w:vAlign w:val="center"/>
          </w:tcPr>
          <w:p w14:paraId="293484A5">
            <w:pPr>
              <w:pStyle w:val="28"/>
              <w:rPr>
                <w:rFonts w:hint="default" w:cs="Times New Roman"/>
              </w:rPr>
            </w:pPr>
            <w:r>
              <w:rPr>
                <w:rFonts w:hint="default" w:cs="Times New Roman"/>
              </w:rPr>
              <w:t>75%</w:t>
            </w:r>
          </w:p>
        </w:tc>
        <w:tc>
          <w:tcPr>
            <w:tcW w:w="3666" w:type="dxa"/>
            <w:shd w:val="clear" w:color="auto" w:fill="auto"/>
            <w:vAlign w:val="center"/>
          </w:tcPr>
          <w:p w14:paraId="7958336F">
            <w:pPr>
              <w:pStyle w:val="28"/>
              <w:jc w:val="both"/>
              <w:rPr>
                <w:rFonts w:hint="default" w:cs="Times New Roman"/>
              </w:rPr>
            </w:pPr>
            <w:r>
              <w:rPr>
                <w:rFonts w:hint="default" w:cs="Times New Roman"/>
              </w:rPr>
              <w:t>连云区为非涉农县区，对连云港市达到该指标目标影响较小。连云港市对连云区的要求为2025年达75%</w:t>
            </w:r>
          </w:p>
        </w:tc>
      </w:tr>
      <w:tr w14:paraId="1A41D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3" w:type="dxa"/>
            <w:shd w:val="clear" w:color="auto" w:fill="auto"/>
            <w:vAlign w:val="center"/>
          </w:tcPr>
          <w:p w14:paraId="43EE4D52">
            <w:pPr>
              <w:pStyle w:val="28"/>
              <w:numPr>
                <w:ilvl w:val="0"/>
                <w:numId w:val="7"/>
              </w:numPr>
              <w:rPr>
                <w:rFonts w:hint="default" w:cs="Times New Roman"/>
              </w:rPr>
            </w:pPr>
          </w:p>
        </w:tc>
        <w:tc>
          <w:tcPr>
            <w:tcW w:w="2659" w:type="dxa"/>
            <w:shd w:val="clear" w:color="auto" w:fill="auto"/>
            <w:vAlign w:val="center"/>
          </w:tcPr>
          <w:p w14:paraId="26804F88">
            <w:pPr>
              <w:pStyle w:val="28"/>
              <w:rPr>
                <w:rFonts w:hint="default" w:cs="Times New Roman"/>
              </w:rPr>
            </w:pPr>
            <w:r>
              <w:rPr>
                <w:rFonts w:hint="default" w:cs="Times New Roman"/>
              </w:rPr>
              <w:t>装配式建筑占新建建筑的比例★</w:t>
            </w:r>
          </w:p>
        </w:tc>
        <w:tc>
          <w:tcPr>
            <w:tcW w:w="1344" w:type="dxa"/>
            <w:shd w:val="clear" w:color="auto" w:fill="auto"/>
            <w:vAlign w:val="center"/>
          </w:tcPr>
          <w:p w14:paraId="6DC317E5">
            <w:pPr>
              <w:pStyle w:val="28"/>
              <w:rPr>
                <w:rFonts w:hint="default" w:cs="Times New Roman"/>
              </w:rPr>
            </w:pPr>
            <w:r>
              <w:rPr>
                <w:rFonts w:hint="default" w:cs="Times New Roman"/>
              </w:rPr>
              <w:t>50%</w:t>
            </w:r>
          </w:p>
        </w:tc>
        <w:tc>
          <w:tcPr>
            <w:tcW w:w="1050" w:type="dxa"/>
            <w:shd w:val="clear" w:color="auto" w:fill="auto"/>
            <w:vAlign w:val="center"/>
          </w:tcPr>
          <w:p w14:paraId="4C0F348A">
            <w:pPr>
              <w:pStyle w:val="28"/>
              <w:rPr>
                <w:rFonts w:hint="default" w:cs="Times New Roman"/>
              </w:rPr>
            </w:pPr>
            <w:r>
              <w:rPr>
                <w:rFonts w:hint="default" w:cs="Times New Roman"/>
              </w:rPr>
              <w:t>/</w:t>
            </w:r>
          </w:p>
        </w:tc>
        <w:tc>
          <w:tcPr>
            <w:tcW w:w="3666" w:type="dxa"/>
            <w:shd w:val="clear" w:color="auto" w:fill="auto"/>
            <w:vAlign w:val="center"/>
          </w:tcPr>
          <w:p w14:paraId="358FDFBF">
            <w:pPr>
              <w:pStyle w:val="28"/>
              <w:jc w:val="both"/>
              <w:rPr>
                <w:rFonts w:hint="default" w:cs="Times New Roman"/>
              </w:rPr>
            </w:pPr>
            <w:r>
              <w:rPr>
                <w:rFonts w:hint="default" w:cs="Times New Roman"/>
              </w:rPr>
              <w:t>连云区建筑在连云港市占比较小，对连云港市达到该指标目标影响较小，且连云港市对连云区的装配式建筑占比不作考核。</w:t>
            </w:r>
          </w:p>
        </w:tc>
      </w:tr>
      <w:tr w14:paraId="438FF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3" w:type="dxa"/>
            <w:shd w:val="clear" w:color="auto" w:fill="auto"/>
            <w:vAlign w:val="center"/>
          </w:tcPr>
          <w:p w14:paraId="5F2B87F0">
            <w:pPr>
              <w:pStyle w:val="28"/>
              <w:numPr>
                <w:ilvl w:val="0"/>
                <w:numId w:val="7"/>
              </w:numPr>
              <w:rPr>
                <w:rFonts w:hint="default" w:cs="Times New Roman"/>
              </w:rPr>
            </w:pPr>
          </w:p>
        </w:tc>
        <w:tc>
          <w:tcPr>
            <w:tcW w:w="2659" w:type="dxa"/>
            <w:shd w:val="clear" w:color="auto" w:fill="auto"/>
            <w:vAlign w:val="center"/>
          </w:tcPr>
          <w:p w14:paraId="0AEB2E08">
            <w:pPr>
              <w:pStyle w:val="28"/>
              <w:rPr>
                <w:rFonts w:hint="default" w:cs="Times New Roman"/>
              </w:rPr>
            </w:pPr>
            <w:r>
              <w:rPr>
                <w:rFonts w:hint="default" w:cs="Times New Roman"/>
              </w:rPr>
              <w:t>工业危险废物综合利用率★</w:t>
            </w:r>
          </w:p>
        </w:tc>
        <w:tc>
          <w:tcPr>
            <w:tcW w:w="1344" w:type="dxa"/>
            <w:shd w:val="clear" w:color="auto" w:fill="auto"/>
            <w:vAlign w:val="center"/>
          </w:tcPr>
          <w:p w14:paraId="32E0196C">
            <w:pPr>
              <w:pStyle w:val="28"/>
              <w:rPr>
                <w:rFonts w:hint="default" w:cs="Times New Roman"/>
              </w:rPr>
            </w:pPr>
            <w:r>
              <w:rPr>
                <w:rFonts w:hint="default" w:cs="Times New Roman"/>
              </w:rPr>
              <w:t>40%</w:t>
            </w:r>
          </w:p>
        </w:tc>
        <w:tc>
          <w:tcPr>
            <w:tcW w:w="1050" w:type="dxa"/>
            <w:shd w:val="clear" w:color="auto" w:fill="auto"/>
            <w:vAlign w:val="center"/>
          </w:tcPr>
          <w:p w14:paraId="2FB7D999">
            <w:pPr>
              <w:pStyle w:val="28"/>
              <w:rPr>
                <w:rFonts w:hint="default" w:cs="Times New Roman"/>
              </w:rPr>
            </w:pPr>
            <w:r>
              <w:rPr>
                <w:rFonts w:hint="default" w:cs="Times New Roman"/>
              </w:rPr>
              <w:t>9%</w:t>
            </w:r>
          </w:p>
        </w:tc>
        <w:tc>
          <w:tcPr>
            <w:tcW w:w="3666" w:type="dxa"/>
            <w:shd w:val="clear" w:color="auto" w:fill="auto"/>
            <w:vAlign w:val="center"/>
          </w:tcPr>
          <w:p w14:paraId="462A215C">
            <w:pPr>
              <w:pStyle w:val="28"/>
              <w:jc w:val="both"/>
              <w:rPr>
                <w:rFonts w:hint="default" w:cs="Times New Roman"/>
              </w:rPr>
            </w:pPr>
            <w:r>
              <w:rPr>
                <w:rFonts w:hint="default" w:cs="Times New Roman"/>
              </w:rPr>
              <w:t>1、连云区危废总产生量在连云港市占比较小（约10%），对连云港市达到该指标目标影响较小。</w:t>
            </w:r>
          </w:p>
          <w:p w14:paraId="3DF2C6C3">
            <w:pPr>
              <w:pStyle w:val="28"/>
              <w:jc w:val="both"/>
              <w:rPr>
                <w:rFonts w:hint="default" w:cs="Times New Roman"/>
              </w:rPr>
            </w:pPr>
            <w:r>
              <w:rPr>
                <w:rFonts w:hint="default" w:cs="Times New Roman"/>
              </w:rPr>
              <w:t>2、连云区危废在区内焚烧消纳率较高，委托处置的危废以飞灰、精馏残渣为主，危废综合利用率提升空间有限。</w:t>
            </w:r>
          </w:p>
          <w:p w14:paraId="0267F1E3">
            <w:pPr>
              <w:pStyle w:val="28"/>
              <w:jc w:val="both"/>
              <w:rPr>
                <w:rFonts w:hint="default" w:cs="Times New Roman"/>
              </w:rPr>
            </w:pPr>
            <w:r>
              <w:rPr>
                <w:rFonts w:hint="default" w:cs="Times New Roman"/>
              </w:rPr>
              <w:t>3、三吉利化工的3万吨/年新材料项目运行后，全区危废综合利用率将由目前的4.6%提升至9%。</w:t>
            </w:r>
          </w:p>
        </w:tc>
      </w:tr>
      <w:tr w14:paraId="59304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3" w:type="dxa"/>
            <w:shd w:val="clear" w:color="auto" w:fill="auto"/>
            <w:vAlign w:val="center"/>
          </w:tcPr>
          <w:p w14:paraId="7E511D73">
            <w:pPr>
              <w:pStyle w:val="28"/>
              <w:numPr>
                <w:ilvl w:val="0"/>
                <w:numId w:val="7"/>
              </w:numPr>
              <w:rPr>
                <w:rFonts w:hint="default" w:cs="Times New Roman"/>
              </w:rPr>
            </w:pPr>
          </w:p>
        </w:tc>
        <w:tc>
          <w:tcPr>
            <w:tcW w:w="2659" w:type="dxa"/>
            <w:shd w:val="clear" w:color="auto" w:fill="auto"/>
            <w:vAlign w:val="center"/>
          </w:tcPr>
          <w:p w14:paraId="235A9D05">
            <w:pPr>
              <w:pStyle w:val="28"/>
              <w:rPr>
                <w:rFonts w:hint="default" w:cs="Times New Roman"/>
              </w:rPr>
            </w:pPr>
            <w:r>
              <w:rPr>
                <w:rFonts w:hint="default" w:cs="Times New Roman"/>
              </w:rPr>
              <w:t>开展“无废细胞”建设的单位数量（机关、企事业单位、饭店、商场、集贸市场、社区、村镇）☆</w:t>
            </w:r>
          </w:p>
        </w:tc>
        <w:tc>
          <w:tcPr>
            <w:tcW w:w="1344" w:type="dxa"/>
            <w:shd w:val="clear" w:color="auto" w:fill="auto"/>
            <w:vAlign w:val="center"/>
          </w:tcPr>
          <w:p w14:paraId="0BDB9918">
            <w:pPr>
              <w:pStyle w:val="28"/>
              <w:rPr>
                <w:rFonts w:hint="default" w:cs="Times New Roman"/>
              </w:rPr>
            </w:pPr>
            <w:r>
              <w:rPr>
                <w:rFonts w:hint="default" w:cs="Times New Roman"/>
              </w:rPr>
              <w:t>150个</w:t>
            </w:r>
          </w:p>
        </w:tc>
        <w:tc>
          <w:tcPr>
            <w:tcW w:w="1050" w:type="dxa"/>
            <w:shd w:val="clear" w:color="auto" w:fill="auto"/>
            <w:vAlign w:val="center"/>
          </w:tcPr>
          <w:p w14:paraId="430F9087">
            <w:pPr>
              <w:pStyle w:val="28"/>
              <w:rPr>
                <w:rFonts w:hint="default" w:cs="Times New Roman"/>
              </w:rPr>
            </w:pPr>
            <w:r>
              <w:rPr>
                <w:rFonts w:hint="default" w:cs="Times New Roman"/>
              </w:rPr>
              <w:t>15个</w:t>
            </w:r>
          </w:p>
        </w:tc>
        <w:tc>
          <w:tcPr>
            <w:tcW w:w="3666" w:type="dxa"/>
            <w:shd w:val="clear" w:color="auto" w:fill="auto"/>
            <w:vAlign w:val="center"/>
          </w:tcPr>
          <w:p w14:paraId="2AE85504">
            <w:pPr>
              <w:pStyle w:val="28"/>
              <w:jc w:val="both"/>
              <w:rPr>
                <w:rFonts w:hint="default" w:cs="Times New Roman"/>
              </w:rPr>
            </w:pPr>
            <w:r>
              <w:rPr>
                <w:rFonts w:hint="default" w:cs="Times New Roman"/>
              </w:rPr>
              <w:t>暂定15个，具体数量根据连云港市“无废细胞”建设相关要求确定。</w:t>
            </w:r>
          </w:p>
        </w:tc>
      </w:tr>
      <w:tr w14:paraId="64571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3" w:type="dxa"/>
            <w:shd w:val="clear" w:color="auto" w:fill="auto"/>
            <w:vAlign w:val="center"/>
          </w:tcPr>
          <w:p w14:paraId="1F0572E5">
            <w:pPr>
              <w:pStyle w:val="28"/>
              <w:numPr>
                <w:ilvl w:val="0"/>
                <w:numId w:val="7"/>
              </w:numPr>
              <w:rPr>
                <w:rFonts w:hint="default" w:cs="Times New Roman"/>
              </w:rPr>
            </w:pPr>
          </w:p>
        </w:tc>
        <w:tc>
          <w:tcPr>
            <w:tcW w:w="2659" w:type="dxa"/>
            <w:shd w:val="clear" w:color="auto" w:fill="auto"/>
            <w:vAlign w:val="center"/>
          </w:tcPr>
          <w:p w14:paraId="3E94A99A">
            <w:pPr>
              <w:pStyle w:val="28"/>
              <w:rPr>
                <w:rFonts w:hint="default" w:cs="Times New Roman"/>
              </w:rPr>
            </w:pPr>
            <w:r>
              <w:rPr>
                <w:rFonts w:hint="default" w:cs="Times New Roman"/>
              </w:rPr>
              <w:t>评为省级及以上绿色工厂的企业数量※</w:t>
            </w:r>
          </w:p>
        </w:tc>
        <w:tc>
          <w:tcPr>
            <w:tcW w:w="1344" w:type="dxa"/>
            <w:shd w:val="clear" w:color="auto" w:fill="auto"/>
            <w:vAlign w:val="center"/>
          </w:tcPr>
          <w:p w14:paraId="0F7D7D9C">
            <w:pPr>
              <w:pStyle w:val="28"/>
              <w:rPr>
                <w:rFonts w:hint="default" w:cs="Times New Roman"/>
              </w:rPr>
            </w:pPr>
            <w:r>
              <w:rPr>
                <w:rFonts w:hint="default" w:cs="Times New Roman"/>
              </w:rPr>
              <w:t>25家</w:t>
            </w:r>
          </w:p>
        </w:tc>
        <w:tc>
          <w:tcPr>
            <w:tcW w:w="1050" w:type="dxa"/>
            <w:shd w:val="clear" w:color="auto" w:fill="auto"/>
            <w:vAlign w:val="center"/>
          </w:tcPr>
          <w:p w14:paraId="1AC73DB9">
            <w:pPr>
              <w:pStyle w:val="28"/>
              <w:rPr>
                <w:rFonts w:hint="default" w:cs="Times New Roman"/>
              </w:rPr>
            </w:pPr>
            <w:r>
              <w:rPr>
                <w:rFonts w:hint="default" w:cs="Times New Roman"/>
              </w:rPr>
              <w:t>8家</w:t>
            </w:r>
          </w:p>
        </w:tc>
        <w:tc>
          <w:tcPr>
            <w:tcW w:w="3666" w:type="dxa"/>
            <w:shd w:val="clear" w:color="auto" w:fill="auto"/>
            <w:vAlign w:val="center"/>
          </w:tcPr>
          <w:p w14:paraId="238A0C1A">
            <w:pPr>
              <w:pStyle w:val="28"/>
              <w:jc w:val="both"/>
              <w:rPr>
                <w:rFonts w:hint="default" w:cs="Times New Roman"/>
              </w:rPr>
            </w:pPr>
            <w:r>
              <w:rPr>
                <w:rFonts w:hint="default" w:cs="Times New Roman"/>
              </w:rPr>
              <w:t>/</w:t>
            </w:r>
          </w:p>
        </w:tc>
      </w:tr>
      <w:tr w14:paraId="05B7C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3" w:type="dxa"/>
            <w:shd w:val="clear" w:color="auto" w:fill="auto"/>
            <w:vAlign w:val="center"/>
          </w:tcPr>
          <w:p w14:paraId="31903C9C">
            <w:pPr>
              <w:pStyle w:val="28"/>
              <w:numPr>
                <w:ilvl w:val="0"/>
                <w:numId w:val="7"/>
              </w:numPr>
              <w:rPr>
                <w:rFonts w:hint="default" w:cs="Times New Roman"/>
              </w:rPr>
            </w:pPr>
          </w:p>
        </w:tc>
        <w:tc>
          <w:tcPr>
            <w:tcW w:w="2659" w:type="dxa"/>
            <w:shd w:val="clear" w:color="auto" w:fill="auto"/>
            <w:vAlign w:val="center"/>
          </w:tcPr>
          <w:p w14:paraId="67891B91">
            <w:pPr>
              <w:pStyle w:val="28"/>
              <w:rPr>
                <w:rFonts w:hint="default" w:cs="Times New Roman"/>
              </w:rPr>
            </w:pPr>
            <w:r>
              <w:rPr>
                <w:rFonts w:hint="default" w:cs="Times New Roman"/>
              </w:rPr>
              <w:t>“无废城市”建设地方性法规或政策性文件及有关规划制定★</w:t>
            </w:r>
          </w:p>
        </w:tc>
        <w:tc>
          <w:tcPr>
            <w:tcW w:w="1344" w:type="dxa"/>
            <w:shd w:val="clear" w:color="auto" w:fill="auto"/>
            <w:vAlign w:val="center"/>
          </w:tcPr>
          <w:p w14:paraId="384F3314">
            <w:pPr>
              <w:pStyle w:val="28"/>
              <w:rPr>
                <w:rFonts w:hint="default" w:cs="Times New Roman"/>
              </w:rPr>
            </w:pPr>
            <w:r>
              <w:rPr>
                <w:rFonts w:hint="default" w:cs="Times New Roman"/>
              </w:rPr>
              <w:t>新增5项</w:t>
            </w:r>
          </w:p>
        </w:tc>
        <w:tc>
          <w:tcPr>
            <w:tcW w:w="1050" w:type="dxa"/>
            <w:shd w:val="clear" w:color="auto" w:fill="auto"/>
            <w:vAlign w:val="center"/>
          </w:tcPr>
          <w:p w14:paraId="457F15CB">
            <w:pPr>
              <w:pStyle w:val="28"/>
              <w:rPr>
                <w:rFonts w:hint="default" w:cs="Times New Roman"/>
              </w:rPr>
            </w:pPr>
            <w:r>
              <w:rPr>
                <w:rFonts w:hint="default" w:cs="Times New Roman"/>
              </w:rPr>
              <w:t>新增1项</w:t>
            </w:r>
          </w:p>
        </w:tc>
        <w:tc>
          <w:tcPr>
            <w:tcW w:w="3666" w:type="dxa"/>
            <w:shd w:val="clear" w:color="auto" w:fill="auto"/>
            <w:vAlign w:val="center"/>
          </w:tcPr>
          <w:p w14:paraId="0BDE2D7E">
            <w:pPr>
              <w:pStyle w:val="28"/>
              <w:jc w:val="both"/>
              <w:rPr>
                <w:rFonts w:hint="default" w:cs="Times New Roman"/>
              </w:rPr>
            </w:pPr>
            <w:r>
              <w:rPr>
                <w:rFonts w:hint="default" w:cs="Times New Roman"/>
              </w:rPr>
              <w:t>制定《连云区“无废城市”建设工作宣传方案》</w:t>
            </w:r>
          </w:p>
        </w:tc>
      </w:tr>
      <w:tr w14:paraId="3E5B1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23" w:type="dxa"/>
            <w:shd w:val="clear" w:color="auto" w:fill="auto"/>
            <w:vAlign w:val="center"/>
          </w:tcPr>
          <w:p w14:paraId="43EFD0EC">
            <w:pPr>
              <w:pStyle w:val="28"/>
              <w:numPr>
                <w:ilvl w:val="0"/>
                <w:numId w:val="7"/>
              </w:numPr>
              <w:rPr>
                <w:rFonts w:hint="default" w:cs="Times New Roman"/>
              </w:rPr>
            </w:pPr>
          </w:p>
        </w:tc>
        <w:tc>
          <w:tcPr>
            <w:tcW w:w="2659" w:type="dxa"/>
            <w:shd w:val="clear" w:color="auto" w:fill="auto"/>
            <w:vAlign w:val="center"/>
          </w:tcPr>
          <w:p w14:paraId="5CC2CBAD">
            <w:pPr>
              <w:pStyle w:val="28"/>
              <w:rPr>
                <w:rFonts w:hint="default" w:cs="Times New Roman"/>
              </w:rPr>
            </w:pPr>
            <w:r>
              <w:rPr>
                <w:rFonts w:hint="default" w:cs="Times New Roman"/>
              </w:rPr>
              <w:t>国家级海洋牧场数量</w:t>
            </w:r>
            <w:r>
              <w:rPr>
                <w:rFonts w:hint="default" w:cs="Times New Roman"/>
                <w:kern w:val="0"/>
              </w:rPr>
              <w:t>▲</w:t>
            </w:r>
          </w:p>
        </w:tc>
        <w:tc>
          <w:tcPr>
            <w:tcW w:w="1344" w:type="dxa"/>
            <w:shd w:val="clear" w:color="auto" w:fill="auto"/>
            <w:vAlign w:val="center"/>
          </w:tcPr>
          <w:p w14:paraId="39633913">
            <w:pPr>
              <w:pStyle w:val="28"/>
              <w:rPr>
                <w:rFonts w:hint="default" w:cs="Times New Roman"/>
              </w:rPr>
            </w:pPr>
            <w:r>
              <w:rPr>
                <w:rFonts w:hint="default" w:cs="Times New Roman"/>
              </w:rPr>
              <w:t>/</w:t>
            </w:r>
          </w:p>
        </w:tc>
        <w:tc>
          <w:tcPr>
            <w:tcW w:w="1050" w:type="dxa"/>
            <w:shd w:val="clear" w:color="auto" w:fill="auto"/>
            <w:vAlign w:val="center"/>
          </w:tcPr>
          <w:p w14:paraId="40BAE27B">
            <w:pPr>
              <w:pStyle w:val="28"/>
              <w:rPr>
                <w:rFonts w:hint="default" w:cs="Times New Roman"/>
                <w:highlight w:val="yellow"/>
              </w:rPr>
            </w:pPr>
            <w:r>
              <w:rPr>
                <w:rFonts w:hint="default" w:cs="Times New Roman"/>
              </w:rPr>
              <w:t>1个</w:t>
            </w:r>
          </w:p>
        </w:tc>
        <w:tc>
          <w:tcPr>
            <w:tcW w:w="3666" w:type="dxa"/>
            <w:shd w:val="clear" w:color="auto" w:fill="auto"/>
            <w:vAlign w:val="center"/>
          </w:tcPr>
          <w:p w14:paraId="41928A53">
            <w:pPr>
              <w:pStyle w:val="28"/>
              <w:jc w:val="both"/>
              <w:rPr>
                <w:rFonts w:hint="default" w:cs="Times New Roman"/>
              </w:rPr>
            </w:pPr>
            <w:r>
              <w:rPr>
                <w:rFonts w:hint="default" w:cs="Times New Roman"/>
              </w:rPr>
              <w:t>连云区特色指标。</w:t>
            </w:r>
          </w:p>
        </w:tc>
      </w:tr>
    </w:tbl>
    <w:p w14:paraId="52939F24">
      <w:pPr>
        <w:pStyle w:val="19"/>
        <w:ind w:left="0" w:leftChars="0" w:firstLine="0" w:firstLineChars="0"/>
      </w:pPr>
    </w:p>
    <w:p w14:paraId="47DAEA29">
      <w:pPr>
        <w:ind w:firstLine="640"/>
      </w:pPr>
      <w:r>
        <w:rPr>
          <w:rFonts w:hint="eastAsia"/>
        </w:rPr>
        <w:br w:type="page"/>
      </w:r>
    </w:p>
    <w:p w14:paraId="6D4FA998">
      <w:pPr>
        <w:pStyle w:val="3"/>
        <w:numPr>
          <w:ilvl w:val="0"/>
          <w:numId w:val="1"/>
        </w:numPr>
      </w:pPr>
      <w:bookmarkStart w:id="57" w:name="_Toc28240"/>
      <w:r>
        <w:rPr>
          <w:rFonts w:hint="eastAsia"/>
        </w:rPr>
        <w:t>主要建设任务</w:t>
      </w:r>
      <w:bookmarkEnd w:id="57"/>
    </w:p>
    <w:p w14:paraId="12801E23">
      <w:pPr>
        <w:pStyle w:val="5"/>
        <w:numPr>
          <w:ilvl w:val="1"/>
          <w:numId w:val="1"/>
        </w:numPr>
      </w:pPr>
      <w:bookmarkStart w:id="58" w:name="_Toc23916"/>
      <w:r>
        <w:rPr>
          <w:rFonts w:hint="eastAsia"/>
        </w:rPr>
        <w:t>推动工业绿色发展，建立一般工业固废收处体系</w:t>
      </w:r>
      <w:bookmarkEnd w:id="58"/>
    </w:p>
    <w:p w14:paraId="243A88FE">
      <w:pPr>
        <w:pStyle w:val="6"/>
        <w:numPr>
          <w:ilvl w:val="2"/>
          <w:numId w:val="1"/>
        </w:numPr>
      </w:pPr>
      <w:bookmarkStart w:id="59" w:name="_Toc14042"/>
      <w:r>
        <w:rPr>
          <w:rFonts w:hint="eastAsia"/>
        </w:rPr>
        <w:t>推动工业绿色发展</w:t>
      </w:r>
      <w:bookmarkEnd w:id="59"/>
    </w:p>
    <w:p w14:paraId="11FA89BC">
      <w:pPr>
        <w:pStyle w:val="7"/>
        <w:numPr>
          <w:ilvl w:val="0"/>
          <w:numId w:val="8"/>
        </w:numPr>
        <w:ind w:firstLine="640"/>
      </w:pPr>
      <w:r>
        <w:rPr>
          <w:rFonts w:hint="eastAsia"/>
        </w:rPr>
        <w:t>培育绿色低碳新兴产业</w:t>
      </w:r>
    </w:p>
    <w:p w14:paraId="2187A44B">
      <w:pPr>
        <w:ind w:firstLine="643"/>
      </w:pPr>
      <w:r>
        <w:rPr>
          <w:rFonts w:hint="eastAsia"/>
          <w:b/>
          <w:bCs/>
        </w:rPr>
        <w:t>培育壮大临港工业。</w:t>
      </w:r>
      <w:r>
        <w:rPr>
          <w:rFonts w:hint="eastAsia"/>
        </w:rPr>
        <w:t>坚持“工业立区、产业强区”发展主战略，推动重点优势产业提质增效、战略性新兴产业集群发展。</w:t>
      </w:r>
      <w:r>
        <w:rPr>
          <w:rFonts w:hint="eastAsia"/>
          <w:b/>
          <w:bCs/>
        </w:rPr>
        <w:t>积极培育绿色低碳产业，</w:t>
      </w:r>
      <w:r>
        <w:rPr>
          <w:rFonts w:hint="eastAsia"/>
        </w:rPr>
        <w:t>打造国际知名的新能源产业基地，推进核电7、8号机组建设，加快中核田湾200万千瓦滩涂光伏示范项目部分并网发电，推动抽水蓄能电站、苏美达渔光互补项目建设。</w:t>
      </w:r>
      <w:r>
        <w:rPr>
          <w:rFonts w:hint="eastAsia"/>
          <w:b/>
          <w:bCs/>
        </w:rPr>
        <w:t>探索发展新材料产业，</w:t>
      </w:r>
      <w:r>
        <w:rPr>
          <w:rFonts w:hint="eastAsia"/>
        </w:rPr>
        <w:t>推动3万吨高性能碳纤维项目、华乐铸坯技改及炉料集中处理项目、印尼镍铁项目、星驰硅钢片制造项目、中稀稀土等项目建设。探索合同能源管理、合同节水管理、环境污染第三方治理和生态环境导向的开发模式。到2025年，高新技术产业产值占规模以上工业产值比重达到20%以上。</w:t>
      </w:r>
    </w:p>
    <w:p w14:paraId="3021CA99">
      <w:pPr>
        <w:pStyle w:val="7"/>
        <w:numPr>
          <w:ilvl w:val="0"/>
          <w:numId w:val="8"/>
        </w:numPr>
        <w:ind w:firstLine="640"/>
      </w:pPr>
      <w:r>
        <w:rPr>
          <w:rFonts w:hint="eastAsia"/>
        </w:rPr>
        <w:t>实施重点行业绿色化改造</w:t>
      </w:r>
    </w:p>
    <w:p w14:paraId="38641B7C">
      <w:pPr>
        <w:ind w:firstLine="643"/>
      </w:pPr>
      <w:r>
        <w:rPr>
          <w:rFonts w:hint="eastAsia"/>
          <w:b/>
          <w:bCs/>
        </w:rPr>
        <w:t>实施重点行业绿色化改造，</w:t>
      </w:r>
      <w:r>
        <w:rPr>
          <w:rFonts w:hint="eastAsia"/>
        </w:rPr>
        <w:t>着力推进钢铁、油脂和精细化工等行业超低排放改造、深度治理和工业窑炉等重点设施废气治理升级，培育发展能耗低、排放少、质效高的绿色产业集群和专业化节能环保企业。加快</w:t>
      </w:r>
      <w:r>
        <w:rPr>
          <w:rFonts w:hint="eastAsia"/>
          <w:b/>
          <w:bCs/>
        </w:rPr>
        <w:t>建设绿色制造企业</w:t>
      </w:r>
      <w:r>
        <w:rPr>
          <w:rFonts w:hint="eastAsia"/>
        </w:rPr>
        <w:t>，打造一批具有示范带动作用的绿色产品、绿色工厂、绿色园区，到2025年，力争建成省级绿色工厂8个，绿色发展领军企业达到5家左右。</w:t>
      </w:r>
      <w:r>
        <w:t>依法在重点行业实施强制性清洁生产审核，引导其他行业自觉自愿开展</w:t>
      </w:r>
      <w:r>
        <w:rPr>
          <w:rFonts w:hint="eastAsia"/>
        </w:rPr>
        <w:t>清洁生产</w:t>
      </w:r>
      <w:r>
        <w:t>审核。</w:t>
      </w:r>
    </w:p>
    <w:p w14:paraId="62BF7F38">
      <w:pPr>
        <w:pStyle w:val="7"/>
        <w:numPr>
          <w:ilvl w:val="0"/>
          <w:numId w:val="8"/>
        </w:numPr>
        <w:ind w:firstLine="640"/>
      </w:pPr>
      <w:r>
        <w:rPr>
          <w:rFonts w:hint="eastAsia"/>
        </w:rPr>
        <w:t>推动产业园区循环化改造</w:t>
      </w:r>
    </w:p>
    <w:p w14:paraId="14597D35">
      <w:pPr>
        <w:ind w:firstLine="640"/>
      </w:pPr>
      <w:r>
        <w:t>科学实施</w:t>
      </w:r>
      <w:r>
        <w:rPr>
          <w:rFonts w:hint="eastAsia"/>
        </w:rPr>
        <w:t>板桥工业园</w:t>
      </w:r>
      <w:r>
        <w:t>产业园区开发建设规划，加强环评和能评工作，严格准入标准，完善循环产业链条。</w:t>
      </w:r>
      <w:r>
        <w:rPr>
          <w:b/>
          <w:bCs/>
        </w:rPr>
        <w:t>深入实施循环化改造，</w:t>
      </w:r>
      <w:r>
        <w:t>推动企业循环式生产、产业循环式组合，促进资源高效利用、能源梯级利用、废弃物综合利用和污染物集中安全处置。</w:t>
      </w:r>
      <w:r>
        <w:rPr>
          <w:b/>
          <w:bCs/>
        </w:rPr>
        <w:t>加强与周边区域基础设施联通和公共服务设施共享，</w:t>
      </w:r>
      <w:r>
        <w:t>鼓励建设电、热、冷、气等多种能源协同互济的综合能源项目。在提高绿色产业发展水平、推动绿色循环化发展、提升资源利用效率、优化节能审查机制、创新污染治理等方面开展综合试点示范，积极创建省级绿色低碳循环发展示范区。</w:t>
      </w:r>
    </w:p>
    <w:p w14:paraId="654B2840">
      <w:pPr>
        <w:pStyle w:val="6"/>
        <w:numPr>
          <w:ilvl w:val="2"/>
          <w:numId w:val="1"/>
        </w:numPr>
      </w:pPr>
      <w:bookmarkStart w:id="60" w:name="_Toc15289"/>
      <w:r>
        <w:rPr>
          <w:rFonts w:hint="eastAsia"/>
        </w:rPr>
        <w:t>强化一般工业固废全过程监管</w:t>
      </w:r>
      <w:bookmarkEnd w:id="60"/>
    </w:p>
    <w:p w14:paraId="26AF41A2">
      <w:pPr>
        <w:pStyle w:val="7"/>
        <w:ind w:firstLine="640"/>
      </w:pPr>
      <w:r>
        <w:rPr>
          <w:rFonts w:hint="eastAsia"/>
        </w:rPr>
        <w:t>（</w:t>
      </w:r>
      <w:r>
        <w:t>1）建立“双清单”申报制度</w:t>
      </w:r>
    </w:p>
    <w:p w14:paraId="4A6B553A">
      <w:pPr>
        <w:ind w:firstLine="640"/>
      </w:pPr>
      <w:r>
        <w:rPr>
          <w:rFonts w:hint="eastAsia"/>
        </w:rPr>
        <w:t>落实连云港市的要求，</w:t>
      </w:r>
      <w:r>
        <w:t>开展全</w:t>
      </w:r>
      <w:r>
        <w:rPr>
          <w:rFonts w:hint="eastAsia"/>
        </w:rPr>
        <w:t>区</w:t>
      </w:r>
      <w:r>
        <w:t>一般工业固体废物产生、收集、利用、处置单位摸底排查，摸排未纳入生态环境管理的涉一般工业固体废物单位，形成《</w:t>
      </w:r>
      <w:r>
        <w:rPr>
          <w:rFonts w:hint="eastAsia"/>
        </w:rPr>
        <w:t>一般工业固体废物基础信息清单</w:t>
      </w:r>
      <w:r>
        <w:t>》和《</w:t>
      </w:r>
      <w:r>
        <w:rPr>
          <w:rFonts w:hint="eastAsia"/>
        </w:rPr>
        <w:t>一般工业固体废物收集、利用、处置单位监管源清单</w:t>
      </w:r>
      <w:r>
        <w:t>》，</w:t>
      </w:r>
      <w:r>
        <w:rPr>
          <w:rFonts w:hint="eastAsia"/>
        </w:rPr>
        <w:t>并在连云港市的</w:t>
      </w:r>
      <w:r>
        <w:t>一般工业固体废物动态管理信息系统</w:t>
      </w:r>
      <w:r>
        <w:rPr>
          <w:rFonts w:hint="eastAsia"/>
        </w:rPr>
        <w:t>上进行动态更新。</w:t>
      </w:r>
    </w:p>
    <w:p w14:paraId="1EC9DF34">
      <w:pPr>
        <w:pStyle w:val="7"/>
        <w:ind w:firstLine="640"/>
      </w:pPr>
      <w:r>
        <w:rPr>
          <w:rFonts w:hint="eastAsia"/>
        </w:rPr>
        <w:t>（2）</w:t>
      </w:r>
      <w:r>
        <w:t>健全一般工业固废收贮运体系</w:t>
      </w:r>
    </w:p>
    <w:p w14:paraId="16B275D1">
      <w:pPr>
        <w:ind w:firstLine="640"/>
      </w:pPr>
      <w:r>
        <w:t>严格执行国家一般工业固体废物分类管理要求，建立健全源头分类、二次分拣、高效清运、政府监督、企业付费、第三方运营的收贮运机制</w:t>
      </w:r>
      <w:r>
        <w:rPr>
          <w:rFonts w:hint="eastAsia"/>
        </w:rPr>
        <w:t>。</w:t>
      </w:r>
      <w:r>
        <w:t>完善一般工业固废回收利用体系，规范回收网点设置，建立布局合理、交售方便、收购有序的一般工业固体废物回收网络，形成能力充足、运转规范的一般工业固体废物集中收集-贮存-处置体系。</w:t>
      </w:r>
    </w:p>
    <w:p w14:paraId="25CB603F">
      <w:pPr>
        <w:pStyle w:val="7"/>
        <w:ind w:firstLine="640"/>
      </w:pPr>
      <w:r>
        <w:t>（</w:t>
      </w:r>
      <w:r>
        <w:rPr>
          <w:rFonts w:hint="eastAsia"/>
        </w:rPr>
        <w:t>3</w:t>
      </w:r>
      <w:r>
        <w:t>）建立工业</w:t>
      </w:r>
      <w:r>
        <w:rPr>
          <w:rFonts w:hint="eastAsia"/>
        </w:rPr>
        <w:t>固废</w:t>
      </w:r>
      <w:r>
        <w:t>全过程管理机制</w:t>
      </w:r>
    </w:p>
    <w:p w14:paraId="06BA385C">
      <w:pPr>
        <w:ind w:firstLine="640"/>
      </w:pPr>
      <w:r>
        <w:t>全面落实固体废物规范化管理要求，加强产生、转运和利用处置环节的电子台账管理，督促企业及时做好一般工业固体废物产生、贮存、转移、利用处置等的申报登记工作。加强固体废物法律知识宣贯培训，指导企业加强工业固体废物全过程管理，整体提升日常管理水平。</w:t>
      </w:r>
    </w:p>
    <w:p w14:paraId="3E422DF4">
      <w:pPr>
        <w:pStyle w:val="6"/>
        <w:numPr>
          <w:ilvl w:val="2"/>
          <w:numId w:val="1"/>
        </w:numPr>
      </w:pPr>
      <w:bookmarkStart w:id="61" w:name="_Toc10581"/>
      <w:r>
        <w:rPr>
          <w:rFonts w:hint="eastAsia"/>
        </w:rPr>
        <w:t>提高一般固废综合利用水平</w:t>
      </w:r>
      <w:bookmarkEnd w:id="61"/>
    </w:p>
    <w:p w14:paraId="36A45FBF">
      <w:pPr>
        <w:pStyle w:val="7"/>
        <w:ind w:firstLine="640"/>
      </w:pPr>
      <w:r>
        <w:rPr>
          <w:rFonts w:hint="eastAsia"/>
        </w:rPr>
        <w:t>（1）提高尾矿综合利用水平</w:t>
      </w:r>
    </w:p>
    <w:p w14:paraId="6375E6F2">
      <w:pPr>
        <w:ind w:firstLine="640"/>
      </w:pPr>
      <w:r>
        <w:rPr>
          <w:rFonts w:hint="eastAsia"/>
        </w:rPr>
        <w:t>推动江苏筑港建设集团有限公司的连云港港旗台作业区研发试验基地项目，将连云港恒鑫通矿业有限公司的尾矿作为固化土的原料用于港区建设，解决恒鑫通尾矿堆存问题；推动连云港恒鑫通矿业有限公司铁尾矿综合利用项目，提高尾矿综合利用水平。</w:t>
      </w:r>
    </w:p>
    <w:p w14:paraId="3DA612B0">
      <w:pPr>
        <w:pStyle w:val="7"/>
        <w:ind w:firstLine="640"/>
      </w:pPr>
      <w:r>
        <w:rPr>
          <w:rFonts w:hint="eastAsia"/>
        </w:rPr>
        <w:t>（2）减少工业盐的产生</w:t>
      </w:r>
    </w:p>
    <w:p w14:paraId="331E079A">
      <w:pPr>
        <w:ind w:firstLine="640"/>
      </w:pPr>
      <w:r>
        <w:rPr>
          <w:rFonts w:hint="eastAsia"/>
        </w:rPr>
        <w:t>推动丰益表面活性材料（连云港）有限公司高盐废水净化工程项目（KVT）建设。采用催化湿式净化工艺替代厂区现有高盐废水三效蒸发工艺，净化后的含盐废水由下游氯碱厂利用，同时减少工业盐的产生（一般固废）。</w:t>
      </w:r>
    </w:p>
    <w:p w14:paraId="38C4C586">
      <w:pPr>
        <w:pStyle w:val="7"/>
        <w:ind w:firstLine="640"/>
      </w:pPr>
      <w:r>
        <w:rPr>
          <w:rFonts w:hint="eastAsia"/>
        </w:rPr>
        <w:t>（3）实施碱渣治理和资源化利用</w:t>
      </w:r>
    </w:p>
    <w:p w14:paraId="1D7DE210">
      <w:pPr>
        <w:ind w:firstLine="640"/>
      </w:pPr>
      <w:r>
        <w:t>充分利用连云港大宗固体废弃物综合利用基地建设，通过实施碱渣治理与资源化利用创新示范项目，大幅减少氨碱废渣堆存量，提升固体废物综合利用率和技术装备水平，实现碱渣无害化处理，并对渣池进行土壤修复以及土地治理，同时建造一座碱渣山生态公园。到2025年，碱渣综合利用率提升至70%以上。</w:t>
      </w:r>
    </w:p>
    <w:p w14:paraId="0E8D91EA">
      <w:pPr>
        <w:pStyle w:val="7"/>
        <w:ind w:firstLine="640"/>
      </w:pPr>
      <w:r>
        <w:rPr>
          <w:rFonts w:hint="eastAsia"/>
        </w:rPr>
        <w:t>（4）推动一般固废技术研发</w:t>
      </w:r>
    </w:p>
    <w:p w14:paraId="064708D0">
      <w:pPr>
        <w:ind w:firstLine="640"/>
      </w:pPr>
      <w:r>
        <w:t>以中核生态环境有限公司为主体，广泛凝聚碱渣综合利用、制碱工程技术、新型建筑材料技术、固废资源化利用技术、碱渣综合利用应用基础理论及标准化研究技术人才，促进碱渣变废为宝，化害为利。推动《碱渣综合利用技术规范》等标准的制修订，规范固废资源化产业发展。</w:t>
      </w:r>
    </w:p>
    <w:p w14:paraId="3851C4F7">
      <w:pPr>
        <w:ind w:firstLine="640"/>
      </w:pPr>
      <w:r>
        <w:rPr>
          <w:rFonts w:hint="eastAsia"/>
        </w:rPr>
        <w:br w:type="page"/>
      </w:r>
    </w:p>
    <w:p w14:paraId="2BDC0C0A">
      <w:pPr>
        <w:pStyle w:val="5"/>
        <w:numPr>
          <w:ilvl w:val="1"/>
          <w:numId w:val="1"/>
        </w:numPr>
      </w:pPr>
      <w:bookmarkStart w:id="62" w:name="_Toc7369"/>
      <w:r>
        <w:rPr>
          <w:rFonts w:hint="eastAsia"/>
        </w:rPr>
        <w:t>健全小微收贮网络，加强危废全过程风险防控</w:t>
      </w:r>
      <w:bookmarkEnd w:id="62"/>
    </w:p>
    <w:p w14:paraId="77514D05">
      <w:pPr>
        <w:pStyle w:val="6"/>
        <w:numPr>
          <w:ilvl w:val="2"/>
          <w:numId w:val="1"/>
        </w:numPr>
      </w:pPr>
      <w:bookmarkStart w:id="63" w:name="_Toc15041"/>
      <w:r>
        <w:rPr>
          <w:rFonts w:hint="eastAsia"/>
        </w:rPr>
        <w:t>推进危废小微收集体系</w:t>
      </w:r>
      <w:bookmarkEnd w:id="63"/>
    </w:p>
    <w:p w14:paraId="61C7CC8D">
      <w:pPr>
        <w:ind w:firstLine="640"/>
      </w:pPr>
      <w:r>
        <w:rPr>
          <w:rFonts w:hint="eastAsia"/>
        </w:rPr>
        <w:t>对小微企业、教育科研机构、机动车维修机构等产生的社会源危险废物开展摸底调查。统筹考虑全域小微企业、教育科研机构、机动车维修行业等机构分布情况及危险废物产生情况，推动构建实验室废物、小量危险废物集中收集、贮存、转运体系，实现全区域覆盖、全种类收集、全流程监控，有效打通小微企业等机构危险废物收集“最后一公里”，切实解决小微企业等机构急难愁盼的危险废物收集处理问题。</w:t>
      </w:r>
    </w:p>
    <w:p w14:paraId="390AAA6E">
      <w:pPr>
        <w:pStyle w:val="6"/>
        <w:numPr>
          <w:ilvl w:val="2"/>
          <w:numId w:val="1"/>
        </w:numPr>
      </w:pPr>
      <w:bookmarkStart w:id="64" w:name="_Toc12368"/>
      <w:r>
        <w:rPr>
          <w:rFonts w:hint="eastAsia"/>
        </w:rPr>
        <w:t>强化危废全过程动态管控</w:t>
      </w:r>
      <w:bookmarkEnd w:id="64"/>
    </w:p>
    <w:p w14:paraId="51DBC467">
      <w:pPr>
        <w:ind w:firstLine="640"/>
      </w:pPr>
      <w:r>
        <w:rPr>
          <w:rFonts w:hint="eastAsia"/>
        </w:rPr>
        <w:t>动态更新危险废物环境重点监管单位清单，制定危险废物经营单位年度监督性监测计划，组织开展产废企业规范化管理年度考核，持续开展“清废行动”专项整治，确保“无废城市”建设期间每年危险废物规范化管理考核达标率达100%。开展危险废物“一企一档”信息化动态管理，建立工作情况定期报送制度。重点督查危险废物网上申报和报告工作，推进危险废物分级分类管理，建立危险废物全生命周期监管体系。梳理危险废物贮存重点企业清单，确保废盐等危险废物处置率达100%。</w:t>
      </w:r>
    </w:p>
    <w:p w14:paraId="1EED3F8D">
      <w:pPr>
        <w:pStyle w:val="6"/>
        <w:numPr>
          <w:ilvl w:val="2"/>
          <w:numId w:val="1"/>
        </w:numPr>
      </w:pPr>
      <w:bookmarkStart w:id="65" w:name="_Toc30705"/>
      <w:r>
        <w:rPr>
          <w:rFonts w:hint="eastAsia"/>
        </w:rPr>
        <w:t>提高危废减量化和资源化水平</w:t>
      </w:r>
      <w:bookmarkEnd w:id="65"/>
    </w:p>
    <w:p w14:paraId="28F9F769">
      <w:pPr>
        <w:ind w:firstLine="640"/>
      </w:pPr>
      <w:r>
        <w:rPr>
          <w:rFonts w:hint="eastAsia"/>
        </w:rPr>
        <w:t>以危险废物减量化为抓手，督促企业通过技术改造和产业链升级，减少危废的产生，提高危废资源化利用水平。加快三吉利化工3万吨/年酚类防老阻燃新材料技术升级改造项目落地，采用全流程智能化生产线将原本焚烧处置的含酚焦油制成阻燃新材料产品，在减少危废产生的同时减少碳排放，提高资源利用效率。</w:t>
      </w:r>
    </w:p>
    <w:p w14:paraId="7702EC29">
      <w:pPr>
        <w:pStyle w:val="6"/>
        <w:numPr>
          <w:ilvl w:val="2"/>
          <w:numId w:val="1"/>
        </w:numPr>
      </w:pPr>
      <w:bookmarkStart w:id="66" w:name="_Toc9234"/>
      <w:r>
        <w:rPr>
          <w:rFonts w:hint="eastAsia"/>
        </w:rPr>
        <w:t>加强医疗废物信息化管理</w:t>
      </w:r>
      <w:bookmarkEnd w:id="66"/>
    </w:p>
    <w:p w14:paraId="68662600">
      <w:pPr>
        <w:ind w:firstLine="640"/>
      </w:pPr>
      <w:r>
        <w:rPr>
          <w:rFonts w:hint="eastAsia"/>
        </w:rPr>
        <w:t>提高医疗废物管理信息化水平，推进医疗废物管理信息系统建设。</w:t>
      </w:r>
      <w:r>
        <w:t>组织辖区一级及以下医疗机构完成医疗废物在线监管系统建设工作</w:t>
      </w:r>
      <w:r>
        <w:rPr>
          <w:rFonts w:hint="eastAsia"/>
        </w:rPr>
        <w:t>，</w:t>
      </w:r>
      <w:r>
        <w:t>通过在医疗机构安装</w:t>
      </w:r>
      <w:r>
        <w:rPr>
          <w:rFonts w:hint="eastAsia"/>
        </w:rPr>
        <w:t>监测</w:t>
      </w:r>
      <w:r>
        <w:t>终端</w:t>
      </w:r>
      <w:r>
        <w:rPr>
          <w:rFonts w:hint="eastAsia"/>
        </w:rPr>
        <w:t>，实现医疗废物产生、收集、贮存、运输、处置全流程在线监测与跟踪管理。制定医疗机构废弃物分类收集、运送、贮存流程图，实施相应的分类管理，形成分类投放、分类收集、分类贮存、分类交接、分类转运的医疗机构废弃物管理系统。完善医疗废物暂存设施、设备建设，严格落实医疗废物申报登记和管理计划备案要求。</w:t>
      </w:r>
    </w:p>
    <w:p w14:paraId="41FF3D9C">
      <w:pPr>
        <w:pStyle w:val="19"/>
        <w:ind w:left="640" w:firstLine="640"/>
      </w:pPr>
    </w:p>
    <w:p w14:paraId="5A0CD2FD">
      <w:pPr>
        <w:ind w:firstLine="640"/>
      </w:pPr>
      <w:r>
        <w:rPr>
          <w:rFonts w:hint="eastAsia"/>
        </w:rPr>
        <w:br w:type="page"/>
      </w:r>
    </w:p>
    <w:p w14:paraId="68CDC96F">
      <w:pPr>
        <w:pStyle w:val="5"/>
        <w:numPr>
          <w:ilvl w:val="1"/>
          <w:numId w:val="1"/>
        </w:numPr>
      </w:pPr>
      <w:bookmarkStart w:id="67" w:name="_Toc25296"/>
      <w:r>
        <w:rPr>
          <w:rFonts w:hint="eastAsia"/>
        </w:rPr>
        <w:t>加快构建生态农业，提升农废回收利用水平</w:t>
      </w:r>
      <w:bookmarkEnd w:id="67"/>
    </w:p>
    <w:p w14:paraId="0B014A90">
      <w:pPr>
        <w:pStyle w:val="6"/>
        <w:numPr>
          <w:ilvl w:val="2"/>
          <w:numId w:val="1"/>
        </w:numPr>
      </w:pPr>
      <w:bookmarkStart w:id="68" w:name="_Toc14502"/>
      <w:r>
        <w:rPr>
          <w:rFonts w:hint="eastAsia"/>
        </w:rPr>
        <w:t>推动现代农业生态低碳发展</w:t>
      </w:r>
      <w:bookmarkEnd w:id="68"/>
    </w:p>
    <w:p w14:paraId="2A6A2AFD">
      <w:pPr>
        <w:ind w:firstLine="640"/>
      </w:pPr>
      <w:r>
        <w:rPr>
          <w:rFonts w:hint="eastAsia"/>
        </w:rPr>
        <w:t>加强绿色食品、有机农产品、地理标志农产品等认证和管理。到2025年，绿色优质农产品比重达75%。实施耕地质量保护提升行动，鼓励采取调整种植结构等措施。落实养殖水域滩涂规划，完善水产生态健康养殖技术。加快一二三产业融合发展，促进农业向生态、生活功能拓展，推动农业发展由增产向高效转变。</w:t>
      </w:r>
    </w:p>
    <w:p w14:paraId="3A44C649">
      <w:pPr>
        <w:pStyle w:val="6"/>
        <w:numPr>
          <w:ilvl w:val="2"/>
          <w:numId w:val="1"/>
        </w:numPr>
      </w:pPr>
      <w:bookmarkStart w:id="69" w:name="_Toc11942"/>
      <w:r>
        <w:rPr>
          <w:rFonts w:hint="eastAsia"/>
        </w:rPr>
        <w:t>健全农药包装废弃物回收体系</w:t>
      </w:r>
      <w:bookmarkEnd w:id="69"/>
    </w:p>
    <w:p w14:paraId="658929A2">
      <w:pPr>
        <w:ind w:firstLine="640"/>
      </w:pPr>
      <w:r>
        <w:rPr>
          <w:rFonts w:hint="eastAsia"/>
        </w:rPr>
        <w:t>按照“谁生产、经营，谁回收”的原则，执行生产经营者责任延伸制度，落实农药生产者、经营者包装废弃物回收处置责任，以农资经销店为依托完善农药包装废弃物回收体系，建立健全政府引导、财政支持、生产销售商为主体、农户积极参与的农药包装废弃物回收处置体系，将农药包装废弃物的处置纳入危险废物或生活垃圾管理体系，到2025年，全区农药包装废弃物回收覆盖率达到100%，无害化处理率达到100%。</w:t>
      </w:r>
    </w:p>
    <w:p w14:paraId="0A23A278">
      <w:pPr>
        <w:ind w:firstLine="640"/>
      </w:pPr>
      <w:r>
        <w:rPr>
          <w:rFonts w:hint="eastAsia"/>
        </w:rPr>
        <w:br w:type="page"/>
      </w:r>
    </w:p>
    <w:p w14:paraId="51900BF0">
      <w:pPr>
        <w:pStyle w:val="5"/>
        <w:numPr>
          <w:ilvl w:val="1"/>
          <w:numId w:val="1"/>
        </w:numPr>
      </w:pPr>
      <w:bookmarkStart w:id="70" w:name="_Toc7442"/>
      <w:r>
        <w:rPr>
          <w:rFonts w:hint="eastAsia"/>
        </w:rPr>
        <w:t>践行绿色生活方式，提升再生资源利用能力</w:t>
      </w:r>
      <w:bookmarkEnd w:id="70"/>
    </w:p>
    <w:p w14:paraId="7A4EAB51">
      <w:pPr>
        <w:pStyle w:val="6"/>
        <w:numPr>
          <w:ilvl w:val="2"/>
          <w:numId w:val="1"/>
        </w:numPr>
      </w:pPr>
      <w:bookmarkStart w:id="71" w:name="_Toc31670"/>
      <w:r>
        <w:rPr>
          <w:rFonts w:hint="eastAsia"/>
        </w:rPr>
        <w:t>减少生活源固体废物源头产生</w:t>
      </w:r>
      <w:bookmarkEnd w:id="71"/>
    </w:p>
    <w:p w14:paraId="60833400">
      <w:pPr>
        <w:pStyle w:val="7"/>
        <w:ind w:firstLine="640"/>
      </w:pPr>
      <w:r>
        <w:rPr>
          <w:rFonts w:hint="eastAsia"/>
        </w:rPr>
        <w:t>（1）践行绿色低碳生活方式</w:t>
      </w:r>
    </w:p>
    <w:p w14:paraId="4E612252">
      <w:pPr>
        <w:ind w:firstLine="640"/>
      </w:pPr>
      <w:r>
        <w:rPr>
          <w:rFonts w:hint="eastAsia"/>
        </w:rPr>
        <w:t>开展绿色出行创建活动，提升公交系统智能化水平，积极引导城市公共交通、步行、自行车等绿色出行。到2025年，绿色交通出行比例达到70%。开展绿色生活创建行动，宣传倡导文明消费理念，引导全社会自觉践行节约适度、绿色低碳、文明健康的生活方式和消费模式。坚决制止餐饮浪费行为，全链条、多环节节粮减损。完善绿色产品市场准入和追溯制度，加强对企业和居民采购绿色产品的引导，加大政府绿色采购力度，形成安全、便利、诚信的绿色消费环境，促进绿色产品消费。实施塑料污染全链条治理行动，有序减少宾馆酒店等一次性塑料用品使用，扩大可降解塑料产品应用范围。推进包装绿色转型，加强过度包装治理。鼓励邮政快递企业与商业机构、便利店、物业服务、第三方回收机构等开展多方合作，在大型社区、商圈、高校等快递集中区域投放快递包装、可循环快递箱（盒）回收设施，推动快递包装回收体系建设，快递包装基本实现绿色转型，到2025年，快递绿色包装使用率达到60%。积极开展节约型机关、绿色家庭、绿色学校、绿色社区、绿色出行等创建行动。</w:t>
      </w:r>
    </w:p>
    <w:p w14:paraId="07AFFE60">
      <w:pPr>
        <w:pStyle w:val="7"/>
        <w:ind w:firstLine="640"/>
      </w:pPr>
      <w:r>
        <w:rPr>
          <w:rFonts w:hint="eastAsia"/>
        </w:rPr>
        <w:t>（2）推广绿色建筑与装配式建筑</w:t>
      </w:r>
    </w:p>
    <w:p w14:paraId="71A3B4E8">
      <w:pPr>
        <w:ind w:firstLine="640"/>
      </w:pPr>
      <w:r>
        <w:rPr>
          <w:rFonts w:hint="eastAsia"/>
        </w:rPr>
        <w:t>认真贯彻落实国家绿色建筑评价标准和《江苏省绿色建筑发展条例》等技术规范，制定绿色建筑和装配式建筑长效推进机制。鼓励在市政道路、园林绿化等基础设施建设中优先使用建筑垃圾再生产品，政府投资建设项目优先采用建筑垃圾再生产品。深入开展绿色建筑创建行动，推行绿色施工，积极稳妥发展绿色建筑，推动绿色装修，推广绿色建材，开展超低能耗建筑和近零能耗建筑试点示范。到2025年，绿色建筑占新建建筑的比例达到100%。因地制宜采用装配式建筑，引导各类特色小镇和美丽乡村示范区，以及农村住房连片改造建设项目中采用装配式建筑。深入实施建筑垃圾减量化，探索建立工程项目绿色施工动态考核评价体系，绿色施工技术全面应用。</w:t>
      </w:r>
    </w:p>
    <w:p w14:paraId="523F6836">
      <w:pPr>
        <w:pStyle w:val="6"/>
        <w:numPr>
          <w:ilvl w:val="2"/>
          <w:numId w:val="1"/>
        </w:numPr>
      </w:pPr>
      <w:bookmarkStart w:id="72" w:name="_Toc20608"/>
      <w:r>
        <w:rPr>
          <w:rFonts w:hint="eastAsia"/>
        </w:rPr>
        <w:t>完善生活源固废分收运处体系建设</w:t>
      </w:r>
      <w:bookmarkEnd w:id="72"/>
    </w:p>
    <w:p w14:paraId="169E242A">
      <w:pPr>
        <w:pStyle w:val="7"/>
        <w:ind w:firstLine="640"/>
      </w:pPr>
      <w:r>
        <w:rPr>
          <w:rFonts w:hint="eastAsia"/>
        </w:rPr>
        <w:t>（1）深化垃圾分类体系建设</w:t>
      </w:r>
    </w:p>
    <w:p w14:paraId="50B258D9">
      <w:pPr>
        <w:ind w:firstLine="643"/>
      </w:pPr>
      <w:r>
        <w:rPr>
          <w:rFonts w:hint="eastAsia"/>
          <w:b/>
          <w:bCs/>
        </w:rPr>
        <w:t>推动垃圾分类全员参与工作。</w:t>
      </w:r>
      <w:r>
        <w:rPr>
          <w:rFonts w:hint="eastAsia"/>
        </w:rPr>
        <w:t>通过网络平台、新闻媒体等方式，广泛宣传生活垃圾分类常识，使群众都能认识到垃圾分类的重要性，为垃圾分类工作的开展提供坚实的保障。在现有垃圾分类回收箱的基础上逐步增加垃圾分类设施配置，政府部门带头组织开展垃圾分类宣传、培训等会议，通过例会、专题培训、线上宣传等方式，提高群众对垃圾分类源头减量与分类投放的意识。</w:t>
      </w:r>
    </w:p>
    <w:p w14:paraId="2A29DFA5">
      <w:pPr>
        <w:ind w:firstLine="643"/>
      </w:pPr>
      <w:r>
        <w:rPr>
          <w:rFonts w:hint="eastAsia"/>
          <w:b/>
          <w:bCs/>
        </w:rPr>
        <w:t>推进省级垃圾分类达标小区创建。</w:t>
      </w:r>
      <w:r>
        <w:rPr>
          <w:rFonts w:hint="eastAsia"/>
        </w:rPr>
        <w:t>继续推进连云区居民小区垃圾分类收集房建设和验收工作，同时开展“两定一撤”管理试点；每月不定期组织召开连云区生活垃圾分类工作专题会，对连云区垃圾分类工作进行统筹，研究提出工作计划和指导意见，推动生活垃圾分类工作体制的创新发展及有关政策落实等问题。连云区党政机关、企事业单位实行强制垃圾分类，推进公共区域垃圾分类投放设施全覆盖及垃圾分类各项工作。</w:t>
      </w:r>
    </w:p>
    <w:p w14:paraId="6A2EE60F">
      <w:pPr>
        <w:ind w:firstLine="643"/>
      </w:pPr>
      <w:r>
        <w:rPr>
          <w:rFonts w:hint="eastAsia"/>
          <w:b/>
          <w:bCs/>
        </w:rPr>
        <w:t>落实城乡生活垃圾分类评估工作。</w:t>
      </w:r>
      <w:r>
        <w:rPr>
          <w:rFonts w:hint="eastAsia"/>
        </w:rPr>
        <w:t>根据省、市垃圾分类管理要求，推进落实垃圾分类行业主管与生活垃圾分类投放管理责任人责任，动员、组织、督促各街道办事处辖区城乡开展生活垃圾源头减量和分类投放工作，完善分类投放设施。开展党建引领，发动党员、志愿者广泛参与生活垃圾源头减量和分类投放工作，初步在城乡建立较为完善的垃圾分类责任体系。</w:t>
      </w:r>
    </w:p>
    <w:p w14:paraId="1A6CDCB6">
      <w:pPr>
        <w:pStyle w:val="7"/>
        <w:ind w:firstLine="640"/>
      </w:pPr>
      <w:r>
        <w:rPr>
          <w:rFonts w:hint="eastAsia"/>
        </w:rPr>
        <w:t>（2）加强有害垃圾全过程管理</w:t>
      </w:r>
    </w:p>
    <w:p w14:paraId="5C9DD413">
      <w:pPr>
        <w:ind w:firstLine="643"/>
      </w:pPr>
      <w:r>
        <w:rPr>
          <w:rFonts w:hint="eastAsia"/>
          <w:b/>
          <w:bCs/>
        </w:rPr>
        <w:t>加强有害垃圾的分类、运输、暂存、处置管理。</w:t>
      </w:r>
      <w:r>
        <w:rPr>
          <w:rFonts w:hint="eastAsia"/>
        </w:rPr>
        <w:t>宣传和倡导居民开展有害垃圾分类投放，督促办公源有害垃圾的分类收集、分类暂存，实行定期或者预约收运，完善有害垃圾收运网络。规范有害垃圾收运管理，不断提高收集率和收运效率，扩大收集覆盖面，完善运输制度，保证贮存点的有害垃圾可做到“即满即清，一年一清”。推广密闭化收运，减少和避免有害垃圾收运过程中的二次污染。根据生活垃圾分类产生的有害垃圾量及种类，编制近期有害垃圾收集处置名录，制定有害垃圾集中暂存、运输、处置管理规范。加强风险管控，有害垃圾中的危险废物应严格按危险废物进行管理，交由有资质的危险废物处置单位进行处置。到2025年底，有害垃圾处置率达90%以上。</w:t>
      </w:r>
    </w:p>
    <w:p w14:paraId="71EA581F">
      <w:pPr>
        <w:pStyle w:val="7"/>
        <w:ind w:firstLine="640"/>
      </w:pPr>
      <w:r>
        <w:rPr>
          <w:rFonts w:hint="eastAsia"/>
        </w:rPr>
        <w:t>（3）健全餐厨垃圾收运处管理</w:t>
      </w:r>
    </w:p>
    <w:p w14:paraId="5436F1A1">
      <w:pPr>
        <w:ind w:firstLine="640"/>
      </w:pPr>
      <w:r>
        <w:rPr>
          <w:rFonts w:hint="eastAsia"/>
        </w:rPr>
        <w:t>进一步对全区餐饮单位进行摸底、排查，依托市场主体健全餐厨垃圾收运体系，实现餐厨垃圾收运体系全覆盖。加强运输车辆监管，持续开展餐厨垃圾运输车辆集中整治，严厉打击非法收运餐厨垃圾行为。</w:t>
      </w:r>
      <w:r>
        <w:rPr>
          <w:rFonts w:hint="eastAsia"/>
          <w:b/>
          <w:bCs/>
        </w:rPr>
        <w:t>补齐厨余垃圾处理能力短板。</w:t>
      </w:r>
      <w:r>
        <w:rPr>
          <w:rFonts w:hint="eastAsia"/>
        </w:rPr>
        <w:t>建设</w:t>
      </w:r>
      <w:r>
        <w:t>连云区厨余垃圾处理中心</w:t>
      </w:r>
      <w:r>
        <w:rPr>
          <w:rFonts w:hint="eastAsia"/>
        </w:rPr>
        <w:t>，处理规模为5吨/天，处理中心建成运行后，探索厨余（餐厨）垃圾管理制度，明确沼液、沼渣等利用产物利用方式，推动资源循环利用。</w:t>
      </w:r>
    </w:p>
    <w:p w14:paraId="36E24B28">
      <w:pPr>
        <w:pStyle w:val="7"/>
        <w:ind w:firstLine="640"/>
      </w:pPr>
      <w:r>
        <w:rPr>
          <w:rFonts w:hint="eastAsia"/>
        </w:rPr>
        <w:t>（4）完善再生资源回收网络</w:t>
      </w:r>
    </w:p>
    <w:p w14:paraId="3F086767">
      <w:pPr>
        <w:ind w:firstLine="640"/>
      </w:pPr>
      <w:r>
        <w:rPr>
          <w:rFonts w:hint="eastAsia"/>
        </w:rPr>
        <w:t>明确再生资源回收体系主体责任部门，以社区回收站点、分拣中心、集散市场三位一体的回收模式为基础。完善再生资源信息化管理，鼓励再生资源回收企业建立在线交易平台，完善线下回收网点，实现线上线下有机结合。健全强制车辆报废制度和废旧家电、电子等耐用消费品回收处理体系，促进废弃电器电子产品规范拆解处理，实现可回收物应收尽收、再生利用。依托现有可回收物分拣中心，对再生资源进行集中回收、存储、分选、打包、转运，对可用物品进行整修，方便旧物交易利用。</w:t>
      </w:r>
    </w:p>
    <w:p w14:paraId="0626901D">
      <w:pPr>
        <w:pStyle w:val="7"/>
        <w:ind w:firstLine="640"/>
      </w:pPr>
      <w:r>
        <w:rPr>
          <w:rFonts w:hint="eastAsia"/>
        </w:rPr>
        <w:t>（5）规范建筑垃圾收运处管理</w:t>
      </w:r>
    </w:p>
    <w:p w14:paraId="31BF1BAD">
      <w:pPr>
        <w:ind w:firstLine="643"/>
      </w:pPr>
      <w:r>
        <w:rPr>
          <w:b/>
          <w:bCs/>
        </w:rPr>
        <w:t>健全建筑垃圾全过程监管体系</w:t>
      </w:r>
      <w:r>
        <w:rPr>
          <w:rFonts w:hint="eastAsia"/>
          <w:b/>
          <w:bCs/>
        </w:rPr>
        <w:t>。</w:t>
      </w:r>
      <w:r>
        <w:t>探索建立智慧工地信息平台，着力推进工程渣土运输管理智能化，对运输车辆的许可证、运输线路等进行实时追踪，推动更新换代新型智能渣土运输车辆，实现物联网技术在监控管理、节能减排和渣土运输中的应用。进一步完善装修垃圾日常运营与管理措施，建立规范清运、有偿服务、监督管理体系。实施装修垃圾清运处置有偿服务收费，实行运输准入、处置预约、全程监管、专场专用。开展建筑垃圾专项整治行动，全力打击各种违反规定的渣土运输、偷倒等行为。</w:t>
      </w:r>
    </w:p>
    <w:p w14:paraId="48A0AB1E">
      <w:pPr>
        <w:ind w:firstLine="643"/>
      </w:pPr>
      <w:r>
        <w:rPr>
          <w:b/>
          <w:bCs/>
        </w:rPr>
        <w:t>推动终端企业规范运行</w:t>
      </w:r>
      <w:r>
        <w:rPr>
          <w:rFonts w:hint="eastAsia"/>
          <w:b/>
          <w:bCs/>
        </w:rPr>
        <w:t>。</w:t>
      </w:r>
      <w:r>
        <w:t>加强建筑垃圾全过程管理，规范建筑垃圾产生、收集、贮存、运输、利用、处置行为。开展对既有环保不达标处置企业整治，消除劣币驱逐良币现象。严格建筑垃圾处置核准，实现建筑垃圾定时间、定线路运输和定地点规范处置。</w:t>
      </w:r>
    </w:p>
    <w:p w14:paraId="228A3B36">
      <w:pPr>
        <w:ind w:firstLine="643"/>
      </w:pPr>
      <w:r>
        <w:rPr>
          <w:b/>
          <w:bCs/>
        </w:rPr>
        <w:t>探索建筑垃圾高值化利用方式</w:t>
      </w:r>
      <w:r>
        <w:rPr>
          <w:rFonts w:hint="eastAsia"/>
          <w:b/>
          <w:bCs/>
        </w:rPr>
        <w:t>。</w:t>
      </w:r>
      <w:r>
        <w:t>推进建筑垃圾资源化利用产业结构升级，促进新型建材行业发展，提高新型建材产业规模，改变制砖、混凝土砌块等低值单一的综合利用方式。在市政道路建设及政府投资类项目中，大力推广应用建筑垃圾再生产品；鼓励政府采购符合质量标准的建筑垃圾再生产品。</w:t>
      </w:r>
    </w:p>
    <w:p w14:paraId="3E348DAC">
      <w:pPr>
        <w:ind w:firstLine="640"/>
      </w:pPr>
      <w:r>
        <w:rPr>
          <w:rFonts w:hint="eastAsia"/>
        </w:rPr>
        <w:br w:type="page"/>
      </w:r>
    </w:p>
    <w:p w14:paraId="567EC418">
      <w:pPr>
        <w:pStyle w:val="5"/>
        <w:numPr>
          <w:ilvl w:val="1"/>
          <w:numId w:val="1"/>
        </w:numPr>
      </w:pPr>
      <w:bookmarkStart w:id="73" w:name="_Toc29875"/>
      <w:r>
        <w:rPr>
          <w:rFonts w:hint="eastAsia"/>
        </w:rPr>
        <w:t>发展绿色海洋经济，强化海洋废弃物污染防治</w:t>
      </w:r>
      <w:bookmarkEnd w:id="73"/>
    </w:p>
    <w:p w14:paraId="73CF872C">
      <w:pPr>
        <w:pStyle w:val="6"/>
        <w:numPr>
          <w:ilvl w:val="2"/>
          <w:numId w:val="1"/>
        </w:numPr>
      </w:pPr>
      <w:bookmarkStart w:id="74" w:name="_Toc602"/>
      <w:r>
        <w:rPr>
          <w:rFonts w:hint="eastAsia"/>
        </w:rPr>
        <w:t>优化海洋经济产业结构</w:t>
      </w:r>
      <w:bookmarkEnd w:id="74"/>
    </w:p>
    <w:p w14:paraId="5907DA83">
      <w:pPr>
        <w:pStyle w:val="7"/>
        <w:ind w:firstLine="640"/>
      </w:pPr>
      <w:r>
        <w:rPr>
          <w:rFonts w:hint="eastAsia"/>
        </w:rPr>
        <w:t>（1）打造全域一体空间布局</w:t>
      </w:r>
    </w:p>
    <w:p w14:paraId="2BE13534">
      <w:pPr>
        <w:ind w:firstLine="640"/>
      </w:pPr>
      <w:r>
        <w:rPr>
          <w:rFonts w:hint="eastAsia"/>
        </w:rPr>
        <w:t>坚持陆海统筹、全域发展理念，打造“一区、一带、三极、深蓝”的海洋经济发展空间布局。大力推进海洋经济活动向深远海发展，科学布局深海养殖、远洋捕捞、海洋牧场、邮轮经济等产业项目，拓展海洋经济发展空间，率先实现深蓝占位。</w:t>
      </w:r>
    </w:p>
    <w:p w14:paraId="72972848">
      <w:pPr>
        <w:pStyle w:val="7"/>
        <w:ind w:firstLine="640"/>
      </w:pPr>
      <w:r>
        <w:rPr>
          <w:rFonts w:hint="eastAsia"/>
        </w:rPr>
        <w:t>（2）推进滨海特色城镇建设</w:t>
      </w:r>
    </w:p>
    <w:p w14:paraId="04099C02">
      <w:pPr>
        <w:ind w:firstLine="640"/>
      </w:pPr>
      <w:r>
        <w:t>按照“一镇一特”的原则，集聚特色产业和发展要素，明确产业定位、文化内涵、旅游业态和一定社区功能，做到差异定位、细分领域、错位发展，创造条件培育特色小镇发展，科学选址规划建设高公岛、连岛、宿城、</w:t>
      </w:r>
      <w:r>
        <w:rPr>
          <w:rFonts w:hint="eastAsia"/>
        </w:rPr>
        <w:t>连云</w:t>
      </w:r>
      <w:r>
        <w:t>开发区四个滨海特色小镇，努力将滨海特色小镇打造成为升级示范样板，让滨海特色小镇成为连云区海洋经济发展新的增长点。</w:t>
      </w:r>
    </w:p>
    <w:p w14:paraId="1E615EFC">
      <w:pPr>
        <w:pStyle w:val="7"/>
        <w:ind w:left="640" w:leftChars="200" w:firstLine="0" w:firstLineChars="0"/>
      </w:pPr>
      <w:r>
        <w:rPr>
          <w:rFonts w:hint="eastAsia"/>
        </w:rPr>
        <w:t>（3）培育战略性海洋新兴产业</w:t>
      </w:r>
    </w:p>
    <w:p w14:paraId="53619F00">
      <w:pPr>
        <w:ind w:firstLine="640"/>
      </w:pPr>
      <w:r>
        <w:t>打造临海新能源产业基地。依托区田湾核电站、风电装备制造，聚焦太阳能、风能、海洋能、生物质能等清洁能源领域，重点提升能源产品的规模和种类，服务核电7号和8号机组建设，推进抽水蓄能电站建设，打造技术领先、产业链完备的新能源产业集群。充分发挥临海优势，加快引进一批具有科技含量的清洁能源企业，因地制宜发展潮汐能、波浪能、海流能等，打造临海新能源产业基地。以需求为导向，积极发展综合能源服务，推动能源供应从产品向服务转型升级。</w:t>
      </w:r>
    </w:p>
    <w:p w14:paraId="46FE029A">
      <w:pPr>
        <w:pStyle w:val="6"/>
        <w:numPr>
          <w:ilvl w:val="2"/>
          <w:numId w:val="1"/>
        </w:numPr>
      </w:pPr>
      <w:bookmarkStart w:id="75" w:name="_Toc1234"/>
      <w:r>
        <w:rPr>
          <w:rFonts w:hint="eastAsia"/>
        </w:rPr>
        <w:t>推进海洋渔业转型升级</w:t>
      </w:r>
      <w:bookmarkEnd w:id="75"/>
    </w:p>
    <w:p w14:paraId="1A81B7F0">
      <w:pPr>
        <w:pStyle w:val="7"/>
        <w:ind w:firstLine="640"/>
      </w:pPr>
      <w:r>
        <w:rPr>
          <w:rFonts w:hint="eastAsia"/>
        </w:rPr>
        <w:t>（1）转变传统海洋渔业发展方式</w:t>
      </w:r>
    </w:p>
    <w:p w14:paraId="3F0EFB2D">
      <w:pPr>
        <w:ind w:firstLine="640"/>
      </w:pPr>
      <w:r>
        <w:rPr>
          <w:rFonts w:hint="eastAsia"/>
        </w:rPr>
        <w:t>统筹城镇建设与渔业经济发展，完善渔港建设规划布局，在建成连岛中心渔港的基础上，加快建设连岛渔港经济区，促进渔港振兴。加强渔区、渔村基础设施建设，改善生产生活环境。推进捕捞渔船更新改造。实施池塘生态化改造工程，支持养殖尾水处理及循环利用等技术装备升级改造。推动“智慧渔业”建设，提升渔业智能化装备水平。积极发展远洋渔业，国内首艘南极磷虾捕捞加工船“深蓝”号远赴南极常态化开展捕捞作业，年捕捞量达5万吨以上。努力发展现代休闲渔业，完善全区休闲渔业标准和规划，积极优化全区休闲渔业布局和保障措施。</w:t>
      </w:r>
    </w:p>
    <w:p w14:paraId="7CDD3357">
      <w:pPr>
        <w:pStyle w:val="7"/>
        <w:ind w:firstLine="640"/>
      </w:pPr>
      <w:r>
        <w:rPr>
          <w:rFonts w:hint="eastAsia"/>
        </w:rPr>
        <w:t>（2）调整优化全区水域滩涂养殖</w:t>
      </w:r>
    </w:p>
    <w:p w14:paraId="469F340E">
      <w:pPr>
        <w:ind w:firstLine="640"/>
      </w:pPr>
      <w:r>
        <w:rPr>
          <w:rFonts w:hint="eastAsia"/>
        </w:rPr>
        <w:t>依托临洪河口周边、连岛西大堤北侧等可开发利用的60万亩浅海海域，发展藻类、贝类综合养殖，建立浅海养殖高效示范区。由于海水主导养殖品种条斑紫菜受核电、港口和连云新城建设的影响，传统海水养殖区和沿海滩涂被大量占用，高公岛外围紫菜养殖区迅速减少，连云区紫菜养殖逐步向更深海区转移，向连岛、连云新城外侧转移，加强在连云区管辖的外侧海域即领海基线附近积极探索深海养殖。多方引进资金合理开发前三岛、竹岛等海岛，依托海岛发展深水抗风浪网箱养殖、近海水域发展鱼类网箱养殖、贝藻类浮筏养殖等海洋特色经济，加快前三岛海珍品底播增殖区建设，扩大海参、鲍鱼、扇贝和海胆等海珍品养殖规模。逐步对淡水池塘进行标准化改造以提高养殖规模和效益。</w:t>
      </w:r>
    </w:p>
    <w:p w14:paraId="5954AD74">
      <w:pPr>
        <w:pStyle w:val="7"/>
        <w:ind w:firstLine="640"/>
      </w:pPr>
      <w:r>
        <w:rPr>
          <w:rFonts w:hint="eastAsia"/>
        </w:rPr>
        <w:t>（3）实现紫菜一二三产融合发展</w:t>
      </w:r>
    </w:p>
    <w:p w14:paraId="6C9363FC">
      <w:pPr>
        <w:ind w:firstLine="640"/>
      </w:pPr>
      <w:r>
        <w:rPr>
          <w:rFonts w:hint="eastAsia"/>
        </w:rPr>
        <w:t>以《连云区养殖水域滩涂规划（2018-2030）》为依据，形成插杆养殖条斑紫菜，浮筏吊养贝类（牡蛎、贻贝），底播贝类、刺参，贝藻间养、立体养殖等多品种多方式并存的健康养殖模式。大力推广玻璃钢插杆养殖、贝藻间养等生态养殖模式；打造“连云港紫菜”品牌，深入推进连云国家级农村产业融合发展示范园建设，打造国家级紫菜优势产业区，提升“中国紫菜之都”的知名度和影响力；发展二次加工，推进“紫菜+旅游”产业深度融合发展，推动紫菜产业健康可持续发展，为全区乡村振兴及农村一二三产融合发展提供重要支撑。</w:t>
      </w:r>
    </w:p>
    <w:p w14:paraId="75D20A54">
      <w:pPr>
        <w:pStyle w:val="7"/>
        <w:ind w:firstLine="640"/>
      </w:pPr>
      <w:r>
        <w:rPr>
          <w:rFonts w:hint="eastAsia"/>
        </w:rPr>
        <w:t>（4）推动水产加工产业升级转型</w:t>
      </w:r>
    </w:p>
    <w:p w14:paraId="7BFBA5E7">
      <w:pPr>
        <w:ind w:firstLine="640"/>
      </w:pPr>
      <w:r>
        <w:rPr>
          <w:rFonts w:hint="eastAsia"/>
        </w:rPr>
        <w:t>升级完善传统水产品加工技术，加快发展海洋水产品精深加工，鼓励发展水产品批发市场。大力发展精深加工，带动大户提高产业化经营水平，建设特色水产品加工集中区；巩固传统优势水产品加工产业，培育壮大冷冻水产品、保鲜水产品、即食食品、精深加工等产业，满足消费层次多样化需求；完善全区水产品安全科研机构，强化水产品市场的检查和检测能力。</w:t>
      </w:r>
    </w:p>
    <w:p w14:paraId="2A5BEA8D">
      <w:pPr>
        <w:pStyle w:val="7"/>
        <w:ind w:firstLine="640"/>
      </w:pPr>
      <w:r>
        <w:rPr>
          <w:rFonts w:hint="eastAsia"/>
        </w:rPr>
        <w:t>（5）水产品冷链物流现代化升级</w:t>
      </w:r>
    </w:p>
    <w:p w14:paraId="23E1D4F4">
      <w:pPr>
        <w:ind w:firstLine="640"/>
      </w:pPr>
      <w:r>
        <w:rPr>
          <w:rFonts w:hint="eastAsia"/>
        </w:rPr>
        <w:t>加强水产品冷链物流一体化建设，积极培育大型水产养殖专业乡街、村，提升从池塘、渔船到餐桌的水产品全冷链物流体系利用效率，推动水产品市场物流与养殖、捕捞、加工融合发展。推进渔业“互联网+”建设，打造海产品电商销售平台，加强商超对接合作，推动线上服务、线下体验与现代物流深度融合。</w:t>
      </w:r>
    </w:p>
    <w:p w14:paraId="3ADF74D2">
      <w:pPr>
        <w:pStyle w:val="6"/>
        <w:numPr>
          <w:ilvl w:val="2"/>
          <w:numId w:val="1"/>
        </w:numPr>
      </w:pPr>
      <w:bookmarkStart w:id="76" w:name="_Toc27795"/>
      <w:r>
        <w:rPr>
          <w:rFonts w:hint="eastAsia"/>
        </w:rPr>
        <w:t>强化海洋环境保护和治理</w:t>
      </w:r>
      <w:bookmarkEnd w:id="76"/>
    </w:p>
    <w:p w14:paraId="5A13C42B">
      <w:pPr>
        <w:pStyle w:val="7"/>
        <w:ind w:firstLine="640"/>
      </w:pPr>
      <w:r>
        <w:rPr>
          <w:rFonts w:hint="eastAsia"/>
        </w:rPr>
        <w:t>（1）加强海洋资源节约集约利用</w:t>
      </w:r>
    </w:p>
    <w:p w14:paraId="7F589440">
      <w:pPr>
        <w:ind w:firstLine="640"/>
      </w:pPr>
      <w:r>
        <w:rPr>
          <w:rFonts w:hint="eastAsia"/>
        </w:rPr>
        <w:t>以生态保护优先和资源合理利用为导向，合理确定养殖用海标准，完善市场化配置方式，全面实施海域有偿使用制度。坚持规划用海，编制连云区海洋功能区划，合理配置海域资源，维护海洋生态环境良性循环，倡导和鼓励多种资源的开发利用，拓展海洋发展空间。坚持科学用海、集约用海，通过明确年度重点支持项目的用海，指导全年项目用海报批，确保在计划指标内科学用海，以引导项目用海由分散粗放向集中集约转变。做好对海洋生态保护的整体规划，科学规划连云区海域内海洋生态保护区，设定开发红线，划分海洋生态保护等级。在沿海开发、滩涂围垦、港口建设的同时，有效设定海洋生态环境补偿机制，预留生态空间。</w:t>
      </w:r>
    </w:p>
    <w:p w14:paraId="3A3DDFE3">
      <w:pPr>
        <w:pStyle w:val="7"/>
        <w:ind w:firstLine="640"/>
      </w:pPr>
      <w:r>
        <w:rPr>
          <w:rFonts w:hint="eastAsia"/>
        </w:rPr>
        <w:t>（2）推动海洋环境监测优化提升</w:t>
      </w:r>
    </w:p>
    <w:p w14:paraId="2831C0F0">
      <w:pPr>
        <w:ind w:firstLine="640"/>
      </w:pPr>
      <w:r>
        <w:rPr>
          <w:rFonts w:hint="eastAsia"/>
        </w:rPr>
        <w:t>加强海洋生态环境监测能力建设，健全海洋环境监测体系，推动海洋环境在线连续监测与实时信息发布系统研究与建设。对河流入海口水质、海岸和海洋工程、海洋倾废、船舶活动及港口海域环境开展跟踪监测，加强对滨海旅游度假区、海洋生态脆弱区和赤潮易发区等重要区域的监测与生态监控。开展全区入海排污口的现场核查和监测，取缔设置不合理、海洋环境影响较大的入海排污口，严控超标排放。开展赤潮、绿潮、溢油、危化品泄漏等环境监测预警与应急处置能力建设。</w:t>
      </w:r>
    </w:p>
    <w:p w14:paraId="1B712F95">
      <w:pPr>
        <w:pStyle w:val="7"/>
        <w:ind w:firstLine="640"/>
      </w:pPr>
      <w:r>
        <w:rPr>
          <w:rFonts w:hint="eastAsia"/>
        </w:rPr>
        <w:t>（3）建立船舶垃圾收运处体系</w:t>
      </w:r>
    </w:p>
    <w:p w14:paraId="58761C34">
      <w:pPr>
        <w:ind w:firstLine="643"/>
      </w:pPr>
      <w:r>
        <w:rPr>
          <w:rFonts w:hint="eastAsia"/>
          <w:b/>
          <w:bCs/>
        </w:rPr>
        <w:t>加强船舶垃圾收集转运处置。</w:t>
      </w:r>
      <w:r>
        <w:rPr>
          <w:rFonts w:hint="eastAsia"/>
        </w:rPr>
        <w:t>据港口和城镇相关布局规划，结合港口、锚地、船闸、水上服务区污染物接收的实际情况，完善船舶垃圾接收贮存设施配备。加强宣传和行政监管，督促船民将船舶含油污水、船舶生活污水和船舶垃圾交由具有接收处置能力的港口码头、多功能船舶污染物收集船流动收集处置，或由社会化船舶服务企业有偿接收并转运至具有资质企业进行集中处置。在善后河、古泊河、疏港航道等重点水域禁止化学品船洗舱作业，其他水域由具备接收处置能力的港口码头接收处置，或通过社会化服务企业转运至有资质的企业进行集中处置。</w:t>
      </w:r>
    </w:p>
    <w:p w14:paraId="55FD8A4D">
      <w:pPr>
        <w:ind w:firstLine="643"/>
      </w:pPr>
      <w:r>
        <w:rPr>
          <w:rFonts w:hint="eastAsia"/>
          <w:b/>
          <w:bCs/>
        </w:rPr>
        <w:t>强化船舶污染物监管体系。</w:t>
      </w:r>
      <w:r>
        <w:rPr>
          <w:rFonts w:hint="eastAsia"/>
        </w:rPr>
        <w:t>在海州湾水域内，开展船员的环保教育，培育“无废”理念，从源头减少船舶污染物的排放，加大船舶非法排放污染物打击力度，督促船舶严格实施船舶污染物管理制度，探索运行船舶固体废物接收转运处置电子联单制度，构筑成“防-管-治”三重外源废物管理体系，加强船舶污染物联合监管和闭环管理，完善“船-港-城”一体化处理模式。</w:t>
      </w:r>
    </w:p>
    <w:p w14:paraId="5CD3EFC2">
      <w:pPr>
        <w:pStyle w:val="7"/>
        <w:ind w:firstLine="640"/>
      </w:pPr>
      <w:r>
        <w:rPr>
          <w:rFonts w:hint="eastAsia"/>
        </w:rPr>
        <w:t>（4）强化海洋废弃物共治共管</w:t>
      </w:r>
    </w:p>
    <w:p w14:paraId="662C2B1C">
      <w:pPr>
        <w:ind w:firstLine="643"/>
      </w:pPr>
      <w:r>
        <w:rPr>
          <w:rFonts w:hint="eastAsia"/>
          <w:b/>
          <w:bCs/>
        </w:rPr>
        <w:t>深化陆源入海污染联防联控。</w:t>
      </w:r>
      <w:r>
        <w:rPr>
          <w:rFonts w:hint="eastAsia"/>
        </w:rPr>
        <w:t>强化源头防控，建立部门联合监管陆源污染物排海的工作机制，协同治理近岸海域污染。规范入海排污口设置，开展入海排污口调查，明确清理整治排污口清单，启动排污口整治工作。加强“湾长制”与“河长制”衔接，推进主要入海河流环境综合整治，对不能稳定达标的入海河流制定达标方案，实施控源截污、河道生态修复、生态缓冲带建设等措施，保障入海河流水质稳定达标。到2025年，完成全域入海排污口监测、溯源、整治工作，入海河流水质优良（达到或者优于Ⅲ类）比例达到60%，直排海排口达标排放率达到100%。开展沿海、码头、装卸站、船舶修造厂废水治理与废弃物处理设施基本情况调查。推进港口码头和船舶污染防治，建立健全沿海和内河港口码头生活垃圾、固体废弃物、污水等污染物接收处理设施体系，建立完善船舶废水收集处理制度。</w:t>
      </w:r>
    </w:p>
    <w:p w14:paraId="5760B410">
      <w:pPr>
        <w:ind w:firstLine="643"/>
      </w:pPr>
      <w:r>
        <w:rPr>
          <w:rFonts w:hint="eastAsia"/>
          <w:b/>
          <w:bCs/>
        </w:rPr>
        <w:t>严控垃圾入海。</w:t>
      </w:r>
      <w:r>
        <w:rPr>
          <w:rFonts w:hint="eastAsia"/>
        </w:rPr>
        <w:t>禁止船舶向水体倾倒垃圾、排放超标含油废水。实行渔船废油和生活垃圾回收制度，实现岸上统一接收，集中处理后达标排放。到2025年，船舶污水集中上岸处理后达标排放率达到100%。建设连岛、高公岛渔港码头船舶污水收集系统，将污水收集后接入板桥污水处理厂处理。建立航河道港口码头污染物接收处理系统，统筹推进船舶、港口的污水垃圾处理处置设施建设，开展船舶防治油类污染、防垃圾污染等设施设备配置工作，完成所有港口船舶污染物接收转运及处置设施建设。持续开展“清漂行动”，以塑料垃圾治理为重点，强化陆海统筹、源头治理，建立长效机制，引导社会共治，大幅减少海域、岸滩、海岛存量垃圾，有效控制垃圾入海。</w:t>
      </w:r>
    </w:p>
    <w:p w14:paraId="7A09033D">
      <w:pPr>
        <w:ind w:firstLine="643"/>
      </w:pPr>
      <w:r>
        <w:rPr>
          <w:rFonts w:hint="eastAsia"/>
          <w:b/>
          <w:bCs/>
        </w:rPr>
        <w:t>推进海洋垃圾治理。</w:t>
      </w:r>
      <w:r>
        <w:rPr>
          <w:rFonts w:hint="eastAsia"/>
        </w:rPr>
        <w:t>推进海洋垃圾治理，建立“海上环卫”制度，逐步实现近岸海域海洋垃圾治理全覆盖。全面启动海上环卫工作，制定“海上环卫制度”工作方案，明确海上和岸滩垃圾处置责任清单，推进岸滩垃圾和海漂垃圾治理，实现海洋垃圾治理常态化。开展海洋塑料垃圾污染排查和微塑料专项调查，加大对重点河口河湾的巡查监测和执法监管力度。</w:t>
      </w:r>
    </w:p>
    <w:p w14:paraId="7B5BDB64">
      <w:pPr>
        <w:ind w:firstLine="643"/>
      </w:pPr>
      <w:r>
        <w:rPr>
          <w:rFonts w:hint="eastAsia"/>
          <w:b/>
          <w:bCs/>
        </w:rPr>
        <w:t>推进海洋环境风险防范。</w:t>
      </w:r>
      <w:r>
        <w:rPr>
          <w:rFonts w:hint="eastAsia"/>
        </w:rPr>
        <w:t>定期排查陆源突发环境事件，提升船舶与港口码头污染事故应急处置能力，加强沿海地区突发环境事件风险防控，针对可能出现的海上溢油和危险化学品泄漏事故，明确污染治理责任主体，完善应急响应和指挥机制。加快配套溢油应急设备库船舶，确保岸线溢油清除能力稳步提升。</w:t>
      </w:r>
    </w:p>
    <w:p w14:paraId="35B18FFA">
      <w:pPr>
        <w:ind w:firstLine="640"/>
      </w:pPr>
      <w:r>
        <w:rPr>
          <w:rFonts w:hint="eastAsia"/>
        </w:rPr>
        <w:br w:type="page"/>
      </w:r>
    </w:p>
    <w:p w14:paraId="1D578DAF">
      <w:pPr>
        <w:pStyle w:val="5"/>
        <w:numPr>
          <w:ilvl w:val="1"/>
          <w:numId w:val="1"/>
        </w:numPr>
      </w:pPr>
      <w:bookmarkStart w:id="77" w:name="_Toc21386"/>
      <w:r>
        <w:rPr>
          <w:rFonts w:hint="eastAsia"/>
        </w:rPr>
        <w:t>强化四大体系建设，全面提升系统保障能力</w:t>
      </w:r>
      <w:bookmarkEnd w:id="77"/>
    </w:p>
    <w:p w14:paraId="684859BC">
      <w:pPr>
        <w:pStyle w:val="6"/>
        <w:numPr>
          <w:ilvl w:val="2"/>
          <w:numId w:val="1"/>
        </w:numPr>
      </w:pPr>
      <w:bookmarkStart w:id="78" w:name="_Toc16612"/>
      <w:r>
        <w:rPr>
          <w:rFonts w:hint="eastAsia"/>
        </w:rPr>
        <w:t>完善固废管理制度</w:t>
      </w:r>
      <w:bookmarkEnd w:id="78"/>
    </w:p>
    <w:p w14:paraId="310296F6">
      <w:pPr>
        <w:ind w:firstLine="640"/>
      </w:pPr>
      <w:r>
        <w:rPr>
          <w:rFonts w:hint="eastAsia"/>
        </w:rPr>
        <w:t>完善固体废物申报统计制度。立足各类固体废物环境管理短板，以解决问题为目标，针对一般工业固体废物、生活垃圾、建筑垃圾、农业固体废物、危险废物、海洋废弃物等各类固体废物，出台规范性文件，梳理监管盲区，打通各类固体废物的全过程监管体系，细化各类固体废物申报统计方式和准确性，进一步提高各类固体废物管理能力和水平。</w:t>
      </w:r>
    </w:p>
    <w:p w14:paraId="6DAEF641">
      <w:pPr>
        <w:pStyle w:val="6"/>
        <w:numPr>
          <w:ilvl w:val="2"/>
          <w:numId w:val="1"/>
        </w:numPr>
      </w:pPr>
      <w:bookmarkStart w:id="79" w:name="_Toc23365"/>
      <w:r>
        <w:rPr>
          <w:rFonts w:hint="eastAsia"/>
        </w:rPr>
        <w:t>打造先进技术体系</w:t>
      </w:r>
      <w:bookmarkEnd w:id="79"/>
    </w:p>
    <w:p w14:paraId="73BC06C0">
      <w:pPr>
        <w:ind w:firstLine="640"/>
      </w:pPr>
      <w:r>
        <w:rPr>
          <w:rFonts w:hint="eastAsia"/>
        </w:rPr>
        <w:t>加快固体废物源头减量、资源化利用和无害化处置技术研发和推广应用，推进以碱渣等为重点的固体废物资源化利用处置关键技术研发及成果转化。以中核生态环境有限公司等企业为核心，积极发挥龙头示范带动作用，纵向延伸发展固体废物资源综合利用业务，以核心生产企业为依托，解决区域主要固体废物资源化问题，带动整个行业、整个区域固体废物综合利用产业的发展。协调墙改专项基金、清洁生产、工业转型升级等专项资金，重点支持大宗固体废物综合利用关键共性技术研发、新产品应用开发推广、技术装备升级改造以及重点资源综合利用产业示范工程或基地项目建设。</w:t>
      </w:r>
    </w:p>
    <w:p w14:paraId="6E9E87F8">
      <w:pPr>
        <w:pStyle w:val="6"/>
        <w:numPr>
          <w:ilvl w:val="2"/>
          <w:numId w:val="1"/>
        </w:numPr>
      </w:pPr>
      <w:bookmarkStart w:id="80" w:name="_Toc18758"/>
      <w:r>
        <w:rPr>
          <w:rFonts w:hint="eastAsia"/>
        </w:rPr>
        <w:t>建立活力市场体系</w:t>
      </w:r>
      <w:bookmarkEnd w:id="80"/>
    </w:p>
    <w:p w14:paraId="3BE5ADA7">
      <w:pPr>
        <w:ind w:firstLine="640"/>
      </w:pPr>
      <w:r>
        <w:rPr>
          <w:rFonts w:hint="eastAsia"/>
        </w:rPr>
        <w:t>积极支持发展绿色金融。创新融资方式，积极支持社会资本参与、发行绿色债券等，用于固体废物领域基础设施及重大综合利用项目建设。建立和完善政府主导型的金融服务平台，引导社会资金投资固废综合利用产业，搭建金融机构与固废综合利用企业的桥梁。支持按照市场化原则设立各类绿色发展基金，鼓励银行优先支持绿色信贷产品和服务，支持开辟绿色信贷研发、审批、推广专项通道，依法落实对生产和使用先进环保设备的企业实施减免税、低息贷款、折旧优惠等鼓励政策。推动证券市场支持绿色投资，实施绿色债券贴息、绿色产业企业发行上市奖励、绿色担保奖补等政策。</w:t>
      </w:r>
    </w:p>
    <w:p w14:paraId="74FF492C">
      <w:pPr>
        <w:ind w:firstLine="640"/>
      </w:pPr>
      <w:r>
        <w:rPr>
          <w:rFonts w:hint="eastAsia"/>
        </w:rPr>
        <w:t>配套制定财税金融政策。严格执行环境保护税法，建立以资源环境绩效为导向的约束激励机制，依据工业企业资源环境绩效评价结果实行正向激励和反向倒逼，落实固体废物资源化利用和无害化处置的税收、价格、收费等方面的优惠政策。推广第三方治理模式，建立“政府补贴+第三方治理+税收优惠”联动的企业污染治理装备更新换代激励政策，推动各类固体废物利用处置价费形成稳定机制。健全绿色金融体系，推广应用绿色信贷、绿色债券等绿色金融工具。将固体废物产生、利用、处置企业纳入信用评价体系，建立规范的信用管理制度，积极推进符合相关管理要求的综合利用产品纳入政府采购目录，充分打开固体废物再生综合利用产品市场。</w:t>
      </w:r>
    </w:p>
    <w:p w14:paraId="520AFF2B">
      <w:pPr>
        <w:pStyle w:val="6"/>
        <w:numPr>
          <w:ilvl w:val="2"/>
          <w:numId w:val="1"/>
        </w:numPr>
      </w:pPr>
      <w:bookmarkStart w:id="81" w:name="_Toc23172"/>
      <w:r>
        <w:rPr>
          <w:rFonts w:hint="eastAsia"/>
        </w:rPr>
        <w:t>健全固废监管体系</w:t>
      </w:r>
      <w:bookmarkEnd w:id="81"/>
    </w:p>
    <w:p w14:paraId="52397B0C">
      <w:pPr>
        <w:ind w:firstLine="640"/>
      </w:pPr>
      <w:r>
        <w:rPr>
          <w:rFonts w:hint="eastAsia"/>
        </w:rPr>
        <w:t>提升固体废物联合联动执法能力。加快推进“互联网＋监管＋协调联动”，建立线上监管与线下现场执法协调机制，协同生态环境、公安、住建、城管、交通、林海等主管部门以及园区开展联合执法、信息共享，严厉打击非法转移和倾倒，开展历史遗留固体废物排查，分类整治，加快历史遗留问题解决。将固体废物日常检查列入污染源双随机检查工作中，加强固体废物监督管理部门执法协作，强化行政执法与刑事司法、检察公益诉讼的协调联动，依法严肃查处固废环境违法犯罪行为。持续开展“清废行动”专项整治，强化行政执法与刑事司法、检察公益诉讼的协调联动，严厉打击固体废物污染环境行为。</w:t>
      </w:r>
    </w:p>
    <w:p w14:paraId="1768DD18">
      <w:pPr>
        <w:ind w:firstLine="640"/>
      </w:pPr>
      <w:r>
        <w:rPr>
          <w:rFonts w:hint="eastAsia"/>
        </w:rPr>
        <w:br w:type="page"/>
      </w:r>
    </w:p>
    <w:p w14:paraId="650163B5">
      <w:pPr>
        <w:pStyle w:val="3"/>
        <w:numPr>
          <w:ilvl w:val="0"/>
          <w:numId w:val="1"/>
        </w:numPr>
      </w:pPr>
      <w:bookmarkStart w:id="82" w:name="_Toc7414"/>
      <w:r>
        <w:rPr>
          <w:rFonts w:hint="eastAsia"/>
        </w:rPr>
        <w:t>主要清单及任务安排</w:t>
      </w:r>
      <w:bookmarkEnd w:id="82"/>
    </w:p>
    <w:p w14:paraId="2177E4FD">
      <w:pPr>
        <w:pStyle w:val="5"/>
        <w:numPr>
          <w:ilvl w:val="1"/>
          <w:numId w:val="1"/>
        </w:numPr>
      </w:pPr>
      <w:bookmarkStart w:id="83" w:name="_Toc6988"/>
      <w:r>
        <w:rPr>
          <w:rFonts w:hint="eastAsia"/>
        </w:rPr>
        <w:t>“无废城市”建设任务清单及进度安排</w:t>
      </w:r>
      <w:bookmarkEnd w:id="83"/>
    </w:p>
    <w:p w14:paraId="6D6A01CF">
      <w:pPr>
        <w:ind w:firstLine="640"/>
      </w:pPr>
      <w:r>
        <w:rPr>
          <w:rFonts w:hint="eastAsia"/>
        </w:rPr>
        <w:t>连云区“无废城市”建设（2022-2025年）任务清单包括制度体系、技术体系、市场体系、监管体系等四大方面，共设置任务清单36项。制度体系作为无废城市建设的基础，主要包括保障措施、专项行动方案15项任务；技术体系作为无废城市建设的关键支撑，建设期间共部署3项任务；市场体系作为“无废城市”建设的重要动力，主要包括金融调控、体系建设等10项任务；监管体系作为“无废城市”建设的保障，主要包括能力建设和专项行动等8项任务，详见附件3。</w:t>
      </w:r>
    </w:p>
    <w:p w14:paraId="51E1A3F7">
      <w:pPr>
        <w:pStyle w:val="5"/>
        <w:numPr>
          <w:ilvl w:val="1"/>
          <w:numId w:val="1"/>
        </w:numPr>
      </w:pPr>
      <w:bookmarkStart w:id="84" w:name="_Toc5818"/>
      <w:r>
        <w:rPr>
          <w:rFonts w:hint="eastAsia"/>
        </w:rPr>
        <w:t>“无废城市”建设部门责任清单</w:t>
      </w:r>
      <w:bookmarkEnd w:id="84"/>
    </w:p>
    <w:p w14:paraId="735BF6A7">
      <w:pPr>
        <w:ind w:firstLine="640"/>
      </w:pPr>
      <w:r>
        <w:rPr>
          <w:rFonts w:hint="eastAsia"/>
        </w:rPr>
        <w:t>为保障连云区“无废城市”建设工作有效推进落实，梳理全区20个相关职能部门责任清单，保障财政、土地、资金、人才、技术等要素投入，促进形成分工明确、协同增效的综合治理体制机制，搭建高效的联动监管平台，详见附件4。</w:t>
      </w:r>
    </w:p>
    <w:p w14:paraId="476742F9">
      <w:pPr>
        <w:pStyle w:val="5"/>
        <w:numPr>
          <w:ilvl w:val="1"/>
          <w:numId w:val="1"/>
        </w:numPr>
      </w:pPr>
      <w:bookmarkStart w:id="85" w:name="_Toc10964"/>
      <w:r>
        <w:rPr>
          <w:rFonts w:hint="eastAsia"/>
        </w:rPr>
        <w:t>“无废城市”建设项目清单及进度安排</w:t>
      </w:r>
      <w:bookmarkEnd w:id="85"/>
    </w:p>
    <w:p w14:paraId="530B0D0E">
      <w:pPr>
        <w:ind w:firstLine="640"/>
      </w:pPr>
      <w:r>
        <w:rPr>
          <w:rFonts w:hint="eastAsia"/>
        </w:rPr>
        <w:t>工程项目是连云区“无废城市”建设的根本保障，建设期间共部署7个重点项目，总投资预计约705862.11万元，详见附件5。</w:t>
      </w:r>
    </w:p>
    <w:p w14:paraId="6DAE673A">
      <w:pPr>
        <w:ind w:firstLine="640"/>
      </w:pPr>
      <w:r>
        <w:rPr>
          <w:rFonts w:hint="eastAsia"/>
        </w:rPr>
        <w:br w:type="page"/>
      </w:r>
    </w:p>
    <w:p w14:paraId="5E10C7EB">
      <w:pPr>
        <w:pStyle w:val="3"/>
        <w:numPr>
          <w:ilvl w:val="0"/>
          <w:numId w:val="1"/>
        </w:numPr>
      </w:pPr>
      <w:bookmarkStart w:id="86" w:name="_Toc24137"/>
      <w:r>
        <w:rPr>
          <w:rFonts w:hint="eastAsia"/>
        </w:rPr>
        <w:t>保障措施</w:t>
      </w:r>
      <w:bookmarkEnd w:id="86"/>
    </w:p>
    <w:p w14:paraId="6BD9A751">
      <w:pPr>
        <w:pStyle w:val="5"/>
        <w:numPr>
          <w:ilvl w:val="1"/>
          <w:numId w:val="1"/>
        </w:numPr>
      </w:pPr>
      <w:bookmarkStart w:id="87" w:name="_Toc11213"/>
      <w:r>
        <w:rPr>
          <w:rFonts w:hint="eastAsia"/>
        </w:rPr>
        <w:t>加强组织领导</w:t>
      </w:r>
      <w:bookmarkEnd w:id="87"/>
    </w:p>
    <w:p w14:paraId="1B0DBB53">
      <w:pPr>
        <w:ind w:firstLine="640"/>
      </w:pPr>
      <w:r>
        <w:t>建立</w:t>
      </w:r>
      <w:r>
        <w:rPr>
          <w:rFonts w:hint="eastAsia"/>
        </w:rPr>
        <w:t>区</w:t>
      </w:r>
      <w:r>
        <w:t>政府主要领导为组长的</w:t>
      </w:r>
      <w:r>
        <w:rPr>
          <w:rFonts w:hint="eastAsia"/>
        </w:rPr>
        <w:t>“</w:t>
      </w:r>
      <w:r>
        <w:t>无废城市</w:t>
      </w:r>
      <w:r>
        <w:rPr>
          <w:rFonts w:hint="eastAsia"/>
        </w:rPr>
        <w:t>”</w:t>
      </w:r>
      <w:r>
        <w:t>建设</w:t>
      </w:r>
      <w:r>
        <w:rPr>
          <w:rFonts w:hint="eastAsia"/>
        </w:rPr>
        <w:t>工作领导小组</w:t>
      </w:r>
      <w:r>
        <w:t>，</w:t>
      </w:r>
      <w:r>
        <w:rPr>
          <w:rFonts w:hint="eastAsia"/>
        </w:rPr>
        <w:t>领导小组下设办公室，设在区</w:t>
      </w:r>
      <w:r>
        <w:t>深入打好污染防治攻坚战指挥部办公室</w:t>
      </w:r>
      <w:r>
        <w:rPr>
          <w:rFonts w:hint="eastAsia"/>
        </w:rPr>
        <w:t>。明确各部门职责分工，</w:t>
      </w:r>
      <w:r>
        <w:t>厘清各部门职责边界，建立定期调度和会商机制，定期组织专班讨论和培训，切实推进落实</w:t>
      </w:r>
      <w:r>
        <w:rPr>
          <w:rFonts w:hint="eastAsia"/>
        </w:rPr>
        <w:t>“</w:t>
      </w:r>
      <w:r>
        <w:t>无废城市</w:t>
      </w:r>
      <w:r>
        <w:rPr>
          <w:rFonts w:hint="eastAsia"/>
        </w:rPr>
        <w:t>”</w:t>
      </w:r>
      <w:r>
        <w:t>建设的组织、协调、调度、督察、考核等各项重点工作</w:t>
      </w:r>
      <w:r>
        <w:rPr>
          <w:rFonts w:hint="eastAsia"/>
        </w:rPr>
        <w:t>。</w:t>
      </w:r>
      <w:r>
        <w:t>建立</w:t>
      </w:r>
      <w:r>
        <w:rPr>
          <w:rFonts w:hint="eastAsia"/>
        </w:rPr>
        <w:t>“</w:t>
      </w:r>
      <w:r>
        <w:t>无废城市</w:t>
      </w:r>
      <w:r>
        <w:rPr>
          <w:rFonts w:hint="eastAsia"/>
        </w:rPr>
        <w:t>”</w:t>
      </w:r>
      <w:r>
        <w:t>建设考核评估机制，并将</w:t>
      </w:r>
      <w:r>
        <w:rPr>
          <w:rFonts w:hint="eastAsia"/>
        </w:rPr>
        <w:t>“</w:t>
      </w:r>
      <w:r>
        <w:t>无废城市</w:t>
      </w:r>
      <w:r>
        <w:rPr>
          <w:rFonts w:hint="eastAsia"/>
        </w:rPr>
        <w:t>”</w:t>
      </w:r>
      <w:r>
        <w:t>建设重要指标及成效纳入部门政绩考核。根据考核和评估情况，对</w:t>
      </w:r>
      <w:r>
        <w:rPr>
          <w:rFonts w:hint="eastAsia"/>
        </w:rPr>
        <w:t>“</w:t>
      </w:r>
      <w:r>
        <w:t>无废城市</w:t>
      </w:r>
      <w:r>
        <w:rPr>
          <w:rFonts w:hint="eastAsia"/>
        </w:rPr>
        <w:t>”</w:t>
      </w:r>
      <w:r>
        <w:t>建设真抓实干成效明显的单位、个人给予表彰。加强</w:t>
      </w:r>
      <w:r>
        <w:rPr>
          <w:rFonts w:hint="eastAsia"/>
        </w:rPr>
        <w:t>“</w:t>
      </w:r>
      <w:r>
        <w:t>无废城市</w:t>
      </w:r>
      <w:r>
        <w:rPr>
          <w:rFonts w:hint="eastAsia"/>
        </w:rPr>
        <w:t>”</w:t>
      </w:r>
      <w:r>
        <w:t>建设各项工作的组织领导和统筹协调，促进政策、资金、技术等资源要素集聚，形成工作合力</w:t>
      </w:r>
      <w:r>
        <w:rPr>
          <w:rFonts w:hint="eastAsia"/>
        </w:rPr>
        <w:t>。</w:t>
      </w:r>
    </w:p>
    <w:p w14:paraId="14587888">
      <w:pPr>
        <w:pStyle w:val="5"/>
        <w:numPr>
          <w:ilvl w:val="1"/>
          <w:numId w:val="1"/>
        </w:numPr>
      </w:pPr>
      <w:bookmarkStart w:id="88" w:name="_Toc9735"/>
      <w:r>
        <w:rPr>
          <w:rFonts w:hint="eastAsia"/>
        </w:rPr>
        <w:t>加大资金支持</w:t>
      </w:r>
      <w:bookmarkEnd w:id="88"/>
    </w:p>
    <w:p w14:paraId="1D80D0C2">
      <w:pPr>
        <w:ind w:firstLine="640"/>
      </w:pPr>
      <w:r>
        <w:t>加大资金扶持力度，重点支持固体废物源头减量、资源化利用等重点领域的项目落地。</w:t>
      </w:r>
      <w:r>
        <w:rPr>
          <w:rFonts w:hint="eastAsia"/>
        </w:rPr>
        <w:t>拓宽建设资金来源，加强与上级生态环境、发改、财政等相关部门的衔接，全力争取申请国家、省财政投资补助、债券专项贴息及银行环保专项贷款等。充分发挥各行业主管部门和各乡镇政府在固废管理中的主导作用，拓宽资金筹措渠道，畅通社会资本进入渠道，积极引进和引导各类社会资本，以多种形式进入到“无废城市”建设中。</w:t>
      </w:r>
      <w:r>
        <w:t>鼓励支持引入生态环境导向的开发（EOD）模式，推动项目落地。将实施方案项目清单的重点工程纳入优先申报范围，争取国家、江苏省相关补助资金的支持。</w:t>
      </w:r>
      <w:r>
        <w:rPr>
          <w:rFonts w:hint="eastAsia"/>
        </w:rPr>
        <w:t>对接落实各项优惠政策。落实好现有资源综合利用增值税等税收优惠政策，对符合条件的再生资源加工、各项固废综合利用环节等实行增值税有条件即征即退。</w:t>
      </w:r>
    </w:p>
    <w:p w14:paraId="0FF485D5">
      <w:pPr>
        <w:pStyle w:val="5"/>
        <w:numPr>
          <w:ilvl w:val="1"/>
          <w:numId w:val="1"/>
        </w:numPr>
      </w:pPr>
      <w:bookmarkStart w:id="89" w:name="_Toc32698"/>
      <w:r>
        <w:rPr>
          <w:rFonts w:hint="eastAsia"/>
        </w:rPr>
        <w:t>加强技术支持</w:t>
      </w:r>
      <w:bookmarkEnd w:id="89"/>
    </w:p>
    <w:p w14:paraId="0825EAC9">
      <w:pPr>
        <w:ind w:firstLine="640"/>
      </w:pPr>
      <w:r>
        <w:rPr>
          <w:rFonts w:hint="eastAsia"/>
        </w:rPr>
        <w:t>深化与高水平科研院所的互动交流。邀请由企、学、研、政等相关单位和专家加入“无废城市”建设专家组，充分发挥专家智库的作用，强化技术帮扶机制，推动重难点技术瓶颈问题解决，策划推动新项目的前期研究和实施指导。</w:t>
      </w:r>
      <w:r>
        <w:t>支持高校、研究机构联合行业龙头企业组建</w:t>
      </w:r>
      <w:r>
        <w:rPr>
          <w:rFonts w:hint="eastAsia"/>
        </w:rPr>
        <w:t>“</w:t>
      </w:r>
      <w:r>
        <w:t>产学研政</w:t>
      </w:r>
      <w:r>
        <w:rPr>
          <w:rFonts w:hint="eastAsia"/>
        </w:rPr>
        <w:t>”</w:t>
      </w:r>
      <w:r>
        <w:t>技术创新和应用推广平台，针对碱渣等典型固体废物组织开展利用处置技术对接，促进先进适用技术转化落地，积极鼓励关键工艺开展示范应用，探索编制相关技术标准。</w:t>
      </w:r>
      <w:r>
        <w:rPr>
          <w:rFonts w:hint="eastAsia"/>
        </w:rPr>
        <w:t>加大固废高新人才引进力度，拓展人才引进方式，采用项目引进、专项资助引进等多元化方式，支持高校、科研院所、企业开展形式多样的人才引进和合作，开展共同联合办学，有效提升技术研究型产业人才的支撑力量。</w:t>
      </w:r>
    </w:p>
    <w:p w14:paraId="6DC24649">
      <w:pPr>
        <w:pStyle w:val="5"/>
        <w:numPr>
          <w:ilvl w:val="1"/>
          <w:numId w:val="1"/>
        </w:numPr>
      </w:pPr>
      <w:bookmarkStart w:id="90" w:name="_Toc1899"/>
      <w:r>
        <w:rPr>
          <w:rFonts w:hint="eastAsia"/>
        </w:rPr>
        <w:t>强化宣传引导</w:t>
      </w:r>
      <w:bookmarkEnd w:id="90"/>
    </w:p>
    <w:p w14:paraId="6B50A0F4">
      <w:pPr>
        <w:ind w:firstLine="640"/>
      </w:pPr>
      <w:r>
        <w:rPr>
          <w:rFonts w:hint="eastAsia"/>
        </w:rPr>
        <w:t>开展全面立体的“无废城市”宣传活动，充分利用电视、广播、报纸、公众号、短视频等媒体的传播力，大力宣传建设“无废城市”的重要意义和创建理念。鼓励创建“无废机关”“无废小区”“无废学校”“无废医院”“无废景区”“无废工地”“无废工厂”等城市“无废细胞”，促进形成“无废城市”创建氛围，培育“无废”理念和文化。到2025年，开展“无废细胞”建设的单位数量（机关、企事业单位、学校、饭店、商场、集贸市场、社区、村镇）不低于15个，政府、企事业单位、非政府环境组织、公众对“无废城市”建设的参与程度不低于95%。及时公布连云区“无废城市”建设的重要举措和阶段性成效，宣传固体废物源头减量、综合利用与安全处置的有益经验，使群众切实感受到“无废城市”建设带来的幸福感。</w:t>
      </w:r>
    </w:p>
    <w:p w14:paraId="2045A3FC">
      <w:pPr>
        <w:ind w:firstLine="640"/>
      </w:pPr>
      <w:r>
        <w:rPr>
          <w:rFonts w:hint="eastAsia"/>
        </w:rPr>
        <w:br w:type="page"/>
      </w:r>
    </w:p>
    <w:p w14:paraId="3C14672B">
      <w:pPr>
        <w:pStyle w:val="3"/>
        <w:numPr>
          <w:ilvl w:val="0"/>
          <w:numId w:val="1"/>
        </w:numPr>
      </w:pPr>
      <w:bookmarkStart w:id="91" w:name="_Toc10287"/>
      <w:r>
        <w:rPr>
          <w:rFonts w:hint="eastAsia"/>
        </w:rPr>
        <w:t>连云区“无废城市”建设亮点模式</w:t>
      </w:r>
      <w:bookmarkEnd w:id="91"/>
    </w:p>
    <w:p w14:paraId="2CA86BC0">
      <w:pPr>
        <w:pStyle w:val="5"/>
        <w:numPr>
          <w:ilvl w:val="1"/>
          <w:numId w:val="1"/>
        </w:numPr>
      </w:pPr>
      <w:bookmarkStart w:id="92" w:name="_Toc31689"/>
      <w:r>
        <w:rPr>
          <w:rFonts w:hint="eastAsia"/>
        </w:rPr>
        <w:t>碱渣治理，树立固废综合利用新“标杆”</w:t>
      </w:r>
      <w:bookmarkEnd w:id="92"/>
    </w:p>
    <w:p w14:paraId="5228490D">
      <w:pPr>
        <w:pStyle w:val="6"/>
        <w:numPr>
          <w:ilvl w:val="2"/>
          <w:numId w:val="1"/>
        </w:numPr>
      </w:pPr>
      <w:bookmarkStart w:id="93" w:name="_Toc1785"/>
      <w:r>
        <w:rPr>
          <w:rFonts w:hint="eastAsia"/>
        </w:rPr>
        <w:t>模式背景</w:t>
      </w:r>
      <w:bookmarkEnd w:id="93"/>
    </w:p>
    <w:p w14:paraId="7802B3A7">
      <w:pPr>
        <w:ind w:firstLine="640"/>
      </w:pPr>
      <w:r>
        <w:rPr>
          <w:rFonts w:hint="eastAsia"/>
        </w:rPr>
        <w:t>连云港碱厂建于1989年10月，是中国三大纯碱生产企业之一，2021年12月20日正式停产。连云港碱业有限公司采用氨碱法生产工艺，制碱过程中每1吨纯碱约产生10立方米废弃液体，其中含碱渣约0.3~0.6吨。碱厂每年排放废液1000万立方米，沉积形成白色膏状的碱渣100万立方米。</w:t>
      </w:r>
    </w:p>
    <w:p w14:paraId="62ED0126">
      <w:pPr>
        <w:ind w:firstLine="640"/>
      </w:pPr>
      <w:r>
        <w:rPr>
          <w:rFonts w:hint="eastAsia"/>
        </w:rPr>
        <w:t>碱渣场位于连云新城重点规划区域内，毗邻CBD和连云区政府、滨海旅游度假区、连云港港口，区域位置非常明显。碱业碱渣形成一片“白海”，严重影响了周边区域的总体规划发展，对城市环境和生态造成严重危害，长期影响着周边居民的正常生产生活。</w:t>
      </w:r>
    </w:p>
    <w:p w14:paraId="103298F3">
      <w:pPr>
        <w:pStyle w:val="6"/>
        <w:numPr>
          <w:ilvl w:val="2"/>
          <w:numId w:val="1"/>
        </w:numPr>
      </w:pPr>
      <w:bookmarkStart w:id="94" w:name="_Toc7266"/>
      <w:r>
        <w:rPr>
          <w:rFonts w:hint="eastAsia"/>
        </w:rPr>
        <w:t>连云做法</w:t>
      </w:r>
      <w:bookmarkEnd w:id="94"/>
    </w:p>
    <w:p w14:paraId="12B1AD68">
      <w:pPr>
        <w:ind w:firstLine="640"/>
      </w:pPr>
      <w:r>
        <w:rPr>
          <w:rFonts w:hint="eastAsia"/>
        </w:rPr>
        <w:t>为有效解决碱渣治理问题，保障连云新城整体规划的妥善实施和执行，改善周边区域环境，由中核生态环境有限公司实施</w:t>
      </w:r>
      <w:r>
        <w:t>碱渣治理与资源化利用创新示范项目</w:t>
      </w:r>
      <w:r>
        <w:rPr>
          <w:rFonts w:hint="eastAsia"/>
        </w:rPr>
        <w:t>。</w:t>
      </w:r>
    </w:p>
    <w:p w14:paraId="20D78559">
      <w:pPr>
        <w:ind w:firstLine="640"/>
      </w:pPr>
      <w:r>
        <w:rPr>
          <w:rFonts w:hint="eastAsia"/>
        </w:rPr>
        <w:t>中核生态环境有限公司利用国内首创的脱固盐技术，对连云港碱厂31年生产累计形成的3484万方碱渣进行综合治理，包括碱渣无害化处理、渣池土壤修复以及土地整理，将无害化处理后的碱渣制备成工程土，用于建筑地基或道路地基使用，消除碱渣对土壤、水体、空气等有害影响，满足国家固废管理减量化、无害化、资源化处理要求。该项目被纳入2022年江苏省重大项目清单和2022年连云区人大票决民生实事项目。</w:t>
      </w:r>
    </w:p>
    <w:p w14:paraId="7CDA1F22">
      <w:pPr>
        <w:ind w:firstLine="640"/>
      </w:pPr>
      <w:r>
        <w:t>项目通过降低氨碱废渣中氯离子及硫酸根离子含量，制备成工程土，用于选定区域填垫。项目采用分阶段治理的总体方式：</w:t>
      </w:r>
    </w:p>
    <w:p w14:paraId="01D12D83">
      <w:pPr>
        <w:ind w:firstLine="640"/>
      </w:pPr>
      <w:r>
        <w:rPr>
          <w:rFonts w:hint="eastAsia"/>
        </w:rPr>
        <w:t>①</w:t>
      </w:r>
      <w:r>
        <w:t>第一阶段</w:t>
      </w:r>
      <w:r>
        <w:rPr>
          <w:rFonts w:hint="eastAsia"/>
        </w:rPr>
        <w:t>：</w:t>
      </w:r>
      <w:r>
        <w:t>使用定制化设备系统将碱渣脱水至含水率60%以下，并</w:t>
      </w:r>
      <w:r>
        <w:rPr>
          <w:rFonts w:hint="eastAsia"/>
        </w:rPr>
        <w:t>将</w:t>
      </w:r>
      <w:r>
        <w:t>碱渣中的易溶盐固化于碱渣中且不再淋溶出</w:t>
      </w:r>
      <w:r>
        <w:rPr>
          <w:rFonts w:hint="eastAsia"/>
        </w:rPr>
        <w:t>。</w:t>
      </w:r>
      <w:r>
        <w:t>主要工艺流程：碱渣采挖及输送→渣浆除杂→渣浆改性脱水→余水处理达标排放。</w:t>
      </w:r>
    </w:p>
    <w:p w14:paraId="070E0CE1">
      <w:pPr>
        <w:ind w:firstLine="640"/>
      </w:pPr>
      <w:r>
        <w:rPr>
          <w:rFonts w:hint="eastAsia"/>
        </w:rPr>
        <w:t>②</w:t>
      </w:r>
      <w:r>
        <w:t>第二阶段</w:t>
      </w:r>
      <w:r>
        <w:rPr>
          <w:rFonts w:hint="eastAsia"/>
        </w:rPr>
        <w:t>：</w:t>
      </w:r>
      <w:r>
        <w:t>将脱水后的碱渣治理成满足技术要求的碱渣制备土填垫至指定区域</w:t>
      </w:r>
      <w:r>
        <w:rPr>
          <w:rFonts w:hint="eastAsia"/>
        </w:rPr>
        <w:t>。</w:t>
      </w:r>
      <w:r>
        <w:t>主要工艺流程为：碱渣制工程土→分层填垫→压实→黄土覆盖→岩土工程检测→地下水与岩土环境监测。</w:t>
      </w:r>
    </w:p>
    <w:p w14:paraId="34953CF4">
      <w:pPr>
        <w:pStyle w:val="28"/>
        <w:rPr>
          <w:rFonts w:hint="default"/>
        </w:rPr>
      </w:pPr>
      <w:r>
        <w:drawing>
          <wp:inline distT="0" distB="0" distL="0" distR="0">
            <wp:extent cx="5726430" cy="289179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26"/>
                    <a:srcRect t="3406" b="3160"/>
                    <a:stretch>
                      <a:fillRect/>
                    </a:stretch>
                  </pic:blipFill>
                  <pic:spPr>
                    <a:xfrm>
                      <a:off x="0" y="0"/>
                      <a:ext cx="5740418" cy="2891790"/>
                    </a:xfrm>
                    <a:prstGeom prst="rect">
                      <a:avLst/>
                    </a:prstGeom>
                  </pic:spPr>
                </pic:pic>
              </a:graphicData>
            </a:graphic>
          </wp:inline>
        </w:drawing>
      </w:r>
    </w:p>
    <w:p w14:paraId="0A99B49D">
      <w:pPr>
        <w:pStyle w:val="9"/>
        <w:spacing w:line="360" w:lineRule="auto"/>
      </w:pPr>
      <w:r>
        <w:rPr>
          <w:rFonts w:hint="eastAsia"/>
        </w:rPr>
        <w:t xml:space="preserve">图 </w:t>
      </w:r>
      <w:r>
        <w:rPr>
          <w:rFonts w:hint="eastAsia"/>
        </w:rPr>
        <w:fldChar w:fldCharType="begin"/>
      </w:r>
      <w:r>
        <w:rPr>
          <w:rFonts w:hint="eastAsia"/>
        </w:rPr>
        <w:instrText xml:space="preserve"> STYLEREF 2 \s </w:instrText>
      </w:r>
      <w:r>
        <w:rPr>
          <w:rFonts w:hint="eastAsia"/>
        </w:rPr>
        <w:fldChar w:fldCharType="separate"/>
      </w:r>
      <w:r>
        <w:t>7.1</w:t>
      </w:r>
      <w:r>
        <w:rPr>
          <w:rFonts w:hint="eastAsia"/>
        </w:rPr>
        <w:fldChar w:fldCharType="end"/>
      </w:r>
      <w:r>
        <w:rPr>
          <w:rFonts w:hint="eastAsia"/>
        </w:rPr>
        <w:noBreakHyphen/>
      </w:r>
      <w:r>
        <w:rPr>
          <w:rFonts w:hint="eastAsia"/>
        </w:rPr>
        <w:fldChar w:fldCharType="begin"/>
      </w:r>
      <w:r>
        <w:rPr>
          <w:rFonts w:hint="eastAsia"/>
        </w:rPr>
        <w:instrText xml:space="preserve"> SEQ 图 \* ARABIC \s 2 </w:instrText>
      </w:r>
      <w:r>
        <w:rPr>
          <w:rFonts w:hint="eastAsia"/>
        </w:rPr>
        <w:fldChar w:fldCharType="separate"/>
      </w:r>
      <w:r>
        <w:t>1</w:t>
      </w:r>
      <w:r>
        <w:rPr>
          <w:rFonts w:hint="eastAsia"/>
        </w:rPr>
        <w:fldChar w:fldCharType="end"/>
      </w:r>
      <w:r>
        <w:rPr>
          <w:rFonts w:hint="eastAsia"/>
        </w:rPr>
        <w:t xml:space="preserve">  碱渣采挖、脱水处理工艺流程图</w:t>
      </w:r>
    </w:p>
    <w:p w14:paraId="3C5A4EC4">
      <w:pPr>
        <w:ind w:firstLine="640"/>
      </w:pPr>
      <w:r>
        <w:rPr>
          <w:rFonts w:hint="eastAsia"/>
        </w:rPr>
        <w:t>该项目计划建设期1年，实施期6年。自2021年9月开始进行规模试验厂房、设备建设，2021年11月试车并进行试生产。2022年4月5日完成碱渣治理规模试验，累计处理5.2万方碱渣，相关指标已满足技术要求。目前该项目已取得项目备案证、规划许可、环评报告等前期手续，生产厂区建安工程已完成约80%工程量，预计8月底建成投产。</w:t>
      </w:r>
    </w:p>
    <w:p w14:paraId="59894CB9">
      <w:pPr>
        <w:ind w:firstLine="640"/>
      </w:pPr>
      <w:r>
        <w:t>碱渣治理与资源化利用创新项目工艺采用拥有自主知识产权的技术，使用的固化剂具有环境友好型特点，在碱渣不易运转的情况下，采用国内先进的生产设备及智能化控制系统，能够日均处理</w:t>
      </w:r>
      <w:r>
        <w:rPr>
          <w:rFonts w:hint="eastAsia"/>
        </w:rPr>
        <w:t>碱渣约2.32万立方米、制备工程土约1.97万立方米</w:t>
      </w:r>
      <w:r>
        <w:t>，达到国内先进水平。</w:t>
      </w:r>
      <w:r>
        <w:rPr>
          <w:rFonts w:hint="eastAsia"/>
        </w:rPr>
        <w:br w:type="page"/>
      </w:r>
    </w:p>
    <w:p w14:paraId="69C94331">
      <w:pPr>
        <w:pStyle w:val="5"/>
        <w:numPr>
          <w:ilvl w:val="1"/>
          <w:numId w:val="1"/>
        </w:numPr>
      </w:pPr>
      <w:bookmarkStart w:id="95" w:name="_Toc7279"/>
      <w:r>
        <w:rPr>
          <w:rFonts w:hint="eastAsia"/>
        </w:rPr>
        <w:t>焦油利用，实现危险废物“变废为宝”</w:t>
      </w:r>
      <w:bookmarkEnd w:id="95"/>
    </w:p>
    <w:p w14:paraId="1C6888DA">
      <w:pPr>
        <w:pStyle w:val="6"/>
        <w:numPr>
          <w:ilvl w:val="2"/>
          <w:numId w:val="1"/>
        </w:numPr>
      </w:pPr>
      <w:bookmarkStart w:id="96" w:name="_Toc27612"/>
      <w:r>
        <w:rPr>
          <w:rFonts w:hint="eastAsia"/>
        </w:rPr>
        <w:t>模式背景</w:t>
      </w:r>
      <w:bookmarkEnd w:id="96"/>
    </w:p>
    <w:p w14:paraId="2E7C249B">
      <w:pPr>
        <w:pStyle w:val="28"/>
        <w:rPr>
          <w:rFonts w:hint="default"/>
        </w:rPr>
      </w:pPr>
      <w:r>
        <w:drawing>
          <wp:inline distT="0" distB="0" distL="114300" distR="114300">
            <wp:extent cx="5292725" cy="2037715"/>
            <wp:effectExtent l="0" t="0" r="3175" b="635"/>
            <wp:docPr id="14" name="图片 1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图片1"/>
                    <pic:cNvPicPr>
                      <a:picLocks noChangeAspect="1"/>
                    </pic:cNvPicPr>
                  </pic:nvPicPr>
                  <pic:blipFill>
                    <a:blip r:embed="rId27"/>
                    <a:stretch>
                      <a:fillRect/>
                    </a:stretch>
                  </pic:blipFill>
                  <pic:spPr>
                    <a:xfrm>
                      <a:off x="0" y="0"/>
                      <a:ext cx="5292725" cy="2037715"/>
                    </a:xfrm>
                    <a:prstGeom prst="rect">
                      <a:avLst/>
                    </a:prstGeom>
                  </pic:spPr>
                </pic:pic>
              </a:graphicData>
            </a:graphic>
          </wp:inline>
        </w:drawing>
      </w:r>
    </w:p>
    <w:p w14:paraId="6A60320E">
      <w:pPr>
        <w:pStyle w:val="9"/>
        <w:spacing w:line="360" w:lineRule="auto"/>
      </w:pPr>
      <w:r>
        <w:rPr>
          <w:rFonts w:hint="eastAsia"/>
        </w:rPr>
        <w:t xml:space="preserve">图 </w:t>
      </w:r>
      <w:r>
        <w:rPr>
          <w:rFonts w:hint="eastAsia"/>
        </w:rPr>
        <w:fldChar w:fldCharType="begin"/>
      </w:r>
      <w:r>
        <w:rPr>
          <w:rFonts w:hint="eastAsia"/>
        </w:rPr>
        <w:instrText xml:space="preserve"> STYLEREF 2 \s </w:instrText>
      </w:r>
      <w:r>
        <w:rPr>
          <w:rFonts w:hint="eastAsia"/>
        </w:rPr>
        <w:fldChar w:fldCharType="separate"/>
      </w:r>
      <w:r>
        <w:t>7.2</w:t>
      </w:r>
      <w:r>
        <w:rPr>
          <w:rFonts w:hint="eastAsia"/>
        </w:rPr>
        <w:fldChar w:fldCharType="end"/>
      </w:r>
      <w:r>
        <w:rPr>
          <w:rFonts w:hint="eastAsia"/>
        </w:rPr>
        <w:noBreakHyphen/>
      </w:r>
      <w:r>
        <w:rPr>
          <w:rFonts w:hint="eastAsia"/>
        </w:rPr>
        <w:fldChar w:fldCharType="begin"/>
      </w:r>
      <w:r>
        <w:rPr>
          <w:rFonts w:hint="eastAsia"/>
        </w:rPr>
        <w:instrText xml:space="preserve"> SEQ 图 \* ARABIC \s 2 </w:instrText>
      </w:r>
      <w:r>
        <w:rPr>
          <w:rFonts w:hint="eastAsia"/>
        </w:rPr>
        <w:fldChar w:fldCharType="separate"/>
      </w:r>
      <w:r>
        <w:t>1</w:t>
      </w:r>
      <w:r>
        <w:rPr>
          <w:rFonts w:hint="eastAsia"/>
        </w:rPr>
        <w:fldChar w:fldCharType="end"/>
      </w:r>
      <w:r>
        <w:rPr>
          <w:rFonts w:hint="eastAsia"/>
        </w:rPr>
        <w:t xml:space="preserve">  连云区危废类别占比图</w:t>
      </w:r>
    </w:p>
    <w:p w14:paraId="316C9163">
      <w:pPr>
        <w:ind w:firstLine="640"/>
      </w:pPr>
      <w:r>
        <w:rPr>
          <w:rFonts w:hint="eastAsia"/>
        </w:rPr>
        <w:t>2022年连云区共产生危废2.19万吨，其中HW39含酚废物1.61万吨，主要为三吉利化工产生的精馏焦油1.12万吨，目前由三吉利化工自建的焚烧设施焚烧处置。</w:t>
      </w:r>
    </w:p>
    <w:p w14:paraId="25EDB293">
      <w:pPr>
        <w:pStyle w:val="6"/>
        <w:numPr>
          <w:ilvl w:val="2"/>
          <w:numId w:val="1"/>
        </w:numPr>
      </w:pPr>
      <w:bookmarkStart w:id="97" w:name="_Toc7562"/>
      <w:r>
        <w:rPr>
          <w:rFonts w:hint="eastAsia"/>
        </w:rPr>
        <w:t>连云做法</w:t>
      </w:r>
      <w:bookmarkEnd w:id="97"/>
    </w:p>
    <w:p w14:paraId="41131A10">
      <w:pPr>
        <w:ind w:firstLine="640"/>
      </w:pPr>
      <w:r>
        <w:rPr>
          <w:rFonts w:hint="eastAsia"/>
        </w:rPr>
        <w:t>连云区积极督促企业通过技术改造和产业链升级，减少危废的产生，提高危废资源化利用水平。</w:t>
      </w:r>
    </w:p>
    <w:p w14:paraId="0595525F">
      <w:pPr>
        <w:ind w:firstLine="640"/>
      </w:pPr>
      <w:r>
        <w:rPr>
          <w:rFonts w:hint="eastAsia"/>
        </w:rPr>
        <w:t>三吉利化工的苯二酚焦油含苯二酚产品约27%，焚烧处置不仅产品得不到回收，造成资源和能源浪费，同时较高的危废产生量和焚烧导致的碳排放也不利于环境保护。针对此问题，三吉利化工拟建设3万吨/年酚类防老阻燃新材料技术升级改造项目，采用全流程智能化生产线将原本焚烧处置的含酚焦油制成新材料产品。</w:t>
      </w:r>
    </w:p>
    <w:p w14:paraId="2ECE26FF">
      <w:pPr>
        <w:ind w:firstLine="643"/>
      </w:pPr>
      <w:r>
        <w:rPr>
          <w:rFonts w:hint="eastAsia"/>
          <w:b/>
          <w:bCs/>
        </w:rPr>
        <w:t>工艺简介：</w:t>
      </w:r>
      <w:r>
        <w:rPr>
          <w:rFonts w:hint="eastAsia"/>
        </w:rPr>
        <w:t>苯二酚、呋喃酚生产装置的酚焦油（苯二酚焦油含苯二酚产品约27%，共约12960吨）进入到薄膜蒸发器中，气相蒸馏出对苯二酚（含少量焦油）与过量三氯氧磷反应、催化剂、精馏后得到中间体后，与邻苯二酚反应，反应液经过精馏提纯后得到产品。薄膜蒸发器的底部液相与氯化苄/叔丁基氯化苄/间甲基氯化苄反应后，得到的反应液经过精馏、造粒包装得到橡胶防老剂产品。反应采用连续化生产工艺，全流程DCS控制。</w:t>
      </w:r>
    </w:p>
    <w:p w14:paraId="7A7AD416">
      <w:pPr>
        <w:pStyle w:val="28"/>
        <w:rPr>
          <w:rFonts w:hint="default"/>
        </w:rPr>
      </w:pPr>
      <w:r>
        <w:drawing>
          <wp:inline distT="0" distB="0" distL="114300" distR="114300">
            <wp:extent cx="5638800" cy="2499360"/>
            <wp:effectExtent l="0" t="0" r="0" b="15240"/>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r:embed="rId28"/>
                    <a:stretch>
                      <a:fillRect/>
                    </a:stretch>
                  </pic:blipFill>
                  <pic:spPr>
                    <a:xfrm>
                      <a:off x="0" y="0"/>
                      <a:ext cx="5638800" cy="2499360"/>
                    </a:xfrm>
                    <a:prstGeom prst="rect">
                      <a:avLst/>
                    </a:prstGeom>
                    <a:solidFill>
                      <a:srgbClr val="F9FBFA"/>
                    </a:solidFill>
                    <a:ln>
                      <a:noFill/>
                    </a:ln>
                  </pic:spPr>
                </pic:pic>
              </a:graphicData>
            </a:graphic>
          </wp:inline>
        </w:drawing>
      </w:r>
    </w:p>
    <w:p w14:paraId="29F637B5">
      <w:pPr>
        <w:pStyle w:val="9"/>
        <w:spacing w:line="360" w:lineRule="auto"/>
      </w:pPr>
      <w:r>
        <w:rPr>
          <w:rFonts w:hint="eastAsia"/>
        </w:rPr>
        <w:t xml:space="preserve">图 </w:t>
      </w:r>
      <w:r>
        <w:rPr>
          <w:rFonts w:hint="eastAsia"/>
        </w:rPr>
        <w:fldChar w:fldCharType="begin"/>
      </w:r>
      <w:r>
        <w:rPr>
          <w:rFonts w:hint="eastAsia"/>
        </w:rPr>
        <w:instrText xml:space="preserve"> STYLEREF 2 \s </w:instrText>
      </w:r>
      <w:r>
        <w:rPr>
          <w:rFonts w:hint="eastAsia"/>
        </w:rPr>
        <w:fldChar w:fldCharType="separate"/>
      </w:r>
      <w:r>
        <w:t>7.2</w:t>
      </w:r>
      <w:r>
        <w:rPr>
          <w:rFonts w:hint="eastAsia"/>
        </w:rPr>
        <w:fldChar w:fldCharType="end"/>
      </w:r>
      <w:r>
        <w:rPr>
          <w:rFonts w:hint="eastAsia"/>
        </w:rPr>
        <w:noBreakHyphen/>
      </w:r>
      <w:r>
        <w:rPr>
          <w:rFonts w:hint="eastAsia"/>
        </w:rPr>
        <w:fldChar w:fldCharType="begin"/>
      </w:r>
      <w:r>
        <w:rPr>
          <w:rFonts w:hint="eastAsia"/>
        </w:rPr>
        <w:instrText xml:space="preserve"> SEQ 图 \* ARABIC \s 2 </w:instrText>
      </w:r>
      <w:r>
        <w:rPr>
          <w:rFonts w:hint="eastAsia"/>
        </w:rPr>
        <w:fldChar w:fldCharType="separate"/>
      </w:r>
      <w:r>
        <w:t>2</w:t>
      </w:r>
      <w:r>
        <w:rPr>
          <w:rFonts w:hint="eastAsia"/>
        </w:rPr>
        <w:fldChar w:fldCharType="end"/>
      </w:r>
      <w:r>
        <w:rPr>
          <w:rFonts w:hint="eastAsia"/>
        </w:rPr>
        <w:t xml:space="preserve">  焦油综合利用工艺流程图</w:t>
      </w:r>
    </w:p>
    <w:p w14:paraId="576FD31A">
      <w:pPr>
        <w:ind w:firstLine="640"/>
      </w:pPr>
      <w:r>
        <w:rPr>
          <w:rFonts w:hint="eastAsia"/>
        </w:rPr>
        <w:t>项目建成运行后，三吉利化工产生的含酚焦油（环评量12960吨/年）将由原本的危废转变成3万吨/年的酚类防老剂和阻燃剂产品，在减少危废产生的同时减少碳排放，提高资源利用效率，实现危险废物“变废为宝”。</w:t>
      </w:r>
    </w:p>
    <w:p w14:paraId="43189187">
      <w:pPr>
        <w:ind w:firstLine="640"/>
      </w:pPr>
      <w:r>
        <w:rPr>
          <w:rFonts w:hint="eastAsia"/>
        </w:rPr>
        <w:br w:type="page"/>
      </w:r>
    </w:p>
    <w:p w14:paraId="4AF7BC44">
      <w:pPr>
        <w:pStyle w:val="5"/>
        <w:numPr>
          <w:ilvl w:val="1"/>
          <w:numId w:val="1"/>
        </w:numPr>
      </w:pPr>
      <w:bookmarkStart w:id="98" w:name="_Toc15506"/>
      <w:r>
        <w:rPr>
          <w:rFonts w:hint="eastAsia"/>
        </w:rPr>
        <w:t>山海统筹，打造“无废”海滨新城区</w:t>
      </w:r>
      <w:bookmarkEnd w:id="98"/>
    </w:p>
    <w:p w14:paraId="1901B438">
      <w:pPr>
        <w:pStyle w:val="6"/>
        <w:numPr>
          <w:ilvl w:val="2"/>
          <w:numId w:val="1"/>
        </w:numPr>
      </w:pPr>
      <w:bookmarkStart w:id="99" w:name="_Toc18288"/>
      <w:r>
        <w:rPr>
          <w:rFonts w:hint="eastAsia"/>
        </w:rPr>
        <w:t>模式背景</w:t>
      </w:r>
      <w:bookmarkEnd w:id="99"/>
    </w:p>
    <w:p w14:paraId="50DB2A0A">
      <w:pPr>
        <w:ind w:firstLine="640"/>
      </w:pPr>
      <w:r>
        <w:rPr>
          <w:rFonts w:hint="eastAsia"/>
        </w:rPr>
        <w:t>连云区位于黄海之滨，旅游资源丰富。云台山雄踞中间，蜿蜒的海岸线，幽静的天然港湾，生机勃勃的港口码头，苍翠茂密的山林，千姿百态的山峰，静谧辽阔的湿地，加之历史久远的文化遗迹，共同构成了连云区丰富的自然景观和人文景观。境内有江苏最高山脉云台山、江苏最大的海岛连岛、江苏最优质的沙滩连岛大沙湾海滨浴场、中国最大的核电站田湾核电站、中国最长的拦海大堤西大堤；有绵延深邃的云台山国家森林公园。全区已形成以连云港海滨旅游度假区、连岛旅游景区、海上云台山景区、高公岛滨海旅游风景区四大著名风景游览区，具有鲜明的海滨特色。随着旅游热度升级，景区和海洋垃圾也成为亟需关注的问题。</w:t>
      </w:r>
    </w:p>
    <w:p w14:paraId="51B5C5B6">
      <w:pPr>
        <w:pStyle w:val="6"/>
        <w:numPr>
          <w:ilvl w:val="2"/>
          <w:numId w:val="1"/>
        </w:numPr>
      </w:pPr>
      <w:bookmarkStart w:id="100" w:name="_Toc8803"/>
      <w:r>
        <w:rPr>
          <w:rFonts w:hint="eastAsia"/>
        </w:rPr>
        <w:t>连云做法</w:t>
      </w:r>
      <w:bookmarkEnd w:id="100"/>
    </w:p>
    <w:p w14:paraId="51FCE6A7">
      <w:pPr>
        <w:pStyle w:val="7"/>
        <w:ind w:firstLine="640"/>
      </w:pPr>
      <w:r>
        <w:rPr>
          <w:rFonts w:hint="eastAsia"/>
        </w:rPr>
        <w:t>（1）规划连云旅游新业态</w:t>
      </w:r>
    </w:p>
    <w:p w14:paraId="7583BA7D">
      <w:pPr>
        <w:ind w:firstLine="643"/>
      </w:pPr>
      <w:r>
        <w:rPr>
          <w:rFonts w:hint="eastAsia"/>
          <w:b/>
          <w:bCs/>
        </w:rPr>
        <w:t>优化提升两大重点旅游产品。优化提升海滨度假旅游产品。</w:t>
      </w:r>
      <w:r>
        <w:rPr>
          <w:rFonts w:hint="eastAsia"/>
        </w:rPr>
        <w:t>以连云区海岸线为依托，以连岛5A景区、国家级海滨旅游度假区为龙头引领，规划和开发多样性的滨海度假资源，通过整合资源、空间扩展、特色打造三大动能，带动岛屿、海湾、港口等优势资源的发展利用，打造高端海滨休闲度假旅游目的地。</w:t>
      </w:r>
      <w:r>
        <w:rPr>
          <w:rFonts w:hint="eastAsia"/>
          <w:b/>
          <w:bCs/>
        </w:rPr>
        <w:t>优化提升山岳运动旅游产品。</w:t>
      </w:r>
      <w:r>
        <w:rPr>
          <w:rFonts w:hint="eastAsia"/>
        </w:rPr>
        <w:t>利用海上云台山的山地资源和生态本底，垂直开发和布局山岳运动产品，构筑山上运动山下康养的旅游大产业，辐射带动周边街道发展，打造最具吸引力的山岳运动休闲旅游体验区。</w:t>
      </w:r>
    </w:p>
    <w:p w14:paraId="166369B0">
      <w:pPr>
        <w:ind w:firstLine="643"/>
      </w:pPr>
      <w:r>
        <w:rPr>
          <w:rFonts w:hint="eastAsia"/>
          <w:b/>
          <w:bCs/>
        </w:rPr>
        <w:t>重点培育两大潜力旅游产品。</w:t>
      </w:r>
      <w:r>
        <w:rPr>
          <w:b/>
          <w:bCs/>
        </w:rPr>
        <w:t>培育乡村休闲旅游产品。</w:t>
      </w:r>
      <w:r>
        <w:t>依托连云区多元化农、渔业基础，全面调整乡村产业结构，实施“一村一品、一户一业态”的差异化战略。延伸农业产业链，创意植入产业园、生态园、精品田园等新型旅游业态</w:t>
      </w:r>
      <w:r>
        <w:rPr>
          <w:rFonts w:hint="eastAsia"/>
        </w:rPr>
        <w:t>，</w:t>
      </w:r>
      <w:r>
        <w:t>提升休闲农业与乡村旅游的档次和实力。</w:t>
      </w:r>
      <w:r>
        <w:rPr>
          <w:b/>
          <w:bCs/>
        </w:rPr>
        <w:t>培育康养医疗旅游产品。</w:t>
      </w:r>
      <w:r>
        <w:t>依托现有医疗资源，以健康连云港建设为契机，做大做强健康旅游产业，构建“苏北最美生态养生港”产业品牌。构建以温泉康养、生态康养、医疗康养为特色支撑的康养医疗度假产品体系。</w:t>
      </w:r>
    </w:p>
    <w:p w14:paraId="562EC6B3">
      <w:pPr>
        <w:ind w:firstLine="643"/>
      </w:pPr>
      <w:r>
        <w:rPr>
          <w:b/>
          <w:bCs/>
        </w:rPr>
        <w:t>创新打造工业体验旅游产品。</w:t>
      </w:r>
      <w:r>
        <w:t>开拓工业旅游创新思维，形成</w:t>
      </w:r>
      <w:r>
        <w:rPr>
          <w:rFonts w:hint="eastAsia"/>
        </w:rPr>
        <w:t>“</w:t>
      </w:r>
      <w:r>
        <w:t>工业+旅游+文化</w:t>
      </w:r>
      <w:r>
        <w:rPr>
          <w:rFonts w:hint="eastAsia"/>
        </w:rPr>
        <w:t>”</w:t>
      </w:r>
      <w:r>
        <w:t>的综合性开发模式。基于独特的港口工业环境及特色产品加工，发展港口工业文化旅游，衍生发展工业观光休闲、文化创意、个性化定制、手工体验等特色产品；利用核电工业园的优势，开发工业科普、体验等参与性旅游产品；利用板桥工业园区的优势，开发</w:t>
      </w:r>
      <w:r>
        <w:rPr>
          <w:rFonts w:hint="eastAsia"/>
        </w:rPr>
        <w:t>淮盐文化相关</w:t>
      </w:r>
      <w:r>
        <w:t>项目，形成连云区乃至江苏省具有代表性的工业旅游新业态集群。</w:t>
      </w:r>
    </w:p>
    <w:p w14:paraId="340C5226">
      <w:pPr>
        <w:pStyle w:val="7"/>
        <w:ind w:firstLine="640"/>
      </w:pPr>
      <w:r>
        <w:rPr>
          <w:rFonts w:hint="eastAsia"/>
        </w:rPr>
        <w:t>（2）探索创建“无废景区”</w:t>
      </w:r>
    </w:p>
    <w:p w14:paraId="3D09EE72">
      <w:pPr>
        <w:ind w:firstLine="643"/>
      </w:pPr>
      <w:r>
        <w:rPr>
          <w:rFonts w:hint="eastAsia"/>
          <w:b/>
          <w:bCs/>
        </w:rPr>
        <w:t>打造“无废”旅游第一印象区</w:t>
      </w:r>
      <w:r>
        <w:rPr>
          <w:rFonts w:hint="eastAsia"/>
        </w:rPr>
        <w:t>。从机场、火车站、汽车站、口岸，到景区、酒店、餐厅的第一印象区，通过城市欢迎短信、广告标语、网络新媒体等，多途径宣传连云区“无废城市”建设，打造“无废”宣传廊道，提高“无废城市”的社会知晓度和参与度。</w:t>
      </w:r>
      <w:r>
        <w:rPr>
          <w:rFonts w:hint="eastAsia"/>
          <w:b/>
          <w:bCs/>
        </w:rPr>
        <w:t>加强旅游环境容量监测。</w:t>
      </w:r>
      <w:r>
        <w:rPr>
          <w:rFonts w:hint="eastAsia"/>
        </w:rPr>
        <w:t>科学评估旅游环境容量，根据环境容量和资源承载力实施分类指导，合理控制景区旅游项目建设、旅游活动规模和环境影响。鼓励旅游景区建立旅游环境监测预警机制，实施旅游景区门票预约制度，有计划地采取各种限流和分流措施，科学管理景区的资源消耗。</w:t>
      </w:r>
      <w:r>
        <w:rPr>
          <w:rFonts w:hint="eastAsia"/>
          <w:b/>
          <w:bCs/>
        </w:rPr>
        <w:t>探索“无废景区”模式。</w:t>
      </w:r>
      <w:r>
        <w:rPr>
          <w:rFonts w:hint="eastAsia"/>
        </w:rPr>
        <w:t>推动旅游景区门票电子化。倡导景区限制销售过度包装的旅游商品。在景区内推行环保垃圾袋发放及回收制度，倡导游客将垃圾带离景区，鼓励游客将垃圾投放到指定地点。探索建立“无废景区”建设标准，将“无废景区”建设理念融入到星级景区创建工作中。</w:t>
      </w:r>
    </w:p>
    <w:p w14:paraId="6AAA15BE">
      <w:pPr>
        <w:ind w:firstLine="643"/>
      </w:pPr>
      <w:r>
        <w:rPr>
          <w:rFonts w:hint="eastAsia"/>
          <w:b/>
          <w:bCs/>
        </w:rPr>
        <w:t>深入落实垃圾分类。</w:t>
      </w:r>
      <w:r>
        <w:rPr>
          <w:rFonts w:hint="eastAsia"/>
        </w:rPr>
        <w:t>按照垃圾分类实施方案，率先在星级饭店、A级旅游景区、旅行社开展垃圾分类工作。倡导旅游景区积极开展垃圾分类宣传工作，在公共区域设置专用宣传栏，介绍垃圾分类基础知识和分类标准。</w:t>
      </w:r>
      <w:r>
        <w:rPr>
          <w:rFonts w:hint="eastAsia"/>
          <w:b/>
          <w:bCs/>
        </w:rPr>
        <w:t>鼓励废品创意利用。</w:t>
      </w:r>
      <w:r>
        <w:rPr>
          <w:rFonts w:hint="eastAsia"/>
        </w:rPr>
        <w:t>鼓励A级旅游景区、滨海旅游经营者发挥创意，将废金属、编织袋、木头、贝壳等转变为创意小品景观，实现废物资源化与艺术化，使之成为新的旅游吸引物。</w:t>
      </w:r>
      <w:r>
        <w:rPr>
          <w:rFonts w:hint="eastAsia"/>
          <w:b/>
          <w:bCs/>
        </w:rPr>
        <w:t>加强旅游环境监督。</w:t>
      </w:r>
      <w:r>
        <w:rPr>
          <w:rFonts w:hint="eastAsia"/>
        </w:rPr>
        <w:t>加强对旅游项目建设和旅游景区经营的环境监督管理。禁止在旅游区内随意倾倒、堆放或扔弃建筑垃圾、废纸、果皮、包装物等固体垃圾，有效防止旅游开发和经营中的环境污染和生态破坏。</w:t>
      </w:r>
    </w:p>
    <w:p w14:paraId="2D97AB54">
      <w:pPr>
        <w:ind w:firstLine="643"/>
      </w:pPr>
      <w:r>
        <w:rPr>
          <w:rFonts w:hint="eastAsia"/>
          <w:b/>
          <w:bCs/>
        </w:rPr>
        <w:t>构建绿色旅游宣传教育体系。</w:t>
      </w:r>
      <w:r>
        <w:rPr>
          <w:rFonts w:hint="eastAsia"/>
        </w:rPr>
        <w:t>将绿色旅游形象宣传融入旅游宣传中，强化旅游市场认知。鼓励旅游景区积极营造“无废城市”的环境和氛围，引导游客树立垃圾源头减量自觉意识。组织开展旅游从业人员专项培训活动，要求在旅游解说中加强绿色环保教育。</w:t>
      </w:r>
      <w:r>
        <w:rPr>
          <w:rFonts w:hint="eastAsia"/>
          <w:b/>
          <w:bCs/>
        </w:rPr>
        <w:t>引导游客积极参与。</w:t>
      </w:r>
      <w:r>
        <w:rPr>
          <w:rFonts w:hint="eastAsia"/>
        </w:rPr>
        <w:t>鼓励A级旅游景区建设“垃圾银行”，利用捡垃圾换门票、捡垃圾换礼品等方式，吸引游客加入环境保护队伍，成为环境保护的践行者。</w:t>
      </w:r>
    </w:p>
    <w:p w14:paraId="00D8BF89">
      <w:pPr>
        <w:pStyle w:val="7"/>
        <w:ind w:firstLine="640"/>
      </w:pPr>
      <w:r>
        <w:rPr>
          <w:rFonts w:hint="eastAsia"/>
        </w:rPr>
        <w:t>（3）海岸线综合环境整治</w:t>
      </w:r>
    </w:p>
    <w:p w14:paraId="2B1DDAA0">
      <w:pPr>
        <w:ind w:firstLine="643"/>
      </w:pPr>
      <w:r>
        <w:rPr>
          <w:rFonts w:hint="eastAsia"/>
          <w:b/>
          <w:bCs/>
        </w:rPr>
        <w:t>提高思想认识，明确任务分工。</w:t>
      </w:r>
      <w:r>
        <w:rPr>
          <w:rFonts w:hint="eastAsia"/>
        </w:rPr>
        <w:t>连云区印发了《连云区海洋清漂专项行动实施方案》明确目标任务、责任单位、时间节点、推进措施和实施范围，确保各项工作序时推进、有效推进。</w:t>
      </w:r>
    </w:p>
    <w:p w14:paraId="734D8A99">
      <w:pPr>
        <w:ind w:firstLine="643"/>
      </w:pPr>
      <w:r>
        <w:rPr>
          <w:rFonts w:hint="eastAsia"/>
          <w:b/>
          <w:bCs/>
        </w:rPr>
        <w:t>突出整治重点，提高管理水平。</w:t>
      </w:r>
      <w:r>
        <w:rPr>
          <w:rFonts w:hint="eastAsia"/>
        </w:rPr>
        <w:t>林海局联合连云生态环境局和各涉海街道，以环境卫生综合整治为抓手，明确岸滩垃圾清理职责，持续加强海州湾街道西墅沙滩海岸线、西大堤小广场、连岛、高公岛等海岸线环境卫生综合整治力度，实现近海垃圾治理规范化、制度化。针对海岸线垃圾易受潮流、气象等因素影响特点，不定期对辖区范围内沙滩海岸线及周边积存垃圾点进行排查，将西墅沙滩、在海一方、连岛等重要节点纳入保洁范围，区城管局及相关属地街道每个点位安排2-3名保洁员实行海域垃圾常态化日常保洁，确保海岸线无积存、无死角，实现海岸线常态化长效化管理。</w:t>
      </w:r>
    </w:p>
    <w:p w14:paraId="35817939">
      <w:pPr>
        <w:ind w:firstLine="643"/>
      </w:pPr>
      <w:r>
        <w:rPr>
          <w:rFonts w:hint="eastAsia"/>
          <w:b/>
          <w:bCs/>
        </w:rPr>
        <w:t>成立应急队伍，做好应急保障。</w:t>
      </w:r>
      <w:r>
        <w:rPr>
          <w:rFonts w:hint="eastAsia"/>
        </w:rPr>
        <w:t>针对台风、暴雨等恶劣天气及旅游高峰期，制定应急处置工作方案，组织环卫人员，调配机械作业车辆成立应急队伍，为海洋灾害风险和应急处置提供队伍保障，确保保障工作有效可行。同时根据潮汐变化情况，及时开展海漂垃圾清理整治，整治后还原沙滩本色，以实际行动落实清漂工作。</w:t>
      </w:r>
    </w:p>
    <w:p w14:paraId="44C602F9">
      <w:pPr>
        <w:pStyle w:val="28"/>
        <w:rPr>
          <w:rFonts w:hint="default"/>
        </w:rPr>
      </w:pPr>
      <w:r>
        <w:drawing>
          <wp:inline distT="0" distB="0" distL="114300" distR="114300">
            <wp:extent cx="4542790" cy="3735705"/>
            <wp:effectExtent l="0" t="0" r="10160" b="17145"/>
            <wp:docPr id="20" name="图片 20"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图片1"/>
                    <pic:cNvPicPr>
                      <a:picLocks noChangeAspect="1"/>
                    </pic:cNvPicPr>
                  </pic:nvPicPr>
                  <pic:blipFill>
                    <a:blip r:embed="rId29"/>
                    <a:stretch>
                      <a:fillRect/>
                    </a:stretch>
                  </pic:blipFill>
                  <pic:spPr>
                    <a:xfrm>
                      <a:off x="0" y="0"/>
                      <a:ext cx="4542790" cy="3735705"/>
                    </a:xfrm>
                    <a:prstGeom prst="rect">
                      <a:avLst/>
                    </a:prstGeom>
                  </pic:spPr>
                </pic:pic>
              </a:graphicData>
            </a:graphic>
          </wp:inline>
        </w:drawing>
      </w:r>
    </w:p>
    <w:p w14:paraId="51F46EEB">
      <w:pPr>
        <w:pStyle w:val="9"/>
        <w:spacing w:line="360" w:lineRule="auto"/>
      </w:pPr>
      <w:r>
        <w:rPr>
          <w:rFonts w:hint="eastAsia"/>
        </w:rPr>
        <w:t xml:space="preserve">图 </w:t>
      </w:r>
      <w:r>
        <w:rPr>
          <w:rFonts w:hint="eastAsia"/>
        </w:rPr>
        <w:fldChar w:fldCharType="begin"/>
      </w:r>
      <w:r>
        <w:rPr>
          <w:rFonts w:hint="eastAsia"/>
        </w:rPr>
        <w:instrText xml:space="preserve"> STYLEREF 2 \s </w:instrText>
      </w:r>
      <w:r>
        <w:rPr>
          <w:rFonts w:hint="eastAsia"/>
        </w:rPr>
        <w:fldChar w:fldCharType="separate"/>
      </w:r>
      <w:r>
        <w:t>7.3</w:t>
      </w:r>
      <w:r>
        <w:rPr>
          <w:rFonts w:hint="eastAsia"/>
        </w:rPr>
        <w:fldChar w:fldCharType="end"/>
      </w:r>
      <w:r>
        <w:rPr>
          <w:rFonts w:hint="eastAsia"/>
        </w:rPr>
        <w:noBreakHyphen/>
      </w:r>
      <w:r>
        <w:rPr>
          <w:rFonts w:hint="eastAsia"/>
        </w:rPr>
        <w:fldChar w:fldCharType="begin"/>
      </w:r>
      <w:r>
        <w:rPr>
          <w:rFonts w:hint="eastAsia"/>
        </w:rPr>
        <w:instrText xml:space="preserve"> SEQ 图 \* ARABIC \s 2 </w:instrText>
      </w:r>
      <w:r>
        <w:rPr>
          <w:rFonts w:hint="eastAsia"/>
        </w:rPr>
        <w:fldChar w:fldCharType="separate"/>
      </w:r>
      <w:r>
        <w:t>1</w:t>
      </w:r>
      <w:r>
        <w:rPr>
          <w:rFonts w:hint="eastAsia"/>
        </w:rPr>
        <w:fldChar w:fldCharType="end"/>
      </w:r>
      <w:r>
        <w:rPr>
          <w:rFonts w:hint="eastAsia"/>
        </w:rPr>
        <w:t xml:space="preserve">  海洋垃圾清理现场照片</w:t>
      </w:r>
    </w:p>
    <w:p w14:paraId="4B655A9D">
      <w:pPr>
        <w:pStyle w:val="7"/>
        <w:ind w:firstLine="640"/>
      </w:pPr>
      <w:r>
        <w:rPr>
          <w:rFonts w:hint="eastAsia"/>
        </w:rPr>
        <w:t>（4）开展海域养殖管控工作</w:t>
      </w:r>
    </w:p>
    <w:p w14:paraId="62A50CAB">
      <w:pPr>
        <w:ind w:firstLine="643"/>
      </w:pPr>
      <w:r>
        <w:rPr>
          <w:rFonts w:hint="eastAsia"/>
          <w:b/>
          <w:bCs/>
        </w:rPr>
        <w:t>加强海上和滩涂管控。</w:t>
      </w:r>
      <w:r>
        <w:rPr>
          <w:rFonts w:hint="eastAsia"/>
        </w:rPr>
        <w:t>严格落实《连云港市连云区养殖水域滩涂规划》（2018-2030）要求，加强养殖区、限养区、禁养区“三区”管理，严控海水养殖规模和密度，进一步规范水产养殖行为，保持可养水域面积总体稳定。要求各街道、村居按照“谁发包、谁清理”的原则履行主体责任，积极动员和引导辖区海域非法养殖户自行清理所养殖的水产品，并拆除海上废弃筏架和养殖器具。</w:t>
      </w:r>
    </w:p>
    <w:p w14:paraId="21266DD1">
      <w:pPr>
        <w:ind w:firstLine="643"/>
      </w:pPr>
      <w:r>
        <w:rPr>
          <w:rFonts w:hint="eastAsia"/>
          <w:b/>
          <w:bCs/>
        </w:rPr>
        <w:t>积极开展海洋生态环保宣传活动。</w:t>
      </w:r>
      <w:r>
        <w:rPr>
          <w:rFonts w:hint="eastAsia"/>
        </w:rPr>
        <w:t>连云区在“海洋日”、“放鱼日”等重大节日组织开展“增养殖放流”、“海洋环保宣传”等活动，形成爱海护海人人有责的良好氛围。</w:t>
      </w:r>
    </w:p>
    <w:p w14:paraId="144C5E80">
      <w:pPr>
        <w:pStyle w:val="7"/>
        <w:ind w:firstLine="640"/>
      </w:pPr>
      <w:r>
        <w:rPr>
          <w:rFonts w:hint="eastAsia"/>
        </w:rPr>
        <w:t>（5）加强渔港码头垃圾回收</w:t>
      </w:r>
    </w:p>
    <w:p w14:paraId="1F9B722E">
      <w:pPr>
        <w:ind w:firstLine="643"/>
      </w:pPr>
      <w:r>
        <w:rPr>
          <w:rFonts w:hint="eastAsia"/>
          <w:b/>
          <w:bCs/>
        </w:rPr>
        <w:t>一是</w:t>
      </w:r>
      <w:r>
        <w:rPr>
          <w:rFonts w:hint="eastAsia"/>
        </w:rPr>
        <w:t>在连岛、高公岛等渔港码头、船舶停靠点设置垃圾收集站或区域，将垃圾集中进行处理。</w:t>
      </w:r>
      <w:r>
        <w:rPr>
          <w:rFonts w:hint="eastAsia"/>
          <w:b/>
          <w:bCs/>
        </w:rPr>
        <w:t>二是</w:t>
      </w:r>
      <w:r>
        <w:rPr>
          <w:rFonts w:hint="eastAsia"/>
        </w:rPr>
        <w:t>对垃圾收集站或区域实行巡回转运制度，做到日收日清，定时定点，并按照垃圾分类要求进行分类收集，袋装后由垃圾转运车辆运至中转站或垃圾终端处理设施。</w:t>
      </w:r>
      <w:r>
        <w:rPr>
          <w:rFonts w:hint="eastAsia"/>
          <w:b/>
          <w:bCs/>
        </w:rPr>
        <w:t>三是</w:t>
      </w:r>
      <w:r>
        <w:rPr>
          <w:rFonts w:hint="eastAsia"/>
        </w:rPr>
        <w:t>垃圾应及时转运至指定地点，确保码头、岸边的清理整洁。</w:t>
      </w:r>
    </w:p>
    <w:p w14:paraId="7DF8489F">
      <w:pPr>
        <w:ind w:firstLine="640"/>
      </w:pPr>
    </w:p>
    <w:p w14:paraId="20CD7D22">
      <w:pPr>
        <w:pStyle w:val="19"/>
        <w:ind w:left="640" w:firstLine="640"/>
      </w:pPr>
    </w:p>
    <w:p w14:paraId="54620D38">
      <w:pPr>
        <w:pStyle w:val="19"/>
        <w:ind w:left="640" w:firstLine="640"/>
        <w:sectPr>
          <w:footerReference r:id="rId14" w:type="default"/>
          <w:pgSz w:w="11906" w:h="16838"/>
          <w:pgMar w:top="1440" w:right="1440" w:bottom="1440" w:left="1440" w:header="851" w:footer="992" w:gutter="0"/>
          <w:pgNumType w:start="1"/>
          <w:cols w:space="425" w:num="1"/>
          <w:docGrid w:type="lines" w:linePitch="312" w:charSpace="0"/>
        </w:sectPr>
      </w:pPr>
    </w:p>
    <w:p w14:paraId="08500A5B">
      <w:pPr>
        <w:pStyle w:val="3"/>
      </w:pPr>
      <w:bookmarkStart w:id="101" w:name="_Toc17554"/>
      <w:r>
        <w:rPr>
          <w:rFonts w:hint="eastAsia"/>
        </w:rPr>
        <w:t xml:space="preserve">附件1 </w:t>
      </w:r>
    </w:p>
    <w:p w14:paraId="539C0354">
      <w:pPr>
        <w:pStyle w:val="3"/>
        <w:jc w:val="center"/>
      </w:pPr>
      <w:r>
        <w:rPr>
          <w:rFonts w:hint="eastAsia"/>
        </w:rPr>
        <w:t>连云区“无废城市”建设废物清单</w:t>
      </w:r>
      <w:bookmarkEnd w:id="101"/>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1"/>
        <w:gridCol w:w="768"/>
        <w:gridCol w:w="765"/>
        <w:gridCol w:w="895"/>
        <w:gridCol w:w="595"/>
        <w:gridCol w:w="541"/>
        <w:gridCol w:w="264"/>
        <w:gridCol w:w="408"/>
        <w:gridCol w:w="255"/>
        <w:gridCol w:w="300"/>
        <w:gridCol w:w="306"/>
        <w:gridCol w:w="130"/>
        <w:gridCol w:w="176"/>
        <w:gridCol w:w="643"/>
        <w:gridCol w:w="513"/>
        <w:gridCol w:w="68"/>
        <w:gridCol w:w="96"/>
        <w:gridCol w:w="1190"/>
        <w:gridCol w:w="113"/>
        <w:gridCol w:w="261"/>
        <w:gridCol w:w="40"/>
        <w:gridCol w:w="674"/>
        <w:gridCol w:w="425"/>
        <w:gridCol w:w="510"/>
        <w:gridCol w:w="159"/>
        <w:gridCol w:w="731"/>
        <w:gridCol w:w="164"/>
        <w:gridCol w:w="873"/>
        <w:gridCol w:w="122"/>
        <w:gridCol w:w="45"/>
        <w:gridCol w:w="196"/>
        <w:gridCol w:w="646"/>
        <w:gridCol w:w="765"/>
      </w:tblGrid>
      <w:tr w14:paraId="3E4B7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3"/>
            <w:vAlign w:val="center"/>
          </w:tcPr>
          <w:p w14:paraId="4651AF97">
            <w:pPr>
              <w:pStyle w:val="33"/>
              <w:spacing w:line="240" w:lineRule="auto"/>
              <w:ind w:firstLine="0" w:firstLineChars="0"/>
              <w:jc w:val="both"/>
              <w:rPr>
                <w:rFonts w:eastAsia="仿宋"/>
                <w:b/>
                <w:bCs/>
                <w:sz w:val="24"/>
                <w:szCs w:val="24"/>
              </w:rPr>
            </w:pPr>
            <w:r>
              <w:rPr>
                <w:rFonts w:eastAsia="仿宋"/>
                <w:b/>
                <w:bCs/>
                <w:sz w:val="24"/>
                <w:szCs w:val="24"/>
              </w:rPr>
              <w:t>一般工业固体废物</w:t>
            </w:r>
          </w:p>
        </w:tc>
      </w:tr>
      <w:tr w14:paraId="3EF64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8" w:type="pct"/>
            <w:gridSpan w:val="2"/>
            <w:vAlign w:val="center"/>
          </w:tcPr>
          <w:p w14:paraId="5F2C4600">
            <w:pPr>
              <w:pStyle w:val="33"/>
              <w:spacing w:line="240" w:lineRule="auto"/>
              <w:ind w:firstLine="0" w:firstLineChars="0"/>
              <w:rPr>
                <w:rFonts w:eastAsia="仿宋"/>
                <w:b/>
                <w:bCs/>
                <w:sz w:val="24"/>
                <w:szCs w:val="24"/>
              </w:rPr>
            </w:pPr>
            <w:r>
              <w:rPr>
                <w:rFonts w:eastAsia="仿宋"/>
                <w:b/>
                <w:bCs/>
                <w:sz w:val="24"/>
                <w:szCs w:val="24"/>
              </w:rPr>
              <w:t>代码</w:t>
            </w:r>
          </w:p>
        </w:tc>
        <w:tc>
          <w:tcPr>
            <w:tcW w:w="795" w:type="pct"/>
            <w:gridSpan w:val="3"/>
            <w:vAlign w:val="center"/>
          </w:tcPr>
          <w:p w14:paraId="53EBCBDD">
            <w:pPr>
              <w:pStyle w:val="33"/>
              <w:spacing w:line="240" w:lineRule="auto"/>
              <w:ind w:firstLine="0" w:firstLineChars="0"/>
              <w:rPr>
                <w:rFonts w:eastAsia="仿宋"/>
                <w:b/>
                <w:bCs/>
                <w:sz w:val="24"/>
                <w:szCs w:val="24"/>
              </w:rPr>
            </w:pPr>
            <w:r>
              <w:rPr>
                <w:rFonts w:eastAsia="仿宋"/>
                <w:b/>
                <w:bCs/>
                <w:sz w:val="24"/>
                <w:szCs w:val="24"/>
              </w:rPr>
              <w:t>类别</w:t>
            </w:r>
          </w:p>
        </w:tc>
        <w:tc>
          <w:tcPr>
            <w:tcW w:w="624" w:type="pct"/>
            <w:gridSpan w:val="5"/>
            <w:vAlign w:val="center"/>
          </w:tcPr>
          <w:p w14:paraId="47A47843">
            <w:pPr>
              <w:pStyle w:val="33"/>
              <w:spacing w:line="240" w:lineRule="auto"/>
              <w:ind w:firstLine="0" w:firstLineChars="0"/>
              <w:rPr>
                <w:rFonts w:eastAsia="仿宋"/>
                <w:b/>
                <w:bCs/>
                <w:sz w:val="24"/>
                <w:szCs w:val="24"/>
              </w:rPr>
            </w:pPr>
            <w:r>
              <w:rPr>
                <w:rFonts w:eastAsia="仿宋"/>
                <w:b/>
                <w:bCs/>
                <w:sz w:val="24"/>
                <w:szCs w:val="24"/>
              </w:rPr>
              <w:t>产生量</w:t>
            </w:r>
          </w:p>
          <w:p w14:paraId="690A504A">
            <w:pPr>
              <w:pStyle w:val="33"/>
              <w:spacing w:line="240" w:lineRule="auto"/>
              <w:ind w:firstLine="0" w:firstLineChars="0"/>
              <w:rPr>
                <w:rFonts w:eastAsia="仿宋"/>
                <w:b/>
                <w:bCs/>
                <w:sz w:val="24"/>
                <w:szCs w:val="24"/>
              </w:rPr>
            </w:pPr>
            <w:r>
              <w:rPr>
                <w:rFonts w:eastAsia="仿宋"/>
                <w:b/>
                <w:bCs/>
                <w:sz w:val="24"/>
                <w:szCs w:val="24"/>
              </w:rPr>
              <w:t>（万吨）</w:t>
            </w:r>
          </w:p>
        </w:tc>
        <w:tc>
          <w:tcPr>
            <w:tcW w:w="624" w:type="pct"/>
            <w:gridSpan w:val="5"/>
            <w:vAlign w:val="center"/>
          </w:tcPr>
          <w:p w14:paraId="25505346">
            <w:pPr>
              <w:pStyle w:val="33"/>
              <w:spacing w:line="240" w:lineRule="auto"/>
              <w:ind w:firstLine="0" w:firstLineChars="0"/>
              <w:rPr>
                <w:rFonts w:eastAsia="仿宋"/>
                <w:b/>
                <w:bCs/>
                <w:sz w:val="24"/>
                <w:szCs w:val="24"/>
              </w:rPr>
            </w:pPr>
            <w:r>
              <w:rPr>
                <w:rFonts w:eastAsia="仿宋"/>
                <w:b/>
                <w:bCs/>
                <w:sz w:val="24"/>
                <w:szCs w:val="24"/>
              </w:rPr>
              <w:t>综合利用量</w:t>
            </w:r>
          </w:p>
          <w:p w14:paraId="2533530D">
            <w:pPr>
              <w:pStyle w:val="33"/>
              <w:spacing w:line="240" w:lineRule="auto"/>
              <w:ind w:firstLine="0" w:firstLineChars="0"/>
              <w:rPr>
                <w:rFonts w:eastAsia="仿宋"/>
                <w:b/>
                <w:bCs/>
                <w:sz w:val="24"/>
                <w:szCs w:val="24"/>
              </w:rPr>
            </w:pPr>
            <w:r>
              <w:rPr>
                <w:rFonts w:eastAsia="仿宋"/>
                <w:b/>
                <w:bCs/>
                <w:sz w:val="24"/>
                <w:szCs w:val="24"/>
              </w:rPr>
              <w:t>（万吨）</w:t>
            </w:r>
          </w:p>
        </w:tc>
        <w:tc>
          <w:tcPr>
            <w:tcW w:w="624" w:type="pct"/>
            <w:gridSpan w:val="6"/>
            <w:vAlign w:val="center"/>
          </w:tcPr>
          <w:p w14:paraId="4F4AA1F4">
            <w:pPr>
              <w:pStyle w:val="33"/>
              <w:spacing w:line="240" w:lineRule="auto"/>
              <w:ind w:firstLine="0" w:firstLineChars="0"/>
              <w:rPr>
                <w:rFonts w:eastAsia="仿宋"/>
                <w:b/>
                <w:bCs/>
                <w:sz w:val="24"/>
                <w:szCs w:val="24"/>
              </w:rPr>
            </w:pPr>
            <w:r>
              <w:rPr>
                <w:rFonts w:eastAsia="仿宋"/>
                <w:b/>
                <w:bCs/>
                <w:sz w:val="24"/>
                <w:szCs w:val="24"/>
              </w:rPr>
              <w:t>综合利用率</w:t>
            </w:r>
          </w:p>
        </w:tc>
        <w:tc>
          <w:tcPr>
            <w:tcW w:w="624" w:type="pct"/>
            <w:gridSpan w:val="4"/>
            <w:vAlign w:val="center"/>
          </w:tcPr>
          <w:p w14:paraId="2334C272">
            <w:pPr>
              <w:pStyle w:val="33"/>
              <w:spacing w:line="240" w:lineRule="auto"/>
              <w:ind w:firstLine="0" w:firstLineChars="0"/>
              <w:rPr>
                <w:rFonts w:eastAsia="仿宋"/>
                <w:b/>
                <w:bCs/>
                <w:sz w:val="24"/>
                <w:szCs w:val="24"/>
              </w:rPr>
            </w:pPr>
            <w:r>
              <w:rPr>
                <w:rFonts w:eastAsia="仿宋"/>
                <w:b/>
                <w:bCs/>
                <w:sz w:val="24"/>
                <w:szCs w:val="24"/>
              </w:rPr>
              <w:t>处置量</w:t>
            </w:r>
          </w:p>
          <w:p w14:paraId="59177108">
            <w:pPr>
              <w:pStyle w:val="33"/>
              <w:spacing w:line="240" w:lineRule="auto"/>
              <w:ind w:firstLine="0" w:firstLineChars="0"/>
              <w:rPr>
                <w:rFonts w:eastAsia="仿宋"/>
                <w:b/>
                <w:bCs/>
                <w:sz w:val="24"/>
                <w:szCs w:val="24"/>
              </w:rPr>
            </w:pPr>
            <w:r>
              <w:rPr>
                <w:rFonts w:eastAsia="仿宋"/>
                <w:b/>
                <w:bCs/>
                <w:sz w:val="24"/>
                <w:szCs w:val="24"/>
              </w:rPr>
              <w:t>（万吨）</w:t>
            </w:r>
          </w:p>
        </w:tc>
        <w:tc>
          <w:tcPr>
            <w:tcW w:w="624" w:type="pct"/>
            <w:gridSpan w:val="3"/>
            <w:vAlign w:val="center"/>
          </w:tcPr>
          <w:p w14:paraId="7865F227">
            <w:pPr>
              <w:pStyle w:val="33"/>
              <w:spacing w:line="240" w:lineRule="auto"/>
              <w:ind w:firstLine="0" w:firstLineChars="0"/>
              <w:rPr>
                <w:rFonts w:eastAsia="仿宋"/>
                <w:b/>
                <w:bCs/>
                <w:sz w:val="24"/>
                <w:szCs w:val="24"/>
              </w:rPr>
            </w:pPr>
            <w:r>
              <w:rPr>
                <w:rFonts w:eastAsia="仿宋"/>
                <w:b/>
                <w:bCs/>
                <w:sz w:val="24"/>
                <w:szCs w:val="24"/>
              </w:rPr>
              <w:t>处置率</w:t>
            </w:r>
          </w:p>
        </w:tc>
        <w:tc>
          <w:tcPr>
            <w:tcW w:w="624" w:type="pct"/>
            <w:gridSpan w:val="5"/>
            <w:vAlign w:val="center"/>
          </w:tcPr>
          <w:p w14:paraId="43F86B75">
            <w:pPr>
              <w:pStyle w:val="33"/>
              <w:spacing w:line="240" w:lineRule="auto"/>
              <w:ind w:firstLine="0" w:firstLineChars="0"/>
              <w:rPr>
                <w:rFonts w:eastAsia="仿宋"/>
                <w:b/>
                <w:bCs/>
                <w:sz w:val="24"/>
                <w:szCs w:val="24"/>
              </w:rPr>
            </w:pPr>
            <w:r>
              <w:rPr>
                <w:rFonts w:eastAsia="仿宋"/>
                <w:b/>
                <w:bCs/>
                <w:sz w:val="24"/>
                <w:szCs w:val="24"/>
              </w:rPr>
              <w:t>贮存量</w:t>
            </w:r>
          </w:p>
          <w:p w14:paraId="01E5F2CB">
            <w:pPr>
              <w:pStyle w:val="33"/>
              <w:spacing w:line="240" w:lineRule="auto"/>
              <w:ind w:firstLine="0" w:firstLineChars="0"/>
              <w:rPr>
                <w:rFonts w:eastAsia="仿宋"/>
                <w:b/>
                <w:bCs/>
                <w:sz w:val="24"/>
                <w:szCs w:val="24"/>
              </w:rPr>
            </w:pPr>
            <w:r>
              <w:rPr>
                <w:rFonts w:eastAsia="仿宋"/>
                <w:b/>
                <w:bCs/>
                <w:sz w:val="24"/>
                <w:szCs w:val="24"/>
              </w:rPr>
              <w:t>（万吨）</w:t>
            </w:r>
          </w:p>
        </w:tc>
      </w:tr>
      <w:tr w14:paraId="43AFF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8" w:type="pct"/>
            <w:gridSpan w:val="2"/>
            <w:vAlign w:val="center"/>
          </w:tcPr>
          <w:p w14:paraId="5E58644C">
            <w:pPr>
              <w:pStyle w:val="33"/>
              <w:spacing w:line="240" w:lineRule="auto"/>
              <w:ind w:firstLine="0" w:firstLineChars="0"/>
              <w:rPr>
                <w:rFonts w:eastAsia="仿宋"/>
                <w:sz w:val="24"/>
                <w:szCs w:val="24"/>
              </w:rPr>
            </w:pPr>
            <w:r>
              <w:rPr>
                <w:rFonts w:eastAsia="仿宋"/>
                <w:sz w:val="24"/>
                <w:szCs w:val="24"/>
              </w:rPr>
              <w:t>SW01</w:t>
            </w:r>
          </w:p>
        </w:tc>
        <w:tc>
          <w:tcPr>
            <w:tcW w:w="795" w:type="pct"/>
            <w:gridSpan w:val="3"/>
            <w:vAlign w:val="center"/>
          </w:tcPr>
          <w:p w14:paraId="157BA190">
            <w:pPr>
              <w:pStyle w:val="33"/>
              <w:spacing w:line="240" w:lineRule="auto"/>
              <w:ind w:firstLine="0" w:firstLineChars="0"/>
              <w:rPr>
                <w:rFonts w:eastAsia="仿宋"/>
                <w:sz w:val="24"/>
                <w:szCs w:val="24"/>
              </w:rPr>
            </w:pPr>
            <w:r>
              <w:rPr>
                <w:rFonts w:eastAsia="仿宋"/>
                <w:sz w:val="24"/>
                <w:szCs w:val="24"/>
              </w:rPr>
              <w:t>冶炼废渣</w:t>
            </w:r>
          </w:p>
        </w:tc>
        <w:tc>
          <w:tcPr>
            <w:tcW w:w="624" w:type="pct"/>
            <w:gridSpan w:val="5"/>
            <w:vAlign w:val="center"/>
          </w:tcPr>
          <w:p w14:paraId="2651DDD0">
            <w:pPr>
              <w:pStyle w:val="33"/>
              <w:spacing w:line="240" w:lineRule="auto"/>
              <w:ind w:firstLine="0" w:firstLineChars="0"/>
              <w:rPr>
                <w:rFonts w:eastAsia="仿宋"/>
                <w:sz w:val="24"/>
                <w:szCs w:val="24"/>
              </w:rPr>
            </w:pPr>
            <w:r>
              <w:rPr>
                <w:rFonts w:hint="eastAsia" w:eastAsia="仿宋"/>
                <w:sz w:val="24"/>
                <w:szCs w:val="24"/>
              </w:rPr>
              <w:t>36.65</w:t>
            </w:r>
          </w:p>
        </w:tc>
        <w:tc>
          <w:tcPr>
            <w:tcW w:w="624" w:type="pct"/>
            <w:gridSpan w:val="5"/>
            <w:vAlign w:val="center"/>
          </w:tcPr>
          <w:p w14:paraId="415FF842">
            <w:pPr>
              <w:pStyle w:val="33"/>
              <w:spacing w:line="240" w:lineRule="auto"/>
              <w:ind w:firstLine="0" w:firstLineChars="0"/>
              <w:rPr>
                <w:rFonts w:eastAsia="仿宋"/>
                <w:sz w:val="24"/>
                <w:szCs w:val="24"/>
              </w:rPr>
            </w:pPr>
            <w:r>
              <w:rPr>
                <w:rFonts w:hint="eastAsia" w:eastAsia="仿宋"/>
                <w:sz w:val="24"/>
                <w:szCs w:val="24"/>
              </w:rPr>
              <w:t>36.65</w:t>
            </w:r>
          </w:p>
        </w:tc>
        <w:tc>
          <w:tcPr>
            <w:tcW w:w="624" w:type="pct"/>
            <w:gridSpan w:val="6"/>
            <w:vAlign w:val="center"/>
          </w:tcPr>
          <w:p w14:paraId="4E375710">
            <w:pPr>
              <w:pStyle w:val="33"/>
              <w:spacing w:line="240" w:lineRule="auto"/>
              <w:ind w:firstLine="0" w:firstLineChars="0"/>
              <w:rPr>
                <w:rFonts w:eastAsia="仿宋"/>
                <w:sz w:val="24"/>
                <w:szCs w:val="24"/>
              </w:rPr>
            </w:pPr>
            <w:r>
              <w:rPr>
                <w:rFonts w:hint="eastAsia" w:eastAsia="仿宋"/>
                <w:sz w:val="24"/>
                <w:szCs w:val="24"/>
              </w:rPr>
              <w:t>100.0%</w:t>
            </w:r>
          </w:p>
        </w:tc>
        <w:tc>
          <w:tcPr>
            <w:tcW w:w="624" w:type="pct"/>
            <w:gridSpan w:val="4"/>
            <w:vAlign w:val="center"/>
          </w:tcPr>
          <w:p w14:paraId="1D832E61">
            <w:pPr>
              <w:pStyle w:val="33"/>
              <w:spacing w:line="240" w:lineRule="auto"/>
              <w:ind w:firstLine="0" w:firstLineChars="0"/>
              <w:rPr>
                <w:rFonts w:eastAsia="仿宋"/>
                <w:sz w:val="24"/>
                <w:szCs w:val="24"/>
              </w:rPr>
            </w:pPr>
            <w:r>
              <w:rPr>
                <w:rFonts w:hint="eastAsia" w:eastAsia="仿宋"/>
                <w:sz w:val="24"/>
                <w:szCs w:val="24"/>
              </w:rPr>
              <w:t>0.00</w:t>
            </w:r>
          </w:p>
        </w:tc>
        <w:tc>
          <w:tcPr>
            <w:tcW w:w="624" w:type="pct"/>
            <w:gridSpan w:val="3"/>
            <w:vAlign w:val="center"/>
          </w:tcPr>
          <w:p w14:paraId="4C3D10F8">
            <w:pPr>
              <w:pStyle w:val="33"/>
              <w:spacing w:line="240" w:lineRule="auto"/>
              <w:ind w:firstLine="0" w:firstLineChars="0"/>
              <w:rPr>
                <w:rFonts w:eastAsia="仿宋"/>
                <w:sz w:val="24"/>
                <w:szCs w:val="24"/>
              </w:rPr>
            </w:pPr>
            <w:r>
              <w:rPr>
                <w:rFonts w:hint="eastAsia" w:eastAsia="仿宋"/>
                <w:sz w:val="24"/>
                <w:szCs w:val="24"/>
              </w:rPr>
              <w:t>0.0%</w:t>
            </w:r>
          </w:p>
        </w:tc>
        <w:tc>
          <w:tcPr>
            <w:tcW w:w="624" w:type="pct"/>
            <w:gridSpan w:val="5"/>
            <w:vAlign w:val="center"/>
          </w:tcPr>
          <w:p w14:paraId="13B7EBE2">
            <w:pPr>
              <w:pStyle w:val="33"/>
              <w:spacing w:line="240" w:lineRule="auto"/>
              <w:ind w:firstLine="0" w:firstLineChars="0"/>
              <w:rPr>
                <w:rFonts w:eastAsia="仿宋"/>
                <w:sz w:val="24"/>
                <w:szCs w:val="24"/>
              </w:rPr>
            </w:pPr>
            <w:r>
              <w:rPr>
                <w:rFonts w:hint="eastAsia" w:eastAsia="仿宋"/>
                <w:sz w:val="24"/>
                <w:szCs w:val="24"/>
              </w:rPr>
              <w:t>0.00</w:t>
            </w:r>
          </w:p>
        </w:tc>
      </w:tr>
      <w:tr w14:paraId="2C120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8" w:type="pct"/>
            <w:gridSpan w:val="2"/>
            <w:vAlign w:val="center"/>
          </w:tcPr>
          <w:p w14:paraId="65D349F2">
            <w:pPr>
              <w:pStyle w:val="33"/>
              <w:spacing w:line="240" w:lineRule="auto"/>
              <w:ind w:firstLine="0" w:firstLineChars="0"/>
              <w:rPr>
                <w:rFonts w:eastAsia="仿宋"/>
                <w:sz w:val="24"/>
                <w:szCs w:val="24"/>
              </w:rPr>
            </w:pPr>
            <w:r>
              <w:rPr>
                <w:rFonts w:eastAsia="仿宋"/>
                <w:sz w:val="24"/>
                <w:szCs w:val="24"/>
              </w:rPr>
              <w:t>SW02</w:t>
            </w:r>
          </w:p>
        </w:tc>
        <w:tc>
          <w:tcPr>
            <w:tcW w:w="795" w:type="pct"/>
            <w:gridSpan w:val="3"/>
            <w:vAlign w:val="center"/>
          </w:tcPr>
          <w:p w14:paraId="2C99B6E2">
            <w:pPr>
              <w:pStyle w:val="33"/>
              <w:spacing w:line="240" w:lineRule="auto"/>
              <w:ind w:firstLine="0" w:firstLineChars="0"/>
              <w:rPr>
                <w:rFonts w:eastAsia="仿宋"/>
                <w:sz w:val="24"/>
                <w:szCs w:val="24"/>
              </w:rPr>
            </w:pPr>
            <w:r>
              <w:rPr>
                <w:rFonts w:eastAsia="仿宋"/>
                <w:sz w:val="24"/>
                <w:szCs w:val="24"/>
              </w:rPr>
              <w:t>粉煤灰</w:t>
            </w:r>
          </w:p>
        </w:tc>
        <w:tc>
          <w:tcPr>
            <w:tcW w:w="624" w:type="pct"/>
            <w:gridSpan w:val="5"/>
            <w:vAlign w:val="center"/>
          </w:tcPr>
          <w:p w14:paraId="1DEF1A19">
            <w:pPr>
              <w:pStyle w:val="33"/>
              <w:spacing w:line="240" w:lineRule="auto"/>
              <w:ind w:firstLine="0" w:firstLineChars="0"/>
              <w:rPr>
                <w:rFonts w:eastAsia="仿宋"/>
                <w:sz w:val="24"/>
                <w:szCs w:val="24"/>
              </w:rPr>
            </w:pPr>
            <w:r>
              <w:rPr>
                <w:rFonts w:hint="eastAsia" w:eastAsia="仿宋"/>
                <w:sz w:val="24"/>
                <w:szCs w:val="24"/>
              </w:rPr>
              <w:t>2.37</w:t>
            </w:r>
          </w:p>
        </w:tc>
        <w:tc>
          <w:tcPr>
            <w:tcW w:w="624" w:type="pct"/>
            <w:gridSpan w:val="5"/>
            <w:vAlign w:val="center"/>
          </w:tcPr>
          <w:p w14:paraId="29DC364B">
            <w:pPr>
              <w:pStyle w:val="33"/>
              <w:spacing w:line="240" w:lineRule="auto"/>
              <w:ind w:firstLine="0" w:firstLineChars="0"/>
              <w:rPr>
                <w:rFonts w:eastAsia="仿宋"/>
                <w:sz w:val="24"/>
                <w:szCs w:val="24"/>
              </w:rPr>
            </w:pPr>
            <w:r>
              <w:rPr>
                <w:rFonts w:hint="eastAsia" w:eastAsia="仿宋"/>
                <w:sz w:val="24"/>
                <w:szCs w:val="24"/>
              </w:rPr>
              <w:t>2.37</w:t>
            </w:r>
          </w:p>
        </w:tc>
        <w:tc>
          <w:tcPr>
            <w:tcW w:w="624" w:type="pct"/>
            <w:gridSpan w:val="6"/>
            <w:vAlign w:val="center"/>
          </w:tcPr>
          <w:p w14:paraId="439D9D39">
            <w:pPr>
              <w:pStyle w:val="33"/>
              <w:spacing w:line="240" w:lineRule="auto"/>
              <w:ind w:firstLine="0" w:firstLineChars="0"/>
              <w:rPr>
                <w:rFonts w:eastAsia="仿宋"/>
                <w:sz w:val="24"/>
                <w:szCs w:val="24"/>
              </w:rPr>
            </w:pPr>
            <w:r>
              <w:rPr>
                <w:rFonts w:hint="eastAsia" w:eastAsia="仿宋"/>
                <w:sz w:val="24"/>
                <w:szCs w:val="24"/>
              </w:rPr>
              <w:t>100.0%</w:t>
            </w:r>
          </w:p>
        </w:tc>
        <w:tc>
          <w:tcPr>
            <w:tcW w:w="624" w:type="pct"/>
            <w:gridSpan w:val="4"/>
            <w:vAlign w:val="center"/>
          </w:tcPr>
          <w:p w14:paraId="664735CF">
            <w:pPr>
              <w:pStyle w:val="33"/>
              <w:spacing w:line="240" w:lineRule="auto"/>
              <w:ind w:firstLine="0" w:firstLineChars="0"/>
              <w:rPr>
                <w:rFonts w:eastAsia="仿宋"/>
                <w:sz w:val="24"/>
                <w:szCs w:val="24"/>
              </w:rPr>
            </w:pPr>
            <w:r>
              <w:rPr>
                <w:rFonts w:hint="eastAsia" w:eastAsia="仿宋"/>
                <w:sz w:val="24"/>
                <w:szCs w:val="24"/>
              </w:rPr>
              <w:t>0.00</w:t>
            </w:r>
          </w:p>
        </w:tc>
        <w:tc>
          <w:tcPr>
            <w:tcW w:w="624" w:type="pct"/>
            <w:gridSpan w:val="3"/>
            <w:vAlign w:val="center"/>
          </w:tcPr>
          <w:p w14:paraId="764EEFF0">
            <w:pPr>
              <w:pStyle w:val="33"/>
              <w:spacing w:line="240" w:lineRule="auto"/>
              <w:ind w:firstLine="0" w:firstLineChars="0"/>
              <w:rPr>
                <w:rFonts w:eastAsia="仿宋"/>
                <w:sz w:val="24"/>
                <w:szCs w:val="24"/>
              </w:rPr>
            </w:pPr>
            <w:r>
              <w:rPr>
                <w:rFonts w:hint="eastAsia" w:eastAsia="仿宋"/>
                <w:sz w:val="24"/>
                <w:szCs w:val="24"/>
              </w:rPr>
              <w:t>0.0%</w:t>
            </w:r>
          </w:p>
        </w:tc>
        <w:tc>
          <w:tcPr>
            <w:tcW w:w="624" w:type="pct"/>
            <w:gridSpan w:val="5"/>
            <w:vAlign w:val="center"/>
          </w:tcPr>
          <w:p w14:paraId="4CFCAACB">
            <w:pPr>
              <w:pStyle w:val="33"/>
              <w:spacing w:line="240" w:lineRule="auto"/>
              <w:ind w:firstLine="0" w:firstLineChars="0"/>
              <w:rPr>
                <w:rFonts w:eastAsia="仿宋"/>
                <w:sz w:val="24"/>
                <w:szCs w:val="24"/>
              </w:rPr>
            </w:pPr>
            <w:r>
              <w:rPr>
                <w:rFonts w:hint="eastAsia" w:eastAsia="仿宋"/>
                <w:sz w:val="24"/>
                <w:szCs w:val="24"/>
              </w:rPr>
              <w:t>0.00</w:t>
            </w:r>
          </w:p>
        </w:tc>
      </w:tr>
      <w:tr w14:paraId="3590E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8" w:type="pct"/>
            <w:gridSpan w:val="2"/>
            <w:vAlign w:val="center"/>
          </w:tcPr>
          <w:p w14:paraId="1DFD4DE7">
            <w:pPr>
              <w:pStyle w:val="33"/>
              <w:spacing w:line="240" w:lineRule="auto"/>
              <w:ind w:firstLine="0" w:firstLineChars="0"/>
              <w:rPr>
                <w:rFonts w:eastAsia="仿宋"/>
                <w:sz w:val="24"/>
                <w:szCs w:val="24"/>
              </w:rPr>
            </w:pPr>
            <w:r>
              <w:rPr>
                <w:rFonts w:eastAsia="仿宋"/>
                <w:sz w:val="24"/>
                <w:szCs w:val="24"/>
              </w:rPr>
              <w:t>SW03</w:t>
            </w:r>
          </w:p>
        </w:tc>
        <w:tc>
          <w:tcPr>
            <w:tcW w:w="795" w:type="pct"/>
            <w:gridSpan w:val="3"/>
            <w:vAlign w:val="center"/>
          </w:tcPr>
          <w:p w14:paraId="1268BF9B">
            <w:pPr>
              <w:pStyle w:val="33"/>
              <w:spacing w:line="240" w:lineRule="auto"/>
              <w:ind w:firstLine="0" w:firstLineChars="0"/>
              <w:rPr>
                <w:rFonts w:eastAsia="仿宋"/>
                <w:sz w:val="24"/>
                <w:szCs w:val="24"/>
              </w:rPr>
            </w:pPr>
            <w:r>
              <w:rPr>
                <w:rFonts w:eastAsia="仿宋"/>
                <w:sz w:val="24"/>
                <w:szCs w:val="24"/>
              </w:rPr>
              <w:t>炉渣</w:t>
            </w:r>
          </w:p>
        </w:tc>
        <w:tc>
          <w:tcPr>
            <w:tcW w:w="624" w:type="pct"/>
            <w:gridSpan w:val="5"/>
            <w:vAlign w:val="center"/>
          </w:tcPr>
          <w:p w14:paraId="6B8F8A3D">
            <w:pPr>
              <w:pStyle w:val="33"/>
              <w:spacing w:line="240" w:lineRule="auto"/>
              <w:ind w:firstLine="0" w:firstLineChars="0"/>
              <w:rPr>
                <w:rFonts w:eastAsia="仿宋"/>
                <w:sz w:val="24"/>
                <w:szCs w:val="24"/>
              </w:rPr>
            </w:pPr>
            <w:r>
              <w:rPr>
                <w:rFonts w:hint="eastAsia" w:eastAsia="仿宋"/>
                <w:sz w:val="24"/>
                <w:szCs w:val="24"/>
              </w:rPr>
              <w:t>2.00</w:t>
            </w:r>
          </w:p>
        </w:tc>
        <w:tc>
          <w:tcPr>
            <w:tcW w:w="624" w:type="pct"/>
            <w:gridSpan w:val="5"/>
            <w:vAlign w:val="center"/>
          </w:tcPr>
          <w:p w14:paraId="020BD551">
            <w:pPr>
              <w:pStyle w:val="33"/>
              <w:spacing w:line="240" w:lineRule="auto"/>
              <w:ind w:firstLine="0" w:firstLineChars="0"/>
              <w:rPr>
                <w:rFonts w:eastAsia="仿宋"/>
                <w:sz w:val="24"/>
                <w:szCs w:val="24"/>
              </w:rPr>
            </w:pPr>
            <w:r>
              <w:rPr>
                <w:rFonts w:hint="eastAsia" w:eastAsia="仿宋"/>
                <w:sz w:val="24"/>
                <w:szCs w:val="24"/>
              </w:rPr>
              <w:t>2.00</w:t>
            </w:r>
          </w:p>
        </w:tc>
        <w:tc>
          <w:tcPr>
            <w:tcW w:w="624" w:type="pct"/>
            <w:gridSpan w:val="6"/>
            <w:vAlign w:val="center"/>
          </w:tcPr>
          <w:p w14:paraId="254C6F8D">
            <w:pPr>
              <w:pStyle w:val="33"/>
              <w:spacing w:line="240" w:lineRule="auto"/>
              <w:ind w:firstLine="0" w:firstLineChars="0"/>
              <w:rPr>
                <w:rFonts w:eastAsia="仿宋"/>
                <w:sz w:val="24"/>
                <w:szCs w:val="24"/>
              </w:rPr>
            </w:pPr>
            <w:r>
              <w:rPr>
                <w:rFonts w:hint="eastAsia" w:eastAsia="仿宋"/>
                <w:sz w:val="24"/>
                <w:szCs w:val="24"/>
              </w:rPr>
              <w:t>100.0%</w:t>
            </w:r>
          </w:p>
        </w:tc>
        <w:tc>
          <w:tcPr>
            <w:tcW w:w="624" w:type="pct"/>
            <w:gridSpan w:val="4"/>
            <w:vAlign w:val="center"/>
          </w:tcPr>
          <w:p w14:paraId="48DF66AB">
            <w:pPr>
              <w:pStyle w:val="33"/>
              <w:spacing w:line="240" w:lineRule="auto"/>
              <w:ind w:firstLine="0" w:firstLineChars="0"/>
              <w:rPr>
                <w:rFonts w:eastAsia="仿宋"/>
                <w:sz w:val="24"/>
                <w:szCs w:val="24"/>
              </w:rPr>
            </w:pPr>
            <w:r>
              <w:rPr>
                <w:rFonts w:hint="eastAsia" w:eastAsia="仿宋"/>
                <w:sz w:val="24"/>
                <w:szCs w:val="24"/>
              </w:rPr>
              <w:t>0.00</w:t>
            </w:r>
          </w:p>
        </w:tc>
        <w:tc>
          <w:tcPr>
            <w:tcW w:w="624" w:type="pct"/>
            <w:gridSpan w:val="3"/>
            <w:vAlign w:val="center"/>
          </w:tcPr>
          <w:p w14:paraId="47DA7170">
            <w:pPr>
              <w:pStyle w:val="33"/>
              <w:spacing w:line="240" w:lineRule="auto"/>
              <w:ind w:firstLine="0" w:firstLineChars="0"/>
              <w:rPr>
                <w:rFonts w:eastAsia="仿宋"/>
                <w:sz w:val="24"/>
                <w:szCs w:val="24"/>
              </w:rPr>
            </w:pPr>
            <w:r>
              <w:rPr>
                <w:rFonts w:hint="eastAsia" w:eastAsia="仿宋"/>
                <w:sz w:val="24"/>
                <w:szCs w:val="24"/>
              </w:rPr>
              <w:t>0.0%</w:t>
            </w:r>
          </w:p>
        </w:tc>
        <w:tc>
          <w:tcPr>
            <w:tcW w:w="624" w:type="pct"/>
            <w:gridSpan w:val="5"/>
            <w:vAlign w:val="center"/>
          </w:tcPr>
          <w:p w14:paraId="5509DE7F">
            <w:pPr>
              <w:pStyle w:val="33"/>
              <w:spacing w:line="240" w:lineRule="auto"/>
              <w:ind w:firstLine="0" w:firstLineChars="0"/>
              <w:rPr>
                <w:rFonts w:eastAsia="仿宋"/>
                <w:sz w:val="24"/>
                <w:szCs w:val="24"/>
              </w:rPr>
            </w:pPr>
            <w:r>
              <w:rPr>
                <w:rFonts w:hint="eastAsia" w:eastAsia="仿宋"/>
                <w:sz w:val="24"/>
                <w:szCs w:val="24"/>
              </w:rPr>
              <w:t>0.00</w:t>
            </w:r>
          </w:p>
        </w:tc>
      </w:tr>
      <w:tr w14:paraId="48FC0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8" w:type="pct"/>
            <w:gridSpan w:val="2"/>
            <w:vAlign w:val="center"/>
          </w:tcPr>
          <w:p w14:paraId="1A9E2EB2">
            <w:pPr>
              <w:pStyle w:val="33"/>
              <w:spacing w:line="240" w:lineRule="auto"/>
              <w:ind w:firstLine="0" w:firstLineChars="0"/>
              <w:rPr>
                <w:rFonts w:eastAsia="仿宋"/>
                <w:sz w:val="24"/>
                <w:szCs w:val="24"/>
              </w:rPr>
            </w:pPr>
            <w:r>
              <w:rPr>
                <w:rFonts w:eastAsia="仿宋"/>
                <w:sz w:val="24"/>
                <w:szCs w:val="24"/>
              </w:rPr>
              <w:t>SW06</w:t>
            </w:r>
          </w:p>
        </w:tc>
        <w:tc>
          <w:tcPr>
            <w:tcW w:w="795" w:type="pct"/>
            <w:gridSpan w:val="3"/>
            <w:vAlign w:val="center"/>
          </w:tcPr>
          <w:p w14:paraId="1DFD4596">
            <w:pPr>
              <w:pStyle w:val="33"/>
              <w:spacing w:line="240" w:lineRule="auto"/>
              <w:ind w:firstLine="0" w:firstLineChars="0"/>
              <w:rPr>
                <w:rFonts w:eastAsia="仿宋"/>
                <w:sz w:val="24"/>
                <w:szCs w:val="24"/>
              </w:rPr>
            </w:pPr>
            <w:r>
              <w:rPr>
                <w:rFonts w:eastAsia="仿宋"/>
                <w:sz w:val="24"/>
                <w:szCs w:val="24"/>
              </w:rPr>
              <w:t>脱硫石膏</w:t>
            </w:r>
          </w:p>
        </w:tc>
        <w:tc>
          <w:tcPr>
            <w:tcW w:w="624" w:type="pct"/>
            <w:gridSpan w:val="5"/>
            <w:vAlign w:val="center"/>
          </w:tcPr>
          <w:p w14:paraId="057D7F28">
            <w:pPr>
              <w:pStyle w:val="33"/>
              <w:spacing w:line="240" w:lineRule="auto"/>
              <w:ind w:firstLine="0" w:firstLineChars="0"/>
              <w:rPr>
                <w:rFonts w:eastAsia="仿宋"/>
                <w:sz w:val="24"/>
                <w:szCs w:val="24"/>
              </w:rPr>
            </w:pPr>
            <w:r>
              <w:rPr>
                <w:rFonts w:hint="eastAsia" w:eastAsia="仿宋"/>
                <w:sz w:val="24"/>
                <w:szCs w:val="24"/>
              </w:rPr>
              <w:t>2.02</w:t>
            </w:r>
          </w:p>
        </w:tc>
        <w:tc>
          <w:tcPr>
            <w:tcW w:w="624" w:type="pct"/>
            <w:gridSpan w:val="5"/>
            <w:vAlign w:val="center"/>
          </w:tcPr>
          <w:p w14:paraId="16AE1B2D">
            <w:pPr>
              <w:pStyle w:val="33"/>
              <w:spacing w:line="240" w:lineRule="auto"/>
              <w:ind w:firstLine="0" w:firstLineChars="0"/>
              <w:rPr>
                <w:rFonts w:eastAsia="仿宋"/>
                <w:sz w:val="24"/>
                <w:szCs w:val="24"/>
              </w:rPr>
            </w:pPr>
            <w:r>
              <w:rPr>
                <w:rFonts w:hint="eastAsia" w:eastAsia="仿宋"/>
                <w:sz w:val="24"/>
                <w:szCs w:val="24"/>
              </w:rPr>
              <w:t>2.02</w:t>
            </w:r>
          </w:p>
        </w:tc>
        <w:tc>
          <w:tcPr>
            <w:tcW w:w="624" w:type="pct"/>
            <w:gridSpan w:val="6"/>
            <w:vAlign w:val="center"/>
          </w:tcPr>
          <w:p w14:paraId="09CB3EE8">
            <w:pPr>
              <w:pStyle w:val="33"/>
              <w:spacing w:line="240" w:lineRule="auto"/>
              <w:ind w:firstLine="0" w:firstLineChars="0"/>
              <w:rPr>
                <w:rFonts w:eastAsia="仿宋"/>
                <w:sz w:val="24"/>
                <w:szCs w:val="24"/>
              </w:rPr>
            </w:pPr>
            <w:r>
              <w:rPr>
                <w:rFonts w:hint="eastAsia" w:eastAsia="仿宋"/>
                <w:sz w:val="24"/>
                <w:szCs w:val="24"/>
              </w:rPr>
              <w:t>100.0%</w:t>
            </w:r>
          </w:p>
        </w:tc>
        <w:tc>
          <w:tcPr>
            <w:tcW w:w="624" w:type="pct"/>
            <w:gridSpan w:val="4"/>
            <w:vAlign w:val="center"/>
          </w:tcPr>
          <w:p w14:paraId="2FFDC79E">
            <w:pPr>
              <w:pStyle w:val="33"/>
              <w:spacing w:line="240" w:lineRule="auto"/>
              <w:ind w:firstLine="0" w:firstLineChars="0"/>
              <w:rPr>
                <w:rFonts w:eastAsia="仿宋"/>
                <w:sz w:val="24"/>
                <w:szCs w:val="24"/>
              </w:rPr>
            </w:pPr>
            <w:r>
              <w:rPr>
                <w:rFonts w:hint="eastAsia" w:eastAsia="仿宋"/>
                <w:sz w:val="24"/>
                <w:szCs w:val="24"/>
              </w:rPr>
              <w:t>0.00</w:t>
            </w:r>
          </w:p>
        </w:tc>
        <w:tc>
          <w:tcPr>
            <w:tcW w:w="624" w:type="pct"/>
            <w:gridSpan w:val="3"/>
            <w:vAlign w:val="center"/>
          </w:tcPr>
          <w:p w14:paraId="759D99EE">
            <w:pPr>
              <w:pStyle w:val="33"/>
              <w:spacing w:line="240" w:lineRule="auto"/>
              <w:ind w:firstLine="0" w:firstLineChars="0"/>
              <w:rPr>
                <w:rFonts w:eastAsia="仿宋"/>
                <w:sz w:val="24"/>
                <w:szCs w:val="24"/>
              </w:rPr>
            </w:pPr>
            <w:r>
              <w:rPr>
                <w:rFonts w:hint="eastAsia" w:eastAsia="仿宋"/>
                <w:sz w:val="24"/>
                <w:szCs w:val="24"/>
              </w:rPr>
              <w:t>0.0%</w:t>
            </w:r>
          </w:p>
        </w:tc>
        <w:tc>
          <w:tcPr>
            <w:tcW w:w="624" w:type="pct"/>
            <w:gridSpan w:val="5"/>
            <w:vAlign w:val="center"/>
          </w:tcPr>
          <w:p w14:paraId="70C614B9">
            <w:pPr>
              <w:pStyle w:val="33"/>
              <w:spacing w:line="240" w:lineRule="auto"/>
              <w:ind w:firstLine="0" w:firstLineChars="0"/>
              <w:rPr>
                <w:rFonts w:eastAsia="仿宋"/>
                <w:sz w:val="24"/>
                <w:szCs w:val="24"/>
              </w:rPr>
            </w:pPr>
            <w:r>
              <w:rPr>
                <w:rFonts w:hint="eastAsia" w:eastAsia="仿宋"/>
                <w:sz w:val="24"/>
                <w:szCs w:val="24"/>
              </w:rPr>
              <w:t>0.00</w:t>
            </w:r>
          </w:p>
        </w:tc>
      </w:tr>
      <w:tr w14:paraId="3B969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8" w:type="pct"/>
            <w:gridSpan w:val="2"/>
            <w:vAlign w:val="center"/>
          </w:tcPr>
          <w:p w14:paraId="787E46F0">
            <w:pPr>
              <w:pStyle w:val="33"/>
              <w:spacing w:line="240" w:lineRule="auto"/>
              <w:ind w:firstLine="0" w:firstLineChars="0"/>
              <w:rPr>
                <w:rFonts w:eastAsia="仿宋"/>
                <w:sz w:val="24"/>
                <w:szCs w:val="24"/>
              </w:rPr>
            </w:pPr>
            <w:r>
              <w:rPr>
                <w:rFonts w:eastAsia="仿宋"/>
                <w:sz w:val="24"/>
                <w:szCs w:val="24"/>
              </w:rPr>
              <w:t>SW07</w:t>
            </w:r>
          </w:p>
        </w:tc>
        <w:tc>
          <w:tcPr>
            <w:tcW w:w="795" w:type="pct"/>
            <w:gridSpan w:val="3"/>
            <w:vAlign w:val="center"/>
          </w:tcPr>
          <w:p w14:paraId="11E1D4A3">
            <w:pPr>
              <w:pStyle w:val="33"/>
              <w:spacing w:line="240" w:lineRule="auto"/>
              <w:ind w:firstLine="0" w:firstLineChars="0"/>
              <w:rPr>
                <w:rFonts w:eastAsia="仿宋"/>
                <w:sz w:val="24"/>
                <w:szCs w:val="24"/>
              </w:rPr>
            </w:pPr>
            <w:r>
              <w:rPr>
                <w:rFonts w:eastAsia="仿宋"/>
                <w:sz w:val="24"/>
                <w:szCs w:val="24"/>
              </w:rPr>
              <w:t>污泥</w:t>
            </w:r>
          </w:p>
        </w:tc>
        <w:tc>
          <w:tcPr>
            <w:tcW w:w="624" w:type="pct"/>
            <w:gridSpan w:val="5"/>
            <w:vAlign w:val="center"/>
          </w:tcPr>
          <w:p w14:paraId="0F77519D">
            <w:pPr>
              <w:pStyle w:val="33"/>
              <w:spacing w:line="240" w:lineRule="auto"/>
              <w:ind w:firstLine="0" w:firstLineChars="0"/>
              <w:rPr>
                <w:rFonts w:eastAsia="仿宋"/>
                <w:sz w:val="24"/>
                <w:szCs w:val="24"/>
              </w:rPr>
            </w:pPr>
            <w:r>
              <w:rPr>
                <w:rFonts w:hint="eastAsia" w:eastAsia="仿宋"/>
                <w:sz w:val="24"/>
                <w:szCs w:val="24"/>
              </w:rPr>
              <w:t>1.72</w:t>
            </w:r>
          </w:p>
        </w:tc>
        <w:tc>
          <w:tcPr>
            <w:tcW w:w="624" w:type="pct"/>
            <w:gridSpan w:val="5"/>
            <w:vAlign w:val="center"/>
          </w:tcPr>
          <w:p w14:paraId="38AFE1EA">
            <w:pPr>
              <w:pStyle w:val="33"/>
              <w:spacing w:line="240" w:lineRule="auto"/>
              <w:ind w:firstLine="0" w:firstLineChars="0"/>
              <w:rPr>
                <w:rFonts w:eastAsia="仿宋"/>
                <w:sz w:val="24"/>
                <w:szCs w:val="24"/>
              </w:rPr>
            </w:pPr>
            <w:r>
              <w:rPr>
                <w:rFonts w:hint="eastAsia" w:eastAsia="仿宋"/>
                <w:sz w:val="24"/>
                <w:szCs w:val="24"/>
              </w:rPr>
              <w:t>1.72</w:t>
            </w:r>
          </w:p>
        </w:tc>
        <w:tc>
          <w:tcPr>
            <w:tcW w:w="624" w:type="pct"/>
            <w:gridSpan w:val="6"/>
            <w:vAlign w:val="center"/>
          </w:tcPr>
          <w:p w14:paraId="4967A65A">
            <w:pPr>
              <w:pStyle w:val="33"/>
              <w:spacing w:line="240" w:lineRule="auto"/>
              <w:ind w:firstLine="0" w:firstLineChars="0"/>
              <w:rPr>
                <w:rFonts w:eastAsia="仿宋"/>
                <w:sz w:val="24"/>
                <w:szCs w:val="24"/>
              </w:rPr>
            </w:pPr>
            <w:r>
              <w:rPr>
                <w:rFonts w:hint="eastAsia" w:eastAsia="仿宋"/>
                <w:sz w:val="24"/>
                <w:szCs w:val="24"/>
              </w:rPr>
              <w:t>100.0%</w:t>
            </w:r>
          </w:p>
        </w:tc>
        <w:tc>
          <w:tcPr>
            <w:tcW w:w="624" w:type="pct"/>
            <w:gridSpan w:val="4"/>
            <w:vAlign w:val="center"/>
          </w:tcPr>
          <w:p w14:paraId="63757916">
            <w:pPr>
              <w:pStyle w:val="33"/>
              <w:spacing w:line="240" w:lineRule="auto"/>
              <w:ind w:firstLine="0" w:firstLineChars="0"/>
              <w:rPr>
                <w:rFonts w:eastAsia="仿宋"/>
                <w:sz w:val="24"/>
                <w:szCs w:val="24"/>
              </w:rPr>
            </w:pPr>
            <w:r>
              <w:rPr>
                <w:rFonts w:hint="eastAsia" w:eastAsia="仿宋"/>
                <w:sz w:val="24"/>
                <w:szCs w:val="24"/>
              </w:rPr>
              <w:t>0.00</w:t>
            </w:r>
          </w:p>
        </w:tc>
        <w:tc>
          <w:tcPr>
            <w:tcW w:w="624" w:type="pct"/>
            <w:gridSpan w:val="3"/>
            <w:vAlign w:val="center"/>
          </w:tcPr>
          <w:p w14:paraId="37FEEC40">
            <w:pPr>
              <w:pStyle w:val="33"/>
              <w:spacing w:line="240" w:lineRule="auto"/>
              <w:ind w:firstLine="0" w:firstLineChars="0"/>
              <w:rPr>
                <w:rFonts w:eastAsia="仿宋"/>
                <w:sz w:val="24"/>
                <w:szCs w:val="24"/>
              </w:rPr>
            </w:pPr>
            <w:r>
              <w:rPr>
                <w:rFonts w:hint="eastAsia" w:eastAsia="仿宋"/>
                <w:sz w:val="24"/>
                <w:szCs w:val="24"/>
              </w:rPr>
              <w:t>0.0%</w:t>
            </w:r>
          </w:p>
        </w:tc>
        <w:tc>
          <w:tcPr>
            <w:tcW w:w="624" w:type="pct"/>
            <w:gridSpan w:val="5"/>
            <w:vAlign w:val="center"/>
          </w:tcPr>
          <w:p w14:paraId="7EA563C2">
            <w:pPr>
              <w:pStyle w:val="33"/>
              <w:spacing w:line="240" w:lineRule="auto"/>
              <w:ind w:firstLine="0" w:firstLineChars="0"/>
              <w:rPr>
                <w:rFonts w:eastAsia="仿宋"/>
                <w:sz w:val="24"/>
                <w:szCs w:val="24"/>
              </w:rPr>
            </w:pPr>
            <w:r>
              <w:rPr>
                <w:rFonts w:hint="eastAsia" w:eastAsia="仿宋"/>
                <w:sz w:val="24"/>
                <w:szCs w:val="24"/>
              </w:rPr>
              <w:t>0.00</w:t>
            </w:r>
          </w:p>
        </w:tc>
      </w:tr>
      <w:tr w14:paraId="2FB18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8" w:type="pct"/>
            <w:gridSpan w:val="2"/>
            <w:vAlign w:val="center"/>
          </w:tcPr>
          <w:p w14:paraId="440EAC2F">
            <w:pPr>
              <w:pStyle w:val="33"/>
              <w:spacing w:line="240" w:lineRule="auto"/>
              <w:ind w:firstLine="0" w:firstLineChars="0"/>
              <w:rPr>
                <w:rFonts w:eastAsia="仿宋"/>
                <w:sz w:val="24"/>
                <w:szCs w:val="24"/>
              </w:rPr>
            </w:pPr>
            <w:r>
              <w:rPr>
                <w:rFonts w:eastAsia="仿宋"/>
                <w:sz w:val="24"/>
                <w:szCs w:val="24"/>
              </w:rPr>
              <w:t>SW99</w:t>
            </w:r>
          </w:p>
        </w:tc>
        <w:tc>
          <w:tcPr>
            <w:tcW w:w="795" w:type="pct"/>
            <w:gridSpan w:val="3"/>
            <w:vAlign w:val="center"/>
          </w:tcPr>
          <w:p w14:paraId="2BB00AE7">
            <w:pPr>
              <w:pStyle w:val="33"/>
              <w:spacing w:line="240" w:lineRule="auto"/>
              <w:ind w:firstLine="0" w:firstLineChars="0"/>
              <w:rPr>
                <w:rFonts w:eastAsia="仿宋"/>
                <w:sz w:val="24"/>
                <w:szCs w:val="24"/>
              </w:rPr>
            </w:pPr>
            <w:r>
              <w:rPr>
                <w:rFonts w:eastAsia="仿宋"/>
                <w:sz w:val="24"/>
                <w:szCs w:val="24"/>
              </w:rPr>
              <w:t>其他废物</w:t>
            </w:r>
          </w:p>
        </w:tc>
        <w:tc>
          <w:tcPr>
            <w:tcW w:w="624" w:type="pct"/>
            <w:gridSpan w:val="5"/>
            <w:vAlign w:val="center"/>
          </w:tcPr>
          <w:p w14:paraId="5750BAEA">
            <w:pPr>
              <w:pStyle w:val="33"/>
              <w:spacing w:line="240" w:lineRule="auto"/>
              <w:ind w:firstLine="0" w:firstLineChars="0"/>
              <w:rPr>
                <w:rFonts w:eastAsia="仿宋"/>
                <w:sz w:val="24"/>
                <w:szCs w:val="24"/>
              </w:rPr>
            </w:pPr>
            <w:r>
              <w:rPr>
                <w:rFonts w:hint="eastAsia" w:eastAsia="仿宋"/>
                <w:sz w:val="24"/>
                <w:szCs w:val="24"/>
              </w:rPr>
              <w:t>5.85</w:t>
            </w:r>
          </w:p>
        </w:tc>
        <w:tc>
          <w:tcPr>
            <w:tcW w:w="624" w:type="pct"/>
            <w:gridSpan w:val="5"/>
            <w:vAlign w:val="center"/>
          </w:tcPr>
          <w:p w14:paraId="043EE28D">
            <w:pPr>
              <w:pStyle w:val="33"/>
              <w:spacing w:line="240" w:lineRule="auto"/>
              <w:ind w:firstLine="0" w:firstLineChars="0"/>
              <w:rPr>
                <w:rFonts w:eastAsia="仿宋"/>
                <w:sz w:val="24"/>
                <w:szCs w:val="24"/>
              </w:rPr>
            </w:pPr>
            <w:r>
              <w:rPr>
                <w:rFonts w:hint="eastAsia" w:eastAsia="仿宋"/>
                <w:sz w:val="24"/>
                <w:szCs w:val="24"/>
              </w:rPr>
              <w:t>4.10</w:t>
            </w:r>
          </w:p>
        </w:tc>
        <w:tc>
          <w:tcPr>
            <w:tcW w:w="624" w:type="pct"/>
            <w:gridSpan w:val="6"/>
            <w:vAlign w:val="center"/>
          </w:tcPr>
          <w:p w14:paraId="25ABFE8D">
            <w:pPr>
              <w:pStyle w:val="33"/>
              <w:spacing w:line="240" w:lineRule="auto"/>
              <w:ind w:firstLine="0" w:firstLineChars="0"/>
              <w:rPr>
                <w:rFonts w:eastAsia="仿宋"/>
                <w:sz w:val="24"/>
                <w:szCs w:val="24"/>
              </w:rPr>
            </w:pPr>
            <w:r>
              <w:rPr>
                <w:rFonts w:hint="eastAsia" w:eastAsia="仿宋"/>
                <w:sz w:val="24"/>
                <w:szCs w:val="24"/>
              </w:rPr>
              <w:t>70.2%</w:t>
            </w:r>
          </w:p>
        </w:tc>
        <w:tc>
          <w:tcPr>
            <w:tcW w:w="624" w:type="pct"/>
            <w:gridSpan w:val="4"/>
            <w:vAlign w:val="center"/>
          </w:tcPr>
          <w:p w14:paraId="69AC7840">
            <w:pPr>
              <w:pStyle w:val="33"/>
              <w:spacing w:line="240" w:lineRule="auto"/>
              <w:ind w:firstLine="0" w:firstLineChars="0"/>
              <w:rPr>
                <w:rFonts w:eastAsia="仿宋"/>
                <w:sz w:val="24"/>
                <w:szCs w:val="24"/>
              </w:rPr>
            </w:pPr>
            <w:r>
              <w:rPr>
                <w:rFonts w:hint="eastAsia" w:eastAsia="仿宋"/>
                <w:sz w:val="24"/>
                <w:szCs w:val="24"/>
              </w:rPr>
              <w:t>0.09</w:t>
            </w:r>
          </w:p>
        </w:tc>
        <w:tc>
          <w:tcPr>
            <w:tcW w:w="624" w:type="pct"/>
            <w:gridSpan w:val="3"/>
            <w:vAlign w:val="center"/>
          </w:tcPr>
          <w:p w14:paraId="7EE68D46">
            <w:pPr>
              <w:pStyle w:val="33"/>
              <w:spacing w:line="240" w:lineRule="auto"/>
              <w:ind w:firstLine="0" w:firstLineChars="0"/>
              <w:rPr>
                <w:rFonts w:eastAsia="仿宋"/>
                <w:sz w:val="24"/>
                <w:szCs w:val="24"/>
              </w:rPr>
            </w:pPr>
            <w:r>
              <w:rPr>
                <w:rFonts w:hint="eastAsia" w:eastAsia="仿宋"/>
                <w:sz w:val="24"/>
                <w:szCs w:val="24"/>
              </w:rPr>
              <w:t>1.6%</w:t>
            </w:r>
          </w:p>
        </w:tc>
        <w:tc>
          <w:tcPr>
            <w:tcW w:w="624" w:type="pct"/>
            <w:gridSpan w:val="5"/>
            <w:vAlign w:val="center"/>
          </w:tcPr>
          <w:p w14:paraId="1395C05F">
            <w:pPr>
              <w:pStyle w:val="33"/>
              <w:spacing w:line="240" w:lineRule="auto"/>
              <w:ind w:firstLine="0" w:firstLineChars="0"/>
              <w:rPr>
                <w:rFonts w:eastAsia="仿宋"/>
                <w:sz w:val="24"/>
                <w:szCs w:val="24"/>
              </w:rPr>
            </w:pPr>
            <w:r>
              <w:rPr>
                <w:rFonts w:hint="eastAsia" w:eastAsia="仿宋"/>
                <w:sz w:val="24"/>
                <w:szCs w:val="24"/>
              </w:rPr>
              <w:t>1.65</w:t>
            </w:r>
          </w:p>
        </w:tc>
      </w:tr>
      <w:tr w14:paraId="7A79B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pct"/>
            <w:gridSpan w:val="5"/>
            <w:vAlign w:val="center"/>
          </w:tcPr>
          <w:p w14:paraId="0E892F62">
            <w:pPr>
              <w:pStyle w:val="33"/>
              <w:spacing w:line="240" w:lineRule="auto"/>
              <w:ind w:firstLine="0" w:firstLineChars="0"/>
              <w:rPr>
                <w:rFonts w:eastAsia="仿宋"/>
                <w:sz w:val="24"/>
                <w:szCs w:val="24"/>
              </w:rPr>
            </w:pPr>
            <w:r>
              <w:rPr>
                <w:rFonts w:eastAsia="仿宋"/>
                <w:sz w:val="24"/>
                <w:szCs w:val="24"/>
              </w:rPr>
              <w:t>合计</w:t>
            </w:r>
          </w:p>
        </w:tc>
        <w:tc>
          <w:tcPr>
            <w:tcW w:w="624" w:type="pct"/>
            <w:gridSpan w:val="5"/>
            <w:vAlign w:val="center"/>
          </w:tcPr>
          <w:p w14:paraId="5FE2838D">
            <w:pPr>
              <w:pStyle w:val="33"/>
              <w:spacing w:line="240" w:lineRule="auto"/>
              <w:ind w:firstLine="0" w:firstLineChars="0"/>
              <w:rPr>
                <w:rFonts w:eastAsia="仿宋"/>
                <w:sz w:val="24"/>
                <w:szCs w:val="24"/>
              </w:rPr>
            </w:pPr>
            <w:r>
              <w:rPr>
                <w:rFonts w:hint="eastAsia" w:eastAsia="仿宋"/>
                <w:sz w:val="24"/>
                <w:szCs w:val="24"/>
              </w:rPr>
              <w:t>50.60</w:t>
            </w:r>
          </w:p>
        </w:tc>
        <w:tc>
          <w:tcPr>
            <w:tcW w:w="624" w:type="pct"/>
            <w:gridSpan w:val="5"/>
            <w:vAlign w:val="center"/>
          </w:tcPr>
          <w:p w14:paraId="23275172">
            <w:pPr>
              <w:pStyle w:val="33"/>
              <w:spacing w:line="240" w:lineRule="auto"/>
              <w:ind w:firstLine="0" w:firstLineChars="0"/>
              <w:rPr>
                <w:rFonts w:eastAsia="仿宋"/>
                <w:sz w:val="24"/>
                <w:szCs w:val="24"/>
              </w:rPr>
            </w:pPr>
            <w:r>
              <w:rPr>
                <w:rFonts w:hint="eastAsia" w:eastAsia="仿宋"/>
                <w:sz w:val="24"/>
                <w:szCs w:val="24"/>
              </w:rPr>
              <w:t>48.86</w:t>
            </w:r>
          </w:p>
        </w:tc>
        <w:tc>
          <w:tcPr>
            <w:tcW w:w="624" w:type="pct"/>
            <w:gridSpan w:val="6"/>
            <w:vAlign w:val="center"/>
          </w:tcPr>
          <w:p w14:paraId="26EC077A">
            <w:pPr>
              <w:pStyle w:val="33"/>
              <w:spacing w:line="240" w:lineRule="auto"/>
              <w:ind w:firstLine="0" w:firstLineChars="0"/>
              <w:rPr>
                <w:rFonts w:eastAsia="仿宋"/>
                <w:sz w:val="24"/>
                <w:szCs w:val="24"/>
              </w:rPr>
            </w:pPr>
            <w:r>
              <w:rPr>
                <w:rFonts w:hint="eastAsia" w:eastAsia="仿宋"/>
                <w:sz w:val="24"/>
                <w:szCs w:val="24"/>
              </w:rPr>
              <w:t>96.6%</w:t>
            </w:r>
          </w:p>
        </w:tc>
        <w:tc>
          <w:tcPr>
            <w:tcW w:w="624" w:type="pct"/>
            <w:gridSpan w:val="4"/>
            <w:vAlign w:val="center"/>
          </w:tcPr>
          <w:p w14:paraId="31AC3D8B">
            <w:pPr>
              <w:pStyle w:val="33"/>
              <w:spacing w:line="240" w:lineRule="auto"/>
              <w:ind w:firstLine="0" w:firstLineChars="0"/>
              <w:rPr>
                <w:rFonts w:eastAsia="仿宋"/>
                <w:sz w:val="24"/>
                <w:szCs w:val="24"/>
              </w:rPr>
            </w:pPr>
            <w:r>
              <w:rPr>
                <w:rFonts w:hint="eastAsia" w:eastAsia="仿宋"/>
                <w:sz w:val="24"/>
                <w:szCs w:val="24"/>
              </w:rPr>
              <w:t>0.09</w:t>
            </w:r>
          </w:p>
        </w:tc>
        <w:tc>
          <w:tcPr>
            <w:tcW w:w="624" w:type="pct"/>
            <w:gridSpan w:val="3"/>
            <w:vAlign w:val="center"/>
          </w:tcPr>
          <w:p w14:paraId="043CF95F">
            <w:pPr>
              <w:pStyle w:val="33"/>
              <w:spacing w:line="240" w:lineRule="auto"/>
              <w:ind w:firstLine="0" w:firstLineChars="0"/>
              <w:rPr>
                <w:rFonts w:eastAsia="仿宋"/>
                <w:sz w:val="24"/>
                <w:szCs w:val="24"/>
              </w:rPr>
            </w:pPr>
            <w:r>
              <w:rPr>
                <w:rFonts w:hint="eastAsia" w:eastAsia="仿宋"/>
                <w:sz w:val="24"/>
                <w:szCs w:val="24"/>
              </w:rPr>
              <w:t>0.2%</w:t>
            </w:r>
          </w:p>
        </w:tc>
        <w:tc>
          <w:tcPr>
            <w:tcW w:w="624" w:type="pct"/>
            <w:gridSpan w:val="5"/>
            <w:vAlign w:val="center"/>
          </w:tcPr>
          <w:p w14:paraId="217152B9">
            <w:pPr>
              <w:pStyle w:val="33"/>
              <w:spacing w:line="240" w:lineRule="auto"/>
              <w:ind w:firstLine="0" w:firstLineChars="0"/>
              <w:rPr>
                <w:rFonts w:eastAsia="仿宋"/>
                <w:sz w:val="24"/>
                <w:szCs w:val="24"/>
              </w:rPr>
            </w:pPr>
            <w:r>
              <w:rPr>
                <w:rFonts w:hint="eastAsia" w:eastAsia="仿宋"/>
                <w:sz w:val="24"/>
                <w:szCs w:val="24"/>
              </w:rPr>
              <w:t>1.65</w:t>
            </w:r>
          </w:p>
        </w:tc>
      </w:tr>
      <w:tr w14:paraId="2F269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3"/>
            <w:vAlign w:val="center"/>
          </w:tcPr>
          <w:p w14:paraId="0FD6E8FC">
            <w:pPr>
              <w:pStyle w:val="33"/>
              <w:spacing w:line="240" w:lineRule="auto"/>
              <w:ind w:firstLine="0" w:firstLineChars="0"/>
              <w:jc w:val="both"/>
              <w:rPr>
                <w:rFonts w:eastAsia="仿宋"/>
                <w:sz w:val="24"/>
                <w:szCs w:val="24"/>
              </w:rPr>
            </w:pPr>
            <w:r>
              <w:rPr>
                <w:rFonts w:eastAsia="仿宋"/>
                <w:b/>
                <w:bCs/>
                <w:sz w:val="24"/>
                <w:szCs w:val="24"/>
              </w:rPr>
              <w:t>危险废物（吨）</w:t>
            </w:r>
          </w:p>
        </w:tc>
      </w:tr>
      <w:tr w14:paraId="74EA5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5" w:type="pct"/>
            <w:gridSpan w:val="6"/>
            <w:vAlign w:val="center"/>
          </w:tcPr>
          <w:p w14:paraId="53A60342">
            <w:pPr>
              <w:pStyle w:val="33"/>
              <w:spacing w:line="240" w:lineRule="auto"/>
              <w:ind w:firstLine="0" w:firstLineChars="0"/>
              <w:rPr>
                <w:rFonts w:eastAsia="仿宋"/>
                <w:b/>
                <w:bCs/>
                <w:sz w:val="24"/>
                <w:szCs w:val="24"/>
              </w:rPr>
            </w:pPr>
            <w:r>
              <w:rPr>
                <w:rFonts w:eastAsia="仿宋"/>
                <w:b/>
                <w:bCs/>
                <w:sz w:val="24"/>
                <w:szCs w:val="24"/>
              </w:rPr>
              <w:t>类别</w:t>
            </w:r>
          </w:p>
        </w:tc>
        <w:tc>
          <w:tcPr>
            <w:tcW w:w="327" w:type="pct"/>
            <w:gridSpan w:val="3"/>
            <w:vAlign w:val="center"/>
          </w:tcPr>
          <w:p w14:paraId="0E5EB724">
            <w:pPr>
              <w:pStyle w:val="33"/>
              <w:spacing w:line="240" w:lineRule="auto"/>
              <w:ind w:firstLine="0" w:firstLineChars="0"/>
              <w:rPr>
                <w:rFonts w:eastAsia="仿宋"/>
                <w:b/>
                <w:bCs/>
                <w:sz w:val="24"/>
                <w:szCs w:val="24"/>
              </w:rPr>
            </w:pPr>
            <w:r>
              <w:rPr>
                <w:rFonts w:hint="eastAsia" w:eastAsia="仿宋"/>
                <w:b/>
                <w:bCs/>
                <w:sz w:val="24"/>
                <w:szCs w:val="24"/>
              </w:rPr>
              <w:t>期初库存</w:t>
            </w:r>
          </w:p>
        </w:tc>
        <w:tc>
          <w:tcPr>
            <w:tcW w:w="322" w:type="pct"/>
            <w:gridSpan w:val="4"/>
            <w:vAlign w:val="center"/>
          </w:tcPr>
          <w:p w14:paraId="428CEE8F">
            <w:pPr>
              <w:pStyle w:val="33"/>
              <w:spacing w:line="240" w:lineRule="auto"/>
              <w:ind w:firstLine="0" w:firstLineChars="0"/>
              <w:rPr>
                <w:rFonts w:eastAsia="仿宋"/>
                <w:b/>
                <w:bCs/>
                <w:sz w:val="24"/>
                <w:szCs w:val="24"/>
              </w:rPr>
            </w:pPr>
            <w:r>
              <w:rPr>
                <w:rFonts w:hint="eastAsia" w:eastAsia="仿宋"/>
                <w:b/>
                <w:bCs/>
                <w:sz w:val="24"/>
                <w:szCs w:val="24"/>
              </w:rPr>
              <w:t>期末库存</w:t>
            </w:r>
          </w:p>
        </w:tc>
        <w:tc>
          <w:tcPr>
            <w:tcW w:w="466" w:type="pct"/>
            <w:gridSpan w:val="4"/>
            <w:vAlign w:val="center"/>
          </w:tcPr>
          <w:p w14:paraId="4647DF0A">
            <w:pPr>
              <w:pStyle w:val="33"/>
              <w:spacing w:line="240" w:lineRule="auto"/>
              <w:ind w:firstLine="0" w:firstLineChars="0"/>
              <w:rPr>
                <w:rFonts w:eastAsia="仿宋"/>
                <w:b/>
                <w:bCs/>
                <w:sz w:val="24"/>
                <w:szCs w:val="24"/>
              </w:rPr>
            </w:pPr>
            <w:r>
              <w:rPr>
                <w:rFonts w:hint="eastAsia" w:eastAsia="仿宋"/>
                <w:b/>
                <w:bCs/>
                <w:sz w:val="24"/>
                <w:szCs w:val="24"/>
              </w:rPr>
              <w:t>2022产生量</w:t>
            </w:r>
          </w:p>
        </w:tc>
        <w:tc>
          <w:tcPr>
            <w:tcW w:w="420" w:type="pct"/>
            <w:vAlign w:val="center"/>
          </w:tcPr>
          <w:p w14:paraId="77157B93">
            <w:pPr>
              <w:pStyle w:val="33"/>
              <w:spacing w:line="240" w:lineRule="auto"/>
              <w:ind w:firstLine="0" w:firstLineChars="0"/>
              <w:rPr>
                <w:rFonts w:eastAsia="仿宋"/>
                <w:b/>
                <w:bCs/>
                <w:sz w:val="24"/>
                <w:szCs w:val="24"/>
              </w:rPr>
            </w:pPr>
            <w:r>
              <w:rPr>
                <w:rFonts w:hint="eastAsia" w:eastAsia="仿宋"/>
                <w:b/>
                <w:bCs/>
                <w:sz w:val="24"/>
                <w:szCs w:val="24"/>
              </w:rPr>
              <w:t>自行处置量</w:t>
            </w:r>
          </w:p>
        </w:tc>
        <w:tc>
          <w:tcPr>
            <w:tcW w:w="384" w:type="pct"/>
            <w:gridSpan w:val="4"/>
            <w:vAlign w:val="center"/>
          </w:tcPr>
          <w:p w14:paraId="1027B6DD">
            <w:pPr>
              <w:pStyle w:val="33"/>
              <w:spacing w:line="240" w:lineRule="auto"/>
              <w:ind w:firstLine="0" w:firstLineChars="0"/>
              <w:rPr>
                <w:rFonts w:eastAsia="仿宋"/>
                <w:b/>
                <w:bCs/>
                <w:sz w:val="24"/>
                <w:szCs w:val="24"/>
              </w:rPr>
            </w:pPr>
            <w:r>
              <w:rPr>
                <w:rFonts w:hint="eastAsia" w:eastAsia="仿宋"/>
                <w:b/>
                <w:bCs/>
                <w:sz w:val="24"/>
                <w:szCs w:val="24"/>
              </w:rPr>
              <w:t>委托利用量</w:t>
            </w:r>
          </w:p>
        </w:tc>
        <w:tc>
          <w:tcPr>
            <w:tcW w:w="384" w:type="pct"/>
            <w:gridSpan w:val="3"/>
            <w:vAlign w:val="center"/>
          </w:tcPr>
          <w:p w14:paraId="00D67E96">
            <w:pPr>
              <w:pStyle w:val="33"/>
              <w:spacing w:line="240" w:lineRule="auto"/>
              <w:ind w:firstLine="0" w:firstLineChars="0"/>
              <w:rPr>
                <w:rFonts w:eastAsia="仿宋"/>
                <w:b/>
                <w:bCs/>
                <w:sz w:val="24"/>
                <w:szCs w:val="24"/>
              </w:rPr>
            </w:pPr>
            <w:r>
              <w:rPr>
                <w:rFonts w:hint="eastAsia" w:eastAsia="仿宋"/>
                <w:b/>
                <w:bCs/>
                <w:sz w:val="24"/>
                <w:szCs w:val="24"/>
              </w:rPr>
              <w:t>委托处置量</w:t>
            </w:r>
          </w:p>
        </w:tc>
        <w:tc>
          <w:tcPr>
            <w:tcW w:w="316" w:type="pct"/>
            <w:gridSpan w:val="2"/>
            <w:vAlign w:val="center"/>
          </w:tcPr>
          <w:p w14:paraId="3DF35BA1">
            <w:pPr>
              <w:pStyle w:val="33"/>
              <w:spacing w:line="240" w:lineRule="auto"/>
              <w:ind w:firstLine="0" w:firstLineChars="0"/>
              <w:rPr>
                <w:rFonts w:eastAsia="仿宋"/>
                <w:b/>
                <w:bCs/>
                <w:sz w:val="24"/>
                <w:szCs w:val="24"/>
              </w:rPr>
            </w:pPr>
            <w:r>
              <w:rPr>
                <w:rFonts w:hint="eastAsia" w:eastAsia="仿宋"/>
                <w:b/>
                <w:bCs/>
                <w:sz w:val="24"/>
                <w:szCs w:val="24"/>
              </w:rPr>
              <w:t>区内占比</w:t>
            </w:r>
          </w:p>
        </w:tc>
        <w:tc>
          <w:tcPr>
            <w:tcW w:w="351" w:type="pct"/>
            <w:gridSpan w:val="2"/>
            <w:vAlign w:val="center"/>
          </w:tcPr>
          <w:p w14:paraId="6CA4278A">
            <w:pPr>
              <w:pStyle w:val="33"/>
              <w:spacing w:line="240" w:lineRule="auto"/>
              <w:ind w:firstLine="0" w:firstLineChars="0"/>
              <w:rPr>
                <w:rFonts w:eastAsia="仿宋"/>
                <w:b/>
                <w:bCs/>
                <w:sz w:val="24"/>
                <w:szCs w:val="24"/>
              </w:rPr>
            </w:pPr>
            <w:r>
              <w:rPr>
                <w:rFonts w:hint="eastAsia" w:eastAsia="仿宋"/>
                <w:b/>
                <w:bCs/>
                <w:sz w:val="24"/>
                <w:szCs w:val="24"/>
              </w:rPr>
              <w:t>区外市内占比</w:t>
            </w:r>
          </w:p>
        </w:tc>
        <w:tc>
          <w:tcPr>
            <w:tcW w:w="313" w:type="pct"/>
            <w:gridSpan w:val="3"/>
            <w:vAlign w:val="center"/>
          </w:tcPr>
          <w:p w14:paraId="5A7AFA5D">
            <w:pPr>
              <w:pStyle w:val="33"/>
              <w:spacing w:line="240" w:lineRule="auto"/>
              <w:ind w:firstLine="0" w:firstLineChars="0"/>
              <w:rPr>
                <w:rFonts w:eastAsia="仿宋"/>
                <w:b/>
                <w:bCs/>
                <w:sz w:val="24"/>
                <w:szCs w:val="24"/>
              </w:rPr>
            </w:pPr>
            <w:r>
              <w:rPr>
                <w:rFonts w:hint="eastAsia" w:eastAsia="仿宋"/>
                <w:b/>
                <w:bCs/>
                <w:sz w:val="24"/>
                <w:szCs w:val="24"/>
              </w:rPr>
              <w:t>市外占比</w:t>
            </w:r>
          </w:p>
        </w:tc>
        <w:tc>
          <w:tcPr>
            <w:tcW w:w="267" w:type="pct"/>
            <w:vAlign w:val="center"/>
          </w:tcPr>
          <w:p w14:paraId="729D610D">
            <w:pPr>
              <w:pStyle w:val="33"/>
              <w:spacing w:line="240" w:lineRule="auto"/>
              <w:ind w:firstLine="0" w:firstLineChars="0"/>
              <w:rPr>
                <w:rFonts w:eastAsia="仿宋"/>
                <w:b/>
                <w:bCs/>
                <w:sz w:val="24"/>
                <w:szCs w:val="24"/>
              </w:rPr>
            </w:pPr>
            <w:r>
              <w:rPr>
                <w:rFonts w:hint="eastAsia" w:eastAsia="仿宋"/>
                <w:b/>
                <w:bCs/>
                <w:sz w:val="24"/>
                <w:szCs w:val="24"/>
              </w:rPr>
              <w:t>省外占比</w:t>
            </w:r>
          </w:p>
        </w:tc>
      </w:tr>
      <w:tr w14:paraId="58609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5" w:type="pct"/>
            <w:gridSpan w:val="6"/>
            <w:vAlign w:val="center"/>
          </w:tcPr>
          <w:p w14:paraId="1E48B03F">
            <w:pPr>
              <w:pStyle w:val="33"/>
              <w:spacing w:line="240" w:lineRule="auto"/>
              <w:ind w:firstLine="0" w:firstLineChars="0"/>
              <w:rPr>
                <w:rFonts w:eastAsia="仿宋"/>
                <w:sz w:val="24"/>
                <w:szCs w:val="24"/>
              </w:rPr>
            </w:pPr>
            <w:r>
              <w:rPr>
                <w:rFonts w:eastAsia="仿宋"/>
                <w:sz w:val="24"/>
                <w:szCs w:val="24"/>
              </w:rPr>
              <w:t>HW03废药物、药品</w:t>
            </w:r>
          </w:p>
        </w:tc>
        <w:tc>
          <w:tcPr>
            <w:tcW w:w="327" w:type="pct"/>
            <w:gridSpan w:val="3"/>
            <w:vAlign w:val="center"/>
          </w:tcPr>
          <w:p w14:paraId="3F40AA01">
            <w:pPr>
              <w:pStyle w:val="33"/>
              <w:spacing w:line="240" w:lineRule="auto"/>
              <w:ind w:firstLine="0" w:firstLineChars="0"/>
              <w:jc w:val="right"/>
              <w:rPr>
                <w:rFonts w:eastAsia="仿宋"/>
                <w:sz w:val="24"/>
                <w:szCs w:val="24"/>
              </w:rPr>
            </w:pPr>
            <w:r>
              <w:rPr>
                <w:rFonts w:hint="eastAsia" w:eastAsia="仿宋"/>
                <w:sz w:val="24"/>
                <w:szCs w:val="24"/>
              </w:rPr>
              <w:t>0.0073</w:t>
            </w:r>
          </w:p>
        </w:tc>
        <w:tc>
          <w:tcPr>
            <w:tcW w:w="322" w:type="pct"/>
            <w:gridSpan w:val="4"/>
            <w:vAlign w:val="center"/>
          </w:tcPr>
          <w:p w14:paraId="14F2A4B6">
            <w:pPr>
              <w:pStyle w:val="33"/>
              <w:spacing w:line="240" w:lineRule="auto"/>
              <w:ind w:firstLine="0" w:firstLineChars="0"/>
              <w:jc w:val="right"/>
              <w:rPr>
                <w:rFonts w:eastAsia="仿宋"/>
                <w:sz w:val="24"/>
                <w:szCs w:val="24"/>
              </w:rPr>
            </w:pPr>
            <w:r>
              <w:rPr>
                <w:rFonts w:hint="eastAsia" w:eastAsia="仿宋"/>
                <w:sz w:val="24"/>
                <w:szCs w:val="24"/>
              </w:rPr>
              <w:t>0</w:t>
            </w:r>
          </w:p>
        </w:tc>
        <w:tc>
          <w:tcPr>
            <w:tcW w:w="466" w:type="pct"/>
            <w:gridSpan w:val="4"/>
            <w:vAlign w:val="center"/>
          </w:tcPr>
          <w:p w14:paraId="3B97FB4E">
            <w:pPr>
              <w:pStyle w:val="33"/>
              <w:spacing w:line="240" w:lineRule="auto"/>
              <w:ind w:firstLine="0" w:firstLineChars="0"/>
              <w:jc w:val="right"/>
              <w:rPr>
                <w:rFonts w:eastAsia="仿宋"/>
                <w:sz w:val="24"/>
                <w:szCs w:val="24"/>
              </w:rPr>
            </w:pPr>
            <w:r>
              <w:rPr>
                <w:rFonts w:hint="eastAsia" w:eastAsia="仿宋"/>
                <w:sz w:val="24"/>
                <w:szCs w:val="24"/>
              </w:rPr>
              <w:t>0.0035</w:t>
            </w:r>
          </w:p>
        </w:tc>
        <w:tc>
          <w:tcPr>
            <w:tcW w:w="420" w:type="pct"/>
            <w:vAlign w:val="center"/>
          </w:tcPr>
          <w:p w14:paraId="2FE54FDE">
            <w:pPr>
              <w:pStyle w:val="33"/>
              <w:spacing w:line="240" w:lineRule="auto"/>
              <w:ind w:firstLine="0" w:firstLineChars="0"/>
              <w:jc w:val="right"/>
              <w:rPr>
                <w:rFonts w:eastAsia="仿宋"/>
                <w:sz w:val="24"/>
                <w:szCs w:val="24"/>
              </w:rPr>
            </w:pPr>
            <w:r>
              <w:rPr>
                <w:rFonts w:hint="eastAsia" w:eastAsia="仿宋"/>
                <w:sz w:val="24"/>
                <w:szCs w:val="24"/>
              </w:rPr>
              <w:t>0</w:t>
            </w:r>
          </w:p>
        </w:tc>
        <w:tc>
          <w:tcPr>
            <w:tcW w:w="384" w:type="pct"/>
            <w:gridSpan w:val="4"/>
            <w:vAlign w:val="center"/>
          </w:tcPr>
          <w:p w14:paraId="3B2BD8BA">
            <w:pPr>
              <w:pStyle w:val="33"/>
              <w:spacing w:line="240" w:lineRule="auto"/>
              <w:ind w:firstLine="0" w:firstLineChars="0"/>
              <w:jc w:val="right"/>
              <w:rPr>
                <w:rFonts w:eastAsia="仿宋"/>
                <w:sz w:val="24"/>
                <w:szCs w:val="24"/>
              </w:rPr>
            </w:pPr>
            <w:r>
              <w:rPr>
                <w:rFonts w:hint="eastAsia" w:eastAsia="仿宋"/>
                <w:sz w:val="24"/>
                <w:szCs w:val="24"/>
              </w:rPr>
              <w:t>0</w:t>
            </w:r>
          </w:p>
        </w:tc>
        <w:tc>
          <w:tcPr>
            <w:tcW w:w="384" w:type="pct"/>
            <w:gridSpan w:val="3"/>
            <w:vAlign w:val="center"/>
          </w:tcPr>
          <w:p w14:paraId="06D37D33">
            <w:pPr>
              <w:pStyle w:val="33"/>
              <w:spacing w:line="240" w:lineRule="auto"/>
              <w:ind w:firstLine="0" w:firstLineChars="0"/>
              <w:jc w:val="right"/>
              <w:rPr>
                <w:rFonts w:eastAsia="仿宋"/>
                <w:sz w:val="24"/>
                <w:szCs w:val="24"/>
              </w:rPr>
            </w:pPr>
            <w:r>
              <w:rPr>
                <w:rFonts w:hint="eastAsia" w:eastAsia="仿宋"/>
                <w:sz w:val="24"/>
                <w:szCs w:val="24"/>
              </w:rPr>
              <w:t>0.0108</w:t>
            </w:r>
          </w:p>
        </w:tc>
        <w:tc>
          <w:tcPr>
            <w:tcW w:w="316" w:type="pct"/>
            <w:gridSpan w:val="2"/>
            <w:vAlign w:val="center"/>
          </w:tcPr>
          <w:p w14:paraId="4F3B1773">
            <w:pPr>
              <w:pStyle w:val="33"/>
              <w:spacing w:line="240" w:lineRule="auto"/>
              <w:ind w:firstLine="0" w:firstLineChars="0"/>
              <w:rPr>
                <w:rFonts w:eastAsia="仿宋"/>
                <w:sz w:val="24"/>
                <w:szCs w:val="24"/>
              </w:rPr>
            </w:pPr>
            <w:r>
              <w:rPr>
                <w:rFonts w:hint="eastAsia" w:eastAsia="仿宋"/>
                <w:sz w:val="24"/>
                <w:szCs w:val="24"/>
              </w:rPr>
              <w:t>/</w:t>
            </w:r>
          </w:p>
        </w:tc>
        <w:tc>
          <w:tcPr>
            <w:tcW w:w="351" w:type="pct"/>
            <w:gridSpan w:val="2"/>
            <w:vAlign w:val="center"/>
          </w:tcPr>
          <w:p w14:paraId="5C80F364">
            <w:pPr>
              <w:pStyle w:val="33"/>
              <w:spacing w:line="240" w:lineRule="auto"/>
              <w:ind w:firstLine="0" w:firstLineChars="0"/>
              <w:rPr>
                <w:rFonts w:eastAsia="仿宋"/>
                <w:sz w:val="24"/>
                <w:szCs w:val="24"/>
              </w:rPr>
            </w:pPr>
            <w:r>
              <w:rPr>
                <w:rFonts w:hint="eastAsia" w:eastAsia="仿宋"/>
                <w:sz w:val="24"/>
                <w:szCs w:val="24"/>
              </w:rPr>
              <w:t>100%</w:t>
            </w:r>
          </w:p>
        </w:tc>
        <w:tc>
          <w:tcPr>
            <w:tcW w:w="313" w:type="pct"/>
            <w:gridSpan w:val="3"/>
            <w:vAlign w:val="center"/>
          </w:tcPr>
          <w:p w14:paraId="61B96B78">
            <w:pPr>
              <w:pStyle w:val="33"/>
              <w:spacing w:line="240" w:lineRule="auto"/>
              <w:ind w:firstLine="0" w:firstLineChars="0"/>
              <w:rPr>
                <w:rFonts w:eastAsia="仿宋"/>
                <w:sz w:val="24"/>
                <w:szCs w:val="24"/>
              </w:rPr>
            </w:pPr>
            <w:r>
              <w:rPr>
                <w:rFonts w:hint="eastAsia" w:eastAsia="仿宋"/>
                <w:sz w:val="24"/>
                <w:szCs w:val="24"/>
              </w:rPr>
              <w:t>/</w:t>
            </w:r>
          </w:p>
        </w:tc>
        <w:tc>
          <w:tcPr>
            <w:tcW w:w="267" w:type="pct"/>
            <w:vAlign w:val="center"/>
          </w:tcPr>
          <w:p w14:paraId="44A918CA">
            <w:pPr>
              <w:pStyle w:val="33"/>
              <w:spacing w:line="240" w:lineRule="auto"/>
              <w:ind w:firstLine="0" w:firstLineChars="0"/>
              <w:rPr>
                <w:rFonts w:eastAsia="仿宋"/>
                <w:sz w:val="24"/>
                <w:szCs w:val="24"/>
              </w:rPr>
            </w:pPr>
            <w:r>
              <w:rPr>
                <w:rFonts w:hint="eastAsia" w:eastAsia="仿宋"/>
                <w:sz w:val="24"/>
                <w:szCs w:val="24"/>
              </w:rPr>
              <w:t>/</w:t>
            </w:r>
          </w:p>
        </w:tc>
      </w:tr>
      <w:tr w14:paraId="568F3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5" w:type="pct"/>
            <w:gridSpan w:val="6"/>
            <w:vAlign w:val="center"/>
          </w:tcPr>
          <w:p w14:paraId="64D4FC26">
            <w:pPr>
              <w:pStyle w:val="33"/>
              <w:spacing w:line="240" w:lineRule="auto"/>
              <w:ind w:firstLine="0" w:firstLineChars="0"/>
              <w:rPr>
                <w:rFonts w:eastAsia="仿宋"/>
                <w:sz w:val="24"/>
                <w:szCs w:val="24"/>
              </w:rPr>
            </w:pPr>
            <w:r>
              <w:rPr>
                <w:rFonts w:eastAsia="仿宋"/>
                <w:sz w:val="24"/>
                <w:szCs w:val="24"/>
              </w:rPr>
              <w:t>HW06废有机溶剂与含有机溶剂废物</w:t>
            </w:r>
          </w:p>
        </w:tc>
        <w:tc>
          <w:tcPr>
            <w:tcW w:w="327" w:type="pct"/>
            <w:gridSpan w:val="3"/>
            <w:vAlign w:val="center"/>
          </w:tcPr>
          <w:p w14:paraId="26A9F9B1">
            <w:pPr>
              <w:pStyle w:val="33"/>
              <w:spacing w:line="240" w:lineRule="auto"/>
              <w:ind w:firstLine="0" w:firstLineChars="0"/>
              <w:jc w:val="right"/>
              <w:rPr>
                <w:rFonts w:eastAsia="仿宋"/>
                <w:sz w:val="24"/>
                <w:szCs w:val="24"/>
              </w:rPr>
            </w:pPr>
            <w:r>
              <w:rPr>
                <w:rFonts w:hint="eastAsia" w:eastAsia="仿宋"/>
                <w:sz w:val="24"/>
                <w:szCs w:val="24"/>
              </w:rPr>
              <w:t>0.52</w:t>
            </w:r>
          </w:p>
        </w:tc>
        <w:tc>
          <w:tcPr>
            <w:tcW w:w="322" w:type="pct"/>
            <w:gridSpan w:val="4"/>
            <w:vAlign w:val="center"/>
          </w:tcPr>
          <w:p w14:paraId="79FB1880">
            <w:pPr>
              <w:pStyle w:val="33"/>
              <w:spacing w:line="240" w:lineRule="auto"/>
              <w:ind w:firstLine="0" w:firstLineChars="0"/>
              <w:jc w:val="right"/>
              <w:rPr>
                <w:rFonts w:eastAsia="仿宋"/>
                <w:sz w:val="24"/>
                <w:szCs w:val="24"/>
              </w:rPr>
            </w:pPr>
            <w:r>
              <w:rPr>
                <w:rFonts w:hint="eastAsia" w:eastAsia="仿宋"/>
                <w:sz w:val="24"/>
                <w:szCs w:val="24"/>
              </w:rPr>
              <w:t>3.28</w:t>
            </w:r>
          </w:p>
        </w:tc>
        <w:tc>
          <w:tcPr>
            <w:tcW w:w="466" w:type="pct"/>
            <w:gridSpan w:val="4"/>
            <w:vAlign w:val="center"/>
          </w:tcPr>
          <w:p w14:paraId="43E5415C">
            <w:pPr>
              <w:pStyle w:val="33"/>
              <w:spacing w:line="240" w:lineRule="auto"/>
              <w:ind w:firstLine="0" w:firstLineChars="0"/>
              <w:jc w:val="right"/>
              <w:rPr>
                <w:rFonts w:eastAsia="仿宋"/>
                <w:sz w:val="24"/>
                <w:szCs w:val="24"/>
              </w:rPr>
            </w:pPr>
            <w:r>
              <w:rPr>
                <w:rFonts w:hint="eastAsia" w:eastAsia="仿宋"/>
                <w:sz w:val="24"/>
                <w:szCs w:val="24"/>
              </w:rPr>
              <w:t>297.46</w:t>
            </w:r>
          </w:p>
        </w:tc>
        <w:tc>
          <w:tcPr>
            <w:tcW w:w="420" w:type="pct"/>
            <w:vAlign w:val="center"/>
          </w:tcPr>
          <w:p w14:paraId="17982FEE">
            <w:pPr>
              <w:pStyle w:val="33"/>
              <w:spacing w:line="240" w:lineRule="auto"/>
              <w:ind w:firstLine="0" w:firstLineChars="0"/>
              <w:jc w:val="right"/>
              <w:rPr>
                <w:rFonts w:eastAsia="仿宋"/>
                <w:sz w:val="24"/>
                <w:szCs w:val="24"/>
              </w:rPr>
            </w:pPr>
            <w:r>
              <w:rPr>
                <w:rFonts w:hint="eastAsia" w:eastAsia="仿宋"/>
                <w:sz w:val="24"/>
                <w:szCs w:val="24"/>
              </w:rPr>
              <w:t>0</w:t>
            </w:r>
          </w:p>
        </w:tc>
        <w:tc>
          <w:tcPr>
            <w:tcW w:w="384" w:type="pct"/>
            <w:gridSpan w:val="4"/>
            <w:vAlign w:val="center"/>
          </w:tcPr>
          <w:p w14:paraId="466762F2">
            <w:pPr>
              <w:pStyle w:val="33"/>
              <w:spacing w:line="240" w:lineRule="auto"/>
              <w:ind w:firstLine="0" w:firstLineChars="0"/>
              <w:jc w:val="right"/>
              <w:rPr>
                <w:rFonts w:eastAsia="仿宋"/>
                <w:sz w:val="24"/>
                <w:szCs w:val="24"/>
              </w:rPr>
            </w:pPr>
            <w:r>
              <w:rPr>
                <w:rFonts w:hint="eastAsia" w:eastAsia="仿宋"/>
                <w:sz w:val="24"/>
                <w:szCs w:val="24"/>
              </w:rPr>
              <w:t>211.06</w:t>
            </w:r>
          </w:p>
        </w:tc>
        <w:tc>
          <w:tcPr>
            <w:tcW w:w="384" w:type="pct"/>
            <w:gridSpan w:val="3"/>
            <w:vAlign w:val="center"/>
          </w:tcPr>
          <w:p w14:paraId="4C9F42B9">
            <w:pPr>
              <w:pStyle w:val="33"/>
              <w:spacing w:line="240" w:lineRule="auto"/>
              <w:ind w:firstLine="0" w:firstLineChars="0"/>
              <w:jc w:val="right"/>
              <w:rPr>
                <w:rFonts w:eastAsia="仿宋"/>
                <w:sz w:val="24"/>
                <w:szCs w:val="24"/>
              </w:rPr>
            </w:pPr>
            <w:r>
              <w:rPr>
                <w:rFonts w:hint="eastAsia" w:eastAsia="仿宋"/>
                <w:sz w:val="24"/>
                <w:szCs w:val="24"/>
              </w:rPr>
              <w:t>83.64</w:t>
            </w:r>
          </w:p>
        </w:tc>
        <w:tc>
          <w:tcPr>
            <w:tcW w:w="316" w:type="pct"/>
            <w:gridSpan w:val="2"/>
            <w:vAlign w:val="center"/>
          </w:tcPr>
          <w:p w14:paraId="3FE419DA">
            <w:pPr>
              <w:pStyle w:val="33"/>
              <w:spacing w:line="240" w:lineRule="auto"/>
              <w:ind w:firstLine="0" w:firstLineChars="0"/>
              <w:rPr>
                <w:rFonts w:eastAsia="仿宋"/>
                <w:sz w:val="24"/>
                <w:szCs w:val="24"/>
              </w:rPr>
            </w:pPr>
            <w:r>
              <w:rPr>
                <w:rFonts w:hint="eastAsia" w:eastAsia="仿宋"/>
                <w:sz w:val="24"/>
                <w:szCs w:val="24"/>
              </w:rPr>
              <w:t>/</w:t>
            </w:r>
          </w:p>
        </w:tc>
        <w:tc>
          <w:tcPr>
            <w:tcW w:w="351" w:type="pct"/>
            <w:gridSpan w:val="2"/>
            <w:vAlign w:val="center"/>
          </w:tcPr>
          <w:p w14:paraId="4E1F911A">
            <w:pPr>
              <w:pStyle w:val="33"/>
              <w:spacing w:line="240" w:lineRule="auto"/>
              <w:ind w:firstLine="0" w:firstLineChars="0"/>
              <w:rPr>
                <w:rFonts w:eastAsia="仿宋"/>
                <w:sz w:val="24"/>
                <w:szCs w:val="24"/>
              </w:rPr>
            </w:pPr>
            <w:r>
              <w:rPr>
                <w:rFonts w:hint="eastAsia" w:eastAsia="仿宋"/>
                <w:sz w:val="24"/>
                <w:szCs w:val="24"/>
              </w:rPr>
              <w:t>19%</w:t>
            </w:r>
          </w:p>
        </w:tc>
        <w:tc>
          <w:tcPr>
            <w:tcW w:w="313" w:type="pct"/>
            <w:gridSpan w:val="3"/>
            <w:vAlign w:val="center"/>
          </w:tcPr>
          <w:p w14:paraId="38367EDB">
            <w:pPr>
              <w:pStyle w:val="33"/>
              <w:spacing w:line="240" w:lineRule="auto"/>
              <w:ind w:firstLine="0" w:firstLineChars="0"/>
              <w:rPr>
                <w:rFonts w:eastAsia="仿宋"/>
                <w:sz w:val="24"/>
                <w:szCs w:val="24"/>
              </w:rPr>
            </w:pPr>
            <w:r>
              <w:rPr>
                <w:rFonts w:hint="eastAsia" w:eastAsia="仿宋"/>
                <w:sz w:val="24"/>
                <w:szCs w:val="24"/>
              </w:rPr>
              <w:t>36%</w:t>
            </w:r>
          </w:p>
        </w:tc>
        <w:tc>
          <w:tcPr>
            <w:tcW w:w="267" w:type="pct"/>
            <w:vAlign w:val="center"/>
          </w:tcPr>
          <w:p w14:paraId="7778037F">
            <w:pPr>
              <w:pStyle w:val="33"/>
              <w:spacing w:line="240" w:lineRule="auto"/>
              <w:ind w:firstLine="0" w:firstLineChars="0"/>
              <w:rPr>
                <w:rFonts w:eastAsia="仿宋"/>
                <w:sz w:val="24"/>
                <w:szCs w:val="24"/>
              </w:rPr>
            </w:pPr>
            <w:r>
              <w:rPr>
                <w:rFonts w:hint="eastAsia" w:eastAsia="仿宋"/>
                <w:sz w:val="24"/>
                <w:szCs w:val="24"/>
              </w:rPr>
              <w:t>45%</w:t>
            </w:r>
          </w:p>
        </w:tc>
      </w:tr>
      <w:tr w14:paraId="1CA49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5" w:type="pct"/>
            <w:gridSpan w:val="6"/>
            <w:vAlign w:val="center"/>
          </w:tcPr>
          <w:p w14:paraId="71449214">
            <w:pPr>
              <w:pStyle w:val="33"/>
              <w:spacing w:line="240" w:lineRule="auto"/>
              <w:ind w:firstLine="0" w:firstLineChars="0"/>
              <w:rPr>
                <w:rFonts w:eastAsia="仿宋"/>
                <w:sz w:val="24"/>
                <w:szCs w:val="24"/>
              </w:rPr>
            </w:pPr>
            <w:r>
              <w:rPr>
                <w:rFonts w:eastAsia="仿宋"/>
                <w:sz w:val="24"/>
                <w:szCs w:val="24"/>
              </w:rPr>
              <w:t>HW08废矿物油与含矿物油废物</w:t>
            </w:r>
          </w:p>
        </w:tc>
        <w:tc>
          <w:tcPr>
            <w:tcW w:w="327" w:type="pct"/>
            <w:gridSpan w:val="3"/>
            <w:vAlign w:val="center"/>
          </w:tcPr>
          <w:p w14:paraId="4589516B">
            <w:pPr>
              <w:pStyle w:val="33"/>
              <w:spacing w:line="240" w:lineRule="auto"/>
              <w:ind w:firstLine="0" w:firstLineChars="0"/>
              <w:jc w:val="right"/>
              <w:rPr>
                <w:rFonts w:eastAsia="仿宋"/>
                <w:sz w:val="24"/>
                <w:szCs w:val="24"/>
              </w:rPr>
            </w:pPr>
            <w:r>
              <w:rPr>
                <w:rFonts w:hint="eastAsia" w:eastAsia="仿宋"/>
                <w:sz w:val="24"/>
                <w:szCs w:val="24"/>
              </w:rPr>
              <w:t>0.04</w:t>
            </w:r>
          </w:p>
        </w:tc>
        <w:tc>
          <w:tcPr>
            <w:tcW w:w="322" w:type="pct"/>
            <w:gridSpan w:val="4"/>
            <w:vAlign w:val="center"/>
          </w:tcPr>
          <w:p w14:paraId="440EC898">
            <w:pPr>
              <w:pStyle w:val="33"/>
              <w:spacing w:line="240" w:lineRule="auto"/>
              <w:ind w:firstLine="0" w:firstLineChars="0"/>
              <w:jc w:val="right"/>
              <w:rPr>
                <w:rFonts w:eastAsia="仿宋"/>
                <w:sz w:val="24"/>
                <w:szCs w:val="24"/>
              </w:rPr>
            </w:pPr>
            <w:r>
              <w:rPr>
                <w:rFonts w:hint="eastAsia" w:eastAsia="仿宋"/>
                <w:sz w:val="24"/>
                <w:szCs w:val="24"/>
              </w:rPr>
              <w:t>0.54</w:t>
            </w:r>
          </w:p>
        </w:tc>
        <w:tc>
          <w:tcPr>
            <w:tcW w:w="466" w:type="pct"/>
            <w:gridSpan w:val="4"/>
            <w:vAlign w:val="center"/>
          </w:tcPr>
          <w:p w14:paraId="60239631">
            <w:pPr>
              <w:pStyle w:val="33"/>
              <w:spacing w:line="240" w:lineRule="auto"/>
              <w:ind w:firstLine="0" w:firstLineChars="0"/>
              <w:jc w:val="right"/>
              <w:rPr>
                <w:rFonts w:eastAsia="仿宋"/>
                <w:sz w:val="24"/>
                <w:szCs w:val="24"/>
              </w:rPr>
            </w:pPr>
            <w:r>
              <w:rPr>
                <w:rFonts w:hint="eastAsia" w:eastAsia="仿宋"/>
                <w:sz w:val="24"/>
                <w:szCs w:val="24"/>
              </w:rPr>
              <w:t>755.98</w:t>
            </w:r>
          </w:p>
        </w:tc>
        <w:tc>
          <w:tcPr>
            <w:tcW w:w="420" w:type="pct"/>
            <w:vAlign w:val="center"/>
          </w:tcPr>
          <w:p w14:paraId="4C18CD0F">
            <w:pPr>
              <w:pStyle w:val="33"/>
              <w:spacing w:line="240" w:lineRule="auto"/>
              <w:ind w:firstLine="0" w:firstLineChars="0"/>
              <w:jc w:val="right"/>
              <w:rPr>
                <w:rFonts w:eastAsia="仿宋"/>
                <w:sz w:val="24"/>
                <w:szCs w:val="24"/>
              </w:rPr>
            </w:pPr>
            <w:r>
              <w:rPr>
                <w:rFonts w:hint="eastAsia" w:eastAsia="仿宋"/>
                <w:sz w:val="24"/>
                <w:szCs w:val="24"/>
              </w:rPr>
              <w:t>2.42</w:t>
            </w:r>
          </w:p>
        </w:tc>
        <w:tc>
          <w:tcPr>
            <w:tcW w:w="384" w:type="pct"/>
            <w:gridSpan w:val="4"/>
            <w:vAlign w:val="center"/>
          </w:tcPr>
          <w:p w14:paraId="0B290560">
            <w:pPr>
              <w:pStyle w:val="33"/>
              <w:spacing w:line="240" w:lineRule="auto"/>
              <w:ind w:firstLine="0" w:firstLineChars="0"/>
              <w:jc w:val="right"/>
              <w:rPr>
                <w:rFonts w:eastAsia="仿宋"/>
                <w:sz w:val="24"/>
                <w:szCs w:val="24"/>
              </w:rPr>
            </w:pPr>
            <w:r>
              <w:rPr>
                <w:rFonts w:hint="eastAsia" w:eastAsia="仿宋"/>
                <w:sz w:val="24"/>
                <w:szCs w:val="24"/>
              </w:rPr>
              <w:t>603.81</w:t>
            </w:r>
          </w:p>
        </w:tc>
        <w:tc>
          <w:tcPr>
            <w:tcW w:w="384" w:type="pct"/>
            <w:gridSpan w:val="3"/>
            <w:vAlign w:val="center"/>
          </w:tcPr>
          <w:p w14:paraId="74A8A4E9">
            <w:pPr>
              <w:pStyle w:val="33"/>
              <w:spacing w:line="240" w:lineRule="auto"/>
              <w:ind w:firstLine="0" w:firstLineChars="0"/>
              <w:jc w:val="right"/>
              <w:rPr>
                <w:rFonts w:eastAsia="仿宋"/>
                <w:sz w:val="24"/>
                <w:szCs w:val="24"/>
              </w:rPr>
            </w:pPr>
            <w:r>
              <w:rPr>
                <w:rFonts w:hint="eastAsia" w:eastAsia="仿宋"/>
                <w:sz w:val="24"/>
                <w:szCs w:val="24"/>
              </w:rPr>
              <w:t>149.58</w:t>
            </w:r>
          </w:p>
        </w:tc>
        <w:tc>
          <w:tcPr>
            <w:tcW w:w="316" w:type="pct"/>
            <w:gridSpan w:val="2"/>
            <w:vAlign w:val="center"/>
          </w:tcPr>
          <w:p w14:paraId="5CEAA1F3">
            <w:pPr>
              <w:pStyle w:val="33"/>
              <w:spacing w:line="240" w:lineRule="auto"/>
              <w:ind w:firstLine="0" w:firstLineChars="0"/>
              <w:rPr>
                <w:rFonts w:eastAsia="仿宋"/>
                <w:sz w:val="24"/>
                <w:szCs w:val="24"/>
              </w:rPr>
            </w:pPr>
            <w:r>
              <w:rPr>
                <w:rFonts w:hint="eastAsia" w:eastAsia="仿宋"/>
                <w:sz w:val="24"/>
                <w:szCs w:val="24"/>
              </w:rPr>
              <w:t>3%</w:t>
            </w:r>
          </w:p>
        </w:tc>
        <w:tc>
          <w:tcPr>
            <w:tcW w:w="351" w:type="pct"/>
            <w:gridSpan w:val="2"/>
            <w:vAlign w:val="center"/>
          </w:tcPr>
          <w:p w14:paraId="569A7E21">
            <w:pPr>
              <w:pStyle w:val="33"/>
              <w:spacing w:line="240" w:lineRule="auto"/>
              <w:ind w:firstLine="0" w:firstLineChars="0"/>
              <w:rPr>
                <w:rFonts w:eastAsia="仿宋"/>
                <w:sz w:val="24"/>
                <w:szCs w:val="24"/>
              </w:rPr>
            </w:pPr>
            <w:r>
              <w:rPr>
                <w:rFonts w:hint="eastAsia" w:eastAsia="仿宋"/>
                <w:sz w:val="24"/>
                <w:szCs w:val="24"/>
              </w:rPr>
              <w:t>5%</w:t>
            </w:r>
          </w:p>
        </w:tc>
        <w:tc>
          <w:tcPr>
            <w:tcW w:w="313" w:type="pct"/>
            <w:gridSpan w:val="3"/>
            <w:vAlign w:val="center"/>
          </w:tcPr>
          <w:p w14:paraId="67A6C2F7">
            <w:pPr>
              <w:pStyle w:val="33"/>
              <w:spacing w:line="240" w:lineRule="auto"/>
              <w:ind w:firstLine="0" w:firstLineChars="0"/>
              <w:rPr>
                <w:rFonts w:eastAsia="仿宋"/>
                <w:sz w:val="24"/>
                <w:szCs w:val="24"/>
              </w:rPr>
            </w:pPr>
            <w:r>
              <w:rPr>
                <w:rFonts w:hint="eastAsia" w:eastAsia="仿宋"/>
                <w:sz w:val="24"/>
                <w:szCs w:val="24"/>
              </w:rPr>
              <w:t>92%</w:t>
            </w:r>
          </w:p>
        </w:tc>
        <w:tc>
          <w:tcPr>
            <w:tcW w:w="267" w:type="pct"/>
            <w:vAlign w:val="center"/>
          </w:tcPr>
          <w:p w14:paraId="00A62405">
            <w:pPr>
              <w:pStyle w:val="33"/>
              <w:spacing w:line="240" w:lineRule="auto"/>
              <w:ind w:firstLine="0" w:firstLineChars="0"/>
              <w:rPr>
                <w:rFonts w:eastAsia="仿宋"/>
                <w:sz w:val="24"/>
                <w:szCs w:val="24"/>
              </w:rPr>
            </w:pPr>
            <w:r>
              <w:rPr>
                <w:rFonts w:hint="eastAsia" w:eastAsia="仿宋"/>
                <w:sz w:val="24"/>
                <w:szCs w:val="24"/>
              </w:rPr>
              <w:t>/</w:t>
            </w:r>
          </w:p>
        </w:tc>
      </w:tr>
      <w:tr w14:paraId="5AB0D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5" w:type="pct"/>
            <w:gridSpan w:val="6"/>
            <w:vAlign w:val="center"/>
          </w:tcPr>
          <w:p w14:paraId="6C9C14CD">
            <w:pPr>
              <w:pStyle w:val="33"/>
              <w:spacing w:line="240" w:lineRule="auto"/>
              <w:ind w:firstLine="0" w:firstLineChars="0"/>
              <w:rPr>
                <w:rFonts w:eastAsia="仿宋"/>
                <w:sz w:val="24"/>
                <w:szCs w:val="24"/>
              </w:rPr>
            </w:pPr>
            <w:r>
              <w:rPr>
                <w:rFonts w:eastAsia="仿宋"/>
                <w:sz w:val="24"/>
                <w:szCs w:val="24"/>
              </w:rPr>
              <w:t>HW09油/水、烃/水混合物或乳化液</w:t>
            </w:r>
          </w:p>
        </w:tc>
        <w:tc>
          <w:tcPr>
            <w:tcW w:w="327" w:type="pct"/>
            <w:gridSpan w:val="3"/>
            <w:vAlign w:val="center"/>
          </w:tcPr>
          <w:p w14:paraId="4681B508">
            <w:pPr>
              <w:pStyle w:val="33"/>
              <w:spacing w:line="240" w:lineRule="auto"/>
              <w:ind w:firstLine="0" w:firstLineChars="0"/>
              <w:jc w:val="right"/>
              <w:rPr>
                <w:rFonts w:eastAsia="仿宋"/>
                <w:sz w:val="24"/>
                <w:szCs w:val="24"/>
              </w:rPr>
            </w:pPr>
            <w:r>
              <w:rPr>
                <w:rFonts w:hint="eastAsia" w:eastAsia="仿宋"/>
                <w:sz w:val="24"/>
                <w:szCs w:val="24"/>
              </w:rPr>
              <w:t>4.09</w:t>
            </w:r>
          </w:p>
        </w:tc>
        <w:tc>
          <w:tcPr>
            <w:tcW w:w="322" w:type="pct"/>
            <w:gridSpan w:val="4"/>
            <w:vAlign w:val="center"/>
          </w:tcPr>
          <w:p w14:paraId="0B90C885">
            <w:pPr>
              <w:pStyle w:val="33"/>
              <w:spacing w:line="240" w:lineRule="auto"/>
              <w:ind w:firstLine="0" w:firstLineChars="0"/>
              <w:jc w:val="right"/>
              <w:rPr>
                <w:rFonts w:eastAsia="仿宋"/>
                <w:sz w:val="24"/>
                <w:szCs w:val="24"/>
              </w:rPr>
            </w:pPr>
            <w:r>
              <w:rPr>
                <w:rFonts w:hint="eastAsia" w:eastAsia="仿宋"/>
                <w:sz w:val="24"/>
                <w:szCs w:val="24"/>
              </w:rPr>
              <w:t>0</w:t>
            </w:r>
          </w:p>
        </w:tc>
        <w:tc>
          <w:tcPr>
            <w:tcW w:w="466" w:type="pct"/>
            <w:gridSpan w:val="4"/>
            <w:vAlign w:val="center"/>
          </w:tcPr>
          <w:p w14:paraId="7349ADCD">
            <w:pPr>
              <w:pStyle w:val="33"/>
              <w:spacing w:line="240" w:lineRule="auto"/>
              <w:ind w:firstLine="0" w:firstLineChars="0"/>
              <w:jc w:val="right"/>
              <w:rPr>
                <w:rFonts w:eastAsia="仿宋"/>
                <w:sz w:val="24"/>
                <w:szCs w:val="24"/>
              </w:rPr>
            </w:pPr>
            <w:r>
              <w:rPr>
                <w:rFonts w:hint="eastAsia" w:eastAsia="仿宋"/>
                <w:sz w:val="24"/>
                <w:szCs w:val="24"/>
              </w:rPr>
              <w:t>45.32</w:t>
            </w:r>
          </w:p>
        </w:tc>
        <w:tc>
          <w:tcPr>
            <w:tcW w:w="420" w:type="pct"/>
            <w:vAlign w:val="center"/>
          </w:tcPr>
          <w:p w14:paraId="440B0AC8">
            <w:pPr>
              <w:pStyle w:val="33"/>
              <w:spacing w:line="240" w:lineRule="auto"/>
              <w:ind w:firstLine="0" w:firstLineChars="0"/>
              <w:jc w:val="right"/>
              <w:rPr>
                <w:rFonts w:eastAsia="仿宋"/>
                <w:sz w:val="24"/>
                <w:szCs w:val="24"/>
              </w:rPr>
            </w:pPr>
            <w:r>
              <w:rPr>
                <w:rFonts w:hint="eastAsia" w:eastAsia="仿宋"/>
                <w:sz w:val="24"/>
                <w:szCs w:val="24"/>
              </w:rPr>
              <w:t>0</w:t>
            </w:r>
          </w:p>
        </w:tc>
        <w:tc>
          <w:tcPr>
            <w:tcW w:w="384" w:type="pct"/>
            <w:gridSpan w:val="4"/>
            <w:vAlign w:val="center"/>
          </w:tcPr>
          <w:p w14:paraId="704E0483">
            <w:pPr>
              <w:pStyle w:val="33"/>
              <w:spacing w:line="240" w:lineRule="auto"/>
              <w:ind w:firstLine="0" w:firstLineChars="0"/>
              <w:jc w:val="right"/>
              <w:rPr>
                <w:rFonts w:eastAsia="仿宋"/>
                <w:sz w:val="24"/>
                <w:szCs w:val="24"/>
              </w:rPr>
            </w:pPr>
            <w:r>
              <w:rPr>
                <w:rFonts w:hint="eastAsia" w:eastAsia="仿宋"/>
                <w:sz w:val="24"/>
                <w:szCs w:val="24"/>
              </w:rPr>
              <w:t>0</w:t>
            </w:r>
          </w:p>
        </w:tc>
        <w:tc>
          <w:tcPr>
            <w:tcW w:w="384" w:type="pct"/>
            <w:gridSpan w:val="3"/>
            <w:vAlign w:val="center"/>
          </w:tcPr>
          <w:p w14:paraId="31AA145C">
            <w:pPr>
              <w:pStyle w:val="33"/>
              <w:spacing w:line="240" w:lineRule="auto"/>
              <w:ind w:firstLine="0" w:firstLineChars="0"/>
              <w:jc w:val="right"/>
              <w:rPr>
                <w:rFonts w:eastAsia="仿宋"/>
                <w:sz w:val="24"/>
                <w:szCs w:val="24"/>
              </w:rPr>
            </w:pPr>
            <w:r>
              <w:rPr>
                <w:rFonts w:hint="eastAsia" w:eastAsia="仿宋"/>
                <w:sz w:val="24"/>
                <w:szCs w:val="24"/>
              </w:rPr>
              <w:t>49.41</w:t>
            </w:r>
          </w:p>
        </w:tc>
        <w:tc>
          <w:tcPr>
            <w:tcW w:w="316" w:type="pct"/>
            <w:gridSpan w:val="2"/>
            <w:vAlign w:val="center"/>
          </w:tcPr>
          <w:p w14:paraId="53B77E37">
            <w:pPr>
              <w:pStyle w:val="33"/>
              <w:spacing w:line="240" w:lineRule="auto"/>
              <w:ind w:firstLine="0" w:firstLineChars="0"/>
              <w:rPr>
                <w:rFonts w:eastAsia="仿宋"/>
                <w:sz w:val="24"/>
                <w:szCs w:val="24"/>
              </w:rPr>
            </w:pPr>
            <w:r>
              <w:rPr>
                <w:rFonts w:hint="eastAsia" w:eastAsia="仿宋"/>
                <w:sz w:val="24"/>
                <w:szCs w:val="24"/>
              </w:rPr>
              <w:t>/</w:t>
            </w:r>
          </w:p>
        </w:tc>
        <w:tc>
          <w:tcPr>
            <w:tcW w:w="351" w:type="pct"/>
            <w:gridSpan w:val="2"/>
            <w:vAlign w:val="center"/>
          </w:tcPr>
          <w:p w14:paraId="6C458154">
            <w:pPr>
              <w:pStyle w:val="33"/>
              <w:spacing w:line="240" w:lineRule="auto"/>
              <w:ind w:firstLine="0" w:firstLineChars="0"/>
              <w:rPr>
                <w:rFonts w:eastAsia="仿宋"/>
                <w:sz w:val="24"/>
                <w:szCs w:val="24"/>
              </w:rPr>
            </w:pPr>
            <w:r>
              <w:rPr>
                <w:rFonts w:hint="eastAsia" w:eastAsia="仿宋"/>
                <w:sz w:val="24"/>
                <w:szCs w:val="24"/>
              </w:rPr>
              <w:t>100%</w:t>
            </w:r>
          </w:p>
        </w:tc>
        <w:tc>
          <w:tcPr>
            <w:tcW w:w="313" w:type="pct"/>
            <w:gridSpan w:val="3"/>
            <w:vAlign w:val="center"/>
          </w:tcPr>
          <w:p w14:paraId="626B1AF4">
            <w:pPr>
              <w:pStyle w:val="33"/>
              <w:spacing w:line="240" w:lineRule="auto"/>
              <w:ind w:firstLine="0" w:firstLineChars="0"/>
              <w:rPr>
                <w:rFonts w:eastAsia="仿宋"/>
                <w:sz w:val="24"/>
                <w:szCs w:val="24"/>
              </w:rPr>
            </w:pPr>
            <w:r>
              <w:rPr>
                <w:rFonts w:hint="eastAsia" w:eastAsia="仿宋"/>
                <w:sz w:val="24"/>
                <w:szCs w:val="24"/>
              </w:rPr>
              <w:t>/</w:t>
            </w:r>
          </w:p>
        </w:tc>
        <w:tc>
          <w:tcPr>
            <w:tcW w:w="267" w:type="pct"/>
            <w:vAlign w:val="center"/>
          </w:tcPr>
          <w:p w14:paraId="5C4F9679">
            <w:pPr>
              <w:pStyle w:val="33"/>
              <w:spacing w:line="240" w:lineRule="auto"/>
              <w:ind w:firstLine="0" w:firstLineChars="0"/>
              <w:rPr>
                <w:rFonts w:eastAsia="仿宋"/>
                <w:sz w:val="24"/>
                <w:szCs w:val="24"/>
              </w:rPr>
            </w:pPr>
            <w:r>
              <w:rPr>
                <w:rFonts w:hint="eastAsia" w:eastAsia="仿宋"/>
                <w:sz w:val="24"/>
                <w:szCs w:val="24"/>
              </w:rPr>
              <w:t>/</w:t>
            </w:r>
          </w:p>
        </w:tc>
      </w:tr>
      <w:tr w14:paraId="23A7A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5" w:type="pct"/>
            <w:gridSpan w:val="6"/>
            <w:vAlign w:val="center"/>
          </w:tcPr>
          <w:p w14:paraId="1FBACE8F">
            <w:pPr>
              <w:pStyle w:val="33"/>
              <w:spacing w:line="240" w:lineRule="auto"/>
              <w:ind w:firstLine="0" w:firstLineChars="0"/>
              <w:rPr>
                <w:rFonts w:eastAsia="仿宋"/>
                <w:sz w:val="24"/>
                <w:szCs w:val="24"/>
              </w:rPr>
            </w:pPr>
            <w:r>
              <w:rPr>
                <w:rFonts w:eastAsia="仿宋"/>
                <w:sz w:val="24"/>
                <w:szCs w:val="24"/>
              </w:rPr>
              <w:t>HW11精（蒸）馏残渣</w:t>
            </w:r>
          </w:p>
        </w:tc>
        <w:tc>
          <w:tcPr>
            <w:tcW w:w="327" w:type="pct"/>
            <w:gridSpan w:val="3"/>
            <w:vAlign w:val="center"/>
          </w:tcPr>
          <w:p w14:paraId="17A6F9FF">
            <w:pPr>
              <w:pStyle w:val="33"/>
              <w:spacing w:line="240" w:lineRule="auto"/>
              <w:ind w:firstLine="0" w:firstLineChars="0"/>
              <w:jc w:val="right"/>
              <w:rPr>
                <w:rFonts w:eastAsia="仿宋"/>
                <w:sz w:val="24"/>
                <w:szCs w:val="24"/>
              </w:rPr>
            </w:pPr>
            <w:r>
              <w:rPr>
                <w:rFonts w:hint="eastAsia" w:eastAsia="仿宋"/>
                <w:sz w:val="24"/>
                <w:szCs w:val="24"/>
              </w:rPr>
              <w:t>0</w:t>
            </w:r>
          </w:p>
        </w:tc>
        <w:tc>
          <w:tcPr>
            <w:tcW w:w="322" w:type="pct"/>
            <w:gridSpan w:val="4"/>
            <w:vAlign w:val="center"/>
          </w:tcPr>
          <w:p w14:paraId="3B0FD4FC">
            <w:pPr>
              <w:pStyle w:val="33"/>
              <w:spacing w:line="240" w:lineRule="auto"/>
              <w:ind w:firstLine="0" w:firstLineChars="0"/>
              <w:jc w:val="right"/>
              <w:rPr>
                <w:rFonts w:eastAsia="仿宋"/>
                <w:sz w:val="24"/>
                <w:szCs w:val="24"/>
              </w:rPr>
            </w:pPr>
            <w:r>
              <w:rPr>
                <w:rFonts w:hint="eastAsia" w:eastAsia="仿宋"/>
                <w:sz w:val="24"/>
                <w:szCs w:val="24"/>
              </w:rPr>
              <w:t>46.10</w:t>
            </w:r>
          </w:p>
        </w:tc>
        <w:tc>
          <w:tcPr>
            <w:tcW w:w="466" w:type="pct"/>
            <w:gridSpan w:val="4"/>
            <w:vAlign w:val="center"/>
          </w:tcPr>
          <w:p w14:paraId="30EB1D84">
            <w:pPr>
              <w:pStyle w:val="33"/>
              <w:spacing w:line="240" w:lineRule="auto"/>
              <w:ind w:firstLine="0" w:firstLineChars="0"/>
              <w:jc w:val="right"/>
              <w:rPr>
                <w:rFonts w:eastAsia="仿宋"/>
                <w:sz w:val="24"/>
                <w:szCs w:val="24"/>
              </w:rPr>
            </w:pPr>
            <w:r>
              <w:rPr>
                <w:rFonts w:hint="eastAsia" w:eastAsia="仿宋"/>
                <w:sz w:val="24"/>
                <w:szCs w:val="24"/>
              </w:rPr>
              <w:t>1443.92</w:t>
            </w:r>
          </w:p>
        </w:tc>
        <w:tc>
          <w:tcPr>
            <w:tcW w:w="420" w:type="pct"/>
            <w:vAlign w:val="center"/>
          </w:tcPr>
          <w:p w14:paraId="34676414">
            <w:pPr>
              <w:pStyle w:val="33"/>
              <w:spacing w:line="240" w:lineRule="auto"/>
              <w:ind w:firstLine="0" w:firstLineChars="0"/>
              <w:jc w:val="right"/>
              <w:rPr>
                <w:rFonts w:eastAsia="仿宋"/>
                <w:sz w:val="24"/>
                <w:szCs w:val="24"/>
              </w:rPr>
            </w:pPr>
            <w:r>
              <w:rPr>
                <w:rFonts w:hint="eastAsia" w:eastAsia="仿宋"/>
                <w:sz w:val="24"/>
                <w:szCs w:val="24"/>
              </w:rPr>
              <w:t>83.14</w:t>
            </w:r>
          </w:p>
        </w:tc>
        <w:tc>
          <w:tcPr>
            <w:tcW w:w="384" w:type="pct"/>
            <w:gridSpan w:val="4"/>
            <w:vAlign w:val="center"/>
          </w:tcPr>
          <w:p w14:paraId="5AC71220">
            <w:pPr>
              <w:pStyle w:val="33"/>
              <w:spacing w:line="240" w:lineRule="auto"/>
              <w:ind w:firstLine="0" w:firstLineChars="0"/>
              <w:jc w:val="right"/>
              <w:rPr>
                <w:rFonts w:eastAsia="仿宋"/>
                <w:sz w:val="24"/>
                <w:szCs w:val="24"/>
              </w:rPr>
            </w:pPr>
            <w:r>
              <w:rPr>
                <w:rFonts w:hint="eastAsia" w:eastAsia="仿宋"/>
                <w:sz w:val="24"/>
                <w:szCs w:val="24"/>
              </w:rPr>
              <w:t>0</w:t>
            </w:r>
          </w:p>
        </w:tc>
        <w:tc>
          <w:tcPr>
            <w:tcW w:w="384" w:type="pct"/>
            <w:gridSpan w:val="3"/>
            <w:vAlign w:val="center"/>
          </w:tcPr>
          <w:p w14:paraId="318E2F77">
            <w:pPr>
              <w:pStyle w:val="33"/>
              <w:spacing w:line="240" w:lineRule="auto"/>
              <w:ind w:firstLine="0" w:firstLineChars="0"/>
              <w:jc w:val="right"/>
              <w:rPr>
                <w:rFonts w:eastAsia="仿宋"/>
                <w:sz w:val="24"/>
                <w:szCs w:val="24"/>
              </w:rPr>
            </w:pPr>
            <w:r>
              <w:rPr>
                <w:rFonts w:hint="eastAsia" w:eastAsia="仿宋"/>
                <w:sz w:val="24"/>
                <w:szCs w:val="24"/>
              </w:rPr>
              <w:t>1314.68</w:t>
            </w:r>
          </w:p>
        </w:tc>
        <w:tc>
          <w:tcPr>
            <w:tcW w:w="316" w:type="pct"/>
            <w:gridSpan w:val="2"/>
            <w:vAlign w:val="center"/>
          </w:tcPr>
          <w:p w14:paraId="7B5AA873">
            <w:pPr>
              <w:pStyle w:val="33"/>
              <w:spacing w:line="240" w:lineRule="auto"/>
              <w:ind w:firstLine="0" w:firstLineChars="0"/>
              <w:rPr>
                <w:rFonts w:eastAsia="仿宋"/>
                <w:sz w:val="24"/>
                <w:szCs w:val="24"/>
              </w:rPr>
            </w:pPr>
            <w:r>
              <w:rPr>
                <w:rFonts w:hint="eastAsia" w:eastAsia="仿宋"/>
                <w:sz w:val="24"/>
                <w:szCs w:val="24"/>
              </w:rPr>
              <w:t>73%</w:t>
            </w:r>
          </w:p>
        </w:tc>
        <w:tc>
          <w:tcPr>
            <w:tcW w:w="351" w:type="pct"/>
            <w:gridSpan w:val="2"/>
            <w:vAlign w:val="center"/>
          </w:tcPr>
          <w:p w14:paraId="202B99EA">
            <w:pPr>
              <w:pStyle w:val="33"/>
              <w:spacing w:line="240" w:lineRule="auto"/>
              <w:ind w:firstLine="0" w:firstLineChars="0"/>
              <w:rPr>
                <w:rFonts w:eastAsia="仿宋"/>
                <w:sz w:val="24"/>
                <w:szCs w:val="24"/>
              </w:rPr>
            </w:pPr>
            <w:r>
              <w:rPr>
                <w:rFonts w:hint="eastAsia" w:eastAsia="仿宋"/>
                <w:sz w:val="24"/>
                <w:szCs w:val="24"/>
              </w:rPr>
              <w:t>11%</w:t>
            </w:r>
          </w:p>
        </w:tc>
        <w:tc>
          <w:tcPr>
            <w:tcW w:w="313" w:type="pct"/>
            <w:gridSpan w:val="3"/>
            <w:vAlign w:val="center"/>
          </w:tcPr>
          <w:p w14:paraId="4299C8A0">
            <w:pPr>
              <w:pStyle w:val="33"/>
              <w:spacing w:line="240" w:lineRule="auto"/>
              <w:ind w:firstLine="0" w:firstLineChars="0"/>
              <w:rPr>
                <w:rFonts w:eastAsia="仿宋"/>
                <w:sz w:val="24"/>
                <w:szCs w:val="24"/>
              </w:rPr>
            </w:pPr>
            <w:r>
              <w:rPr>
                <w:rFonts w:hint="eastAsia" w:eastAsia="仿宋"/>
                <w:sz w:val="24"/>
                <w:szCs w:val="24"/>
              </w:rPr>
              <w:t>16%</w:t>
            </w:r>
          </w:p>
        </w:tc>
        <w:tc>
          <w:tcPr>
            <w:tcW w:w="267" w:type="pct"/>
            <w:vAlign w:val="center"/>
          </w:tcPr>
          <w:p w14:paraId="4C2BCC1B">
            <w:pPr>
              <w:pStyle w:val="33"/>
              <w:spacing w:line="240" w:lineRule="auto"/>
              <w:ind w:firstLine="0" w:firstLineChars="0"/>
              <w:rPr>
                <w:rFonts w:eastAsia="仿宋"/>
                <w:sz w:val="24"/>
                <w:szCs w:val="24"/>
              </w:rPr>
            </w:pPr>
            <w:r>
              <w:rPr>
                <w:rFonts w:hint="eastAsia" w:eastAsia="仿宋"/>
                <w:sz w:val="24"/>
                <w:szCs w:val="24"/>
              </w:rPr>
              <w:t>/</w:t>
            </w:r>
          </w:p>
        </w:tc>
      </w:tr>
      <w:tr w14:paraId="7C9E1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5" w:type="pct"/>
            <w:gridSpan w:val="6"/>
            <w:vAlign w:val="center"/>
          </w:tcPr>
          <w:p w14:paraId="5453AAE0">
            <w:pPr>
              <w:pStyle w:val="33"/>
              <w:spacing w:line="240" w:lineRule="auto"/>
              <w:ind w:firstLine="0" w:firstLineChars="0"/>
              <w:rPr>
                <w:rFonts w:eastAsia="仿宋"/>
                <w:sz w:val="24"/>
                <w:szCs w:val="24"/>
              </w:rPr>
            </w:pPr>
            <w:r>
              <w:rPr>
                <w:rFonts w:eastAsia="仿宋"/>
                <w:sz w:val="24"/>
                <w:szCs w:val="24"/>
              </w:rPr>
              <w:t>HW12染料、涂料废物</w:t>
            </w:r>
          </w:p>
        </w:tc>
        <w:tc>
          <w:tcPr>
            <w:tcW w:w="327" w:type="pct"/>
            <w:gridSpan w:val="3"/>
            <w:vAlign w:val="center"/>
          </w:tcPr>
          <w:p w14:paraId="412E3C26">
            <w:pPr>
              <w:pStyle w:val="33"/>
              <w:spacing w:line="240" w:lineRule="auto"/>
              <w:ind w:firstLine="0" w:firstLineChars="0"/>
              <w:jc w:val="right"/>
              <w:rPr>
                <w:rFonts w:eastAsia="仿宋"/>
                <w:sz w:val="24"/>
                <w:szCs w:val="24"/>
              </w:rPr>
            </w:pPr>
            <w:r>
              <w:rPr>
                <w:rFonts w:hint="eastAsia" w:eastAsia="仿宋"/>
                <w:sz w:val="24"/>
                <w:szCs w:val="24"/>
              </w:rPr>
              <w:t>0</w:t>
            </w:r>
          </w:p>
        </w:tc>
        <w:tc>
          <w:tcPr>
            <w:tcW w:w="322" w:type="pct"/>
            <w:gridSpan w:val="4"/>
            <w:vAlign w:val="center"/>
          </w:tcPr>
          <w:p w14:paraId="18AC48D0">
            <w:pPr>
              <w:pStyle w:val="33"/>
              <w:spacing w:line="240" w:lineRule="auto"/>
              <w:ind w:firstLine="0" w:firstLineChars="0"/>
              <w:jc w:val="right"/>
              <w:rPr>
                <w:rFonts w:eastAsia="仿宋"/>
                <w:sz w:val="24"/>
                <w:szCs w:val="24"/>
              </w:rPr>
            </w:pPr>
            <w:r>
              <w:rPr>
                <w:rFonts w:hint="eastAsia" w:eastAsia="仿宋"/>
                <w:sz w:val="24"/>
                <w:szCs w:val="24"/>
              </w:rPr>
              <w:t>0</w:t>
            </w:r>
          </w:p>
        </w:tc>
        <w:tc>
          <w:tcPr>
            <w:tcW w:w="466" w:type="pct"/>
            <w:gridSpan w:val="4"/>
            <w:vAlign w:val="center"/>
          </w:tcPr>
          <w:p w14:paraId="31BB1122">
            <w:pPr>
              <w:pStyle w:val="33"/>
              <w:spacing w:line="240" w:lineRule="auto"/>
              <w:ind w:firstLine="0" w:firstLineChars="0"/>
              <w:jc w:val="right"/>
              <w:rPr>
                <w:rFonts w:eastAsia="仿宋"/>
                <w:sz w:val="24"/>
                <w:szCs w:val="24"/>
              </w:rPr>
            </w:pPr>
            <w:r>
              <w:rPr>
                <w:rFonts w:hint="eastAsia" w:eastAsia="仿宋"/>
                <w:sz w:val="24"/>
                <w:szCs w:val="24"/>
              </w:rPr>
              <w:t>26.51</w:t>
            </w:r>
          </w:p>
        </w:tc>
        <w:tc>
          <w:tcPr>
            <w:tcW w:w="420" w:type="pct"/>
            <w:vAlign w:val="center"/>
          </w:tcPr>
          <w:p w14:paraId="42E5E71C">
            <w:pPr>
              <w:pStyle w:val="33"/>
              <w:spacing w:line="240" w:lineRule="auto"/>
              <w:ind w:firstLine="0" w:firstLineChars="0"/>
              <w:jc w:val="right"/>
              <w:rPr>
                <w:rFonts w:eastAsia="仿宋"/>
                <w:sz w:val="24"/>
                <w:szCs w:val="24"/>
              </w:rPr>
            </w:pPr>
            <w:r>
              <w:rPr>
                <w:rFonts w:hint="eastAsia" w:eastAsia="仿宋"/>
                <w:sz w:val="24"/>
                <w:szCs w:val="24"/>
              </w:rPr>
              <w:t>0</w:t>
            </w:r>
          </w:p>
        </w:tc>
        <w:tc>
          <w:tcPr>
            <w:tcW w:w="384" w:type="pct"/>
            <w:gridSpan w:val="4"/>
            <w:vAlign w:val="center"/>
          </w:tcPr>
          <w:p w14:paraId="3BA6273D">
            <w:pPr>
              <w:pStyle w:val="33"/>
              <w:spacing w:line="240" w:lineRule="auto"/>
              <w:ind w:firstLine="0" w:firstLineChars="0"/>
              <w:jc w:val="right"/>
              <w:rPr>
                <w:rFonts w:eastAsia="仿宋"/>
                <w:sz w:val="24"/>
                <w:szCs w:val="24"/>
              </w:rPr>
            </w:pPr>
            <w:r>
              <w:rPr>
                <w:rFonts w:hint="eastAsia" w:eastAsia="仿宋"/>
                <w:sz w:val="24"/>
                <w:szCs w:val="24"/>
              </w:rPr>
              <w:t>0</w:t>
            </w:r>
          </w:p>
        </w:tc>
        <w:tc>
          <w:tcPr>
            <w:tcW w:w="384" w:type="pct"/>
            <w:gridSpan w:val="3"/>
            <w:vAlign w:val="center"/>
          </w:tcPr>
          <w:p w14:paraId="118E7ECD">
            <w:pPr>
              <w:pStyle w:val="33"/>
              <w:spacing w:line="240" w:lineRule="auto"/>
              <w:ind w:firstLine="0" w:firstLineChars="0"/>
              <w:jc w:val="right"/>
              <w:rPr>
                <w:rFonts w:eastAsia="仿宋"/>
                <w:sz w:val="24"/>
                <w:szCs w:val="24"/>
              </w:rPr>
            </w:pPr>
            <w:r>
              <w:rPr>
                <w:rFonts w:hint="eastAsia" w:eastAsia="仿宋"/>
                <w:sz w:val="24"/>
                <w:szCs w:val="24"/>
              </w:rPr>
              <w:t>26.51</w:t>
            </w:r>
          </w:p>
        </w:tc>
        <w:tc>
          <w:tcPr>
            <w:tcW w:w="316" w:type="pct"/>
            <w:gridSpan w:val="2"/>
            <w:vAlign w:val="center"/>
          </w:tcPr>
          <w:p w14:paraId="21641E10">
            <w:pPr>
              <w:pStyle w:val="33"/>
              <w:spacing w:line="240" w:lineRule="auto"/>
              <w:ind w:firstLine="0" w:firstLineChars="0"/>
              <w:rPr>
                <w:rFonts w:eastAsia="仿宋"/>
                <w:sz w:val="24"/>
                <w:szCs w:val="24"/>
              </w:rPr>
            </w:pPr>
            <w:r>
              <w:rPr>
                <w:rFonts w:hint="eastAsia" w:eastAsia="仿宋"/>
                <w:sz w:val="24"/>
                <w:szCs w:val="24"/>
              </w:rPr>
              <w:t>/</w:t>
            </w:r>
          </w:p>
        </w:tc>
        <w:tc>
          <w:tcPr>
            <w:tcW w:w="351" w:type="pct"/>
            <w:gridSpan w:val="2"/>
            <w:vAlign w:val="center"/>
          </w:tcPr>
          <w:p w14:paraId="490B0562">
            <w:pPr>
              <w:pStyle w:val="33"/>
              <w:spacing w:line="240" w:lineRule="auto"/>
              <w:ind w:firstLine="0" w:firstLineChars="0"/>
              <w:rPr>
                <w:rFonts w:eastAsia="仿宋"/>
                <w:sz w:val="24"/>
                <w:szCs w:val="24"/>
              </w:rPr>
            </w:pPr>
            <w:r>
              <w:rPr>
                <w:rFonts w:hint="eastAsia" w:eastAsia="仿宋"/>
                <w:sz w:val="24"/>
                <w:szCs w:val="24"/>
              </w:rPr>
              <w:t>100%</w:t>
            </w:r>
          </w:p>
        </w:tc>
        <w:tc>
          <w:tcPr>
            <w:tcW w:w="313" w:type="pct"/>
            <w:gridSpan w:val="3"/>
            <w:vAlign w:val="center"/>
          </w:tcPr>
          <w:p w14:paraId="6001D7BD">
            <w:pPr>
              <w:pStyle w:val="33"/>
              <w:spacing w:line="240" w:lineRule="auto"/>
              <w:ind w:firstLine="0" w:firstLineChars="0"/>
              <w:rPr>
                <w:rFonts w:eastAsia="仿宋"/>
                <w:sz w:val="24"/>
                <w:szCs w:val="24"/>
              </w:rPr>
            </w:pPr>
            <w:r>
              <w:rPr>
                <w:rFonts w:hint="eastAsia" w:eastAsia="仿宋"/>
                <w:sz w:val="24"/>
                <w:szCs w:val="24"/>
              </w:rPr>
              <w:t>/</w:t>
            </w:r>
          </w:p>
        </w:tc>
        <w:tc>
          <w:tcPr>
            <w:tcW w:w="267" w:type="pct"/>
            <w:vAlign w:val="center"/>
          </w:tcPr>
          <w:p w14:paraId="02328BC7">
            <w:pPr>
              <w:pStyle w:val="33"/>
              <w:spacing w:line="240" w:lineRule="auto"/>
              <w:ind w:firstLine="0" w:firstLineChars="0"/>
              <w:rPr>
                <w:rFonts w:eastAsia="仿宋"/>
                <w:sz w:val="24"/>
                <w:szCs w:val="24"/>
              </w:rPr>
            </w:pPr>
            <w:r>
              <w:rPr>
                <w:rFonts w:hint="eastAsia" w:eastAsia="仿宋"/>
                <w:sz w:val="24"/>
                <w:szCs w:val="24"/>
              </w:rPr>
              <w:t>/</w:t>
            </w:r>
          </w:p>
        </w:tc>
      </w:tr>
      <w:tr w14:paraId="3B5EC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5" w:type="pct"/>
            <w:gridSpan w:val="6"/>
            <w:vAlign w:val="center"/>
          </w:tcPr>
          <w:p w14:paraId="51CE7BB0">
            <w:pPr>
              <w:pStyle w:val="33"/>
              <w:spacing w:line="240" w:lineRule="auto"/>
              <w:ind w:firstLine="0" w:firstLineChars="0"/>
              <w:rPr>
                <w:rFonts w:eastAsia="仿宋"/>
                <w:sz w:val="24"/>
                <w:szCs w:val="24"/>
              </w:rPr>
            </w:pPr>
            <w:r>
              <w:rPr>
                <w:rFonts w:eastAsia="仿宋"/>
                <w:sz w:val="24"/>
                <w:szCs w:val="24"/>
              </w:rPr>
              <w:t>HW13有机树脂类废物</w:t>
            </w:r>
          </w:p>
        </w:tc>
        <w:tc>
          <w:tcPr>
            <w:tcW w:w="327" w:type="pct"/>
            <w:gridSpan w:val="3"/>
            <w:vAlign w:val="center"/>
          </w:tcPr>
          <w:p w14:paraId="6E53CA94">
            <w:pPr>
              <w:pStyle w:val="33"/>
              <w:spacing w:line="240" w:lineRule="auto"/>
              <w:ind w:firstLine="0" w:firstLineChars="0"/>
              <w:jc w:val="right"/>
              <w:rPr>
                <w:rFonts w:eastAsia="仿宋"/>
                <w:sz w:val="24"/>
                <w:szCs w:val="24"/>
              </w:rPr>
            </w:pPr>
            <w:r>
              <w:rPr>
                <w:rFonts w:hint="eastAsia" w:eastAsia="仿宋"/>
                <w:sz w:val="24"/>
                <w:szCs w:val="24"/>
              </w:rPr>
              <w:t>0</w:t>
            </w:r>
          </w:p>
        </w:tc>
        <w:tc>
          <w:tcPr>
            <w:tcW w:w="322" w:type="pct"/>
            <w:gridSpan w:val="4"/>
            <w:vAlign w:val="center"/>
          </w:tcPr>
          <w:p w14:paraId="5EEB67FF">
            <w:pPr>
              <w:pStyle w:val="33"/>
              <w:spacing w:line="240" w:lineRule="auto"/>
              <w:ind w:firstLine="0" w:firstLineChars="0"/>
              <w:jc w:val="right"/>
              <w:rPr>
                <w:rFonts w:eastAsia="仿宋"/>
                <w:sz w:val="24"/>
                <w:szCs w:val="24"/>
              </w:rPr>
            </w:pPr>
            <w:r>
              <w:rPr>
                <w:rFonts w:hint="eastAsia" w:eastAsia="仿宋"/>
                <w:sz w:val="24"/>
                <w:szCs w:val="24"/>
              </w:rPr>
              <w:t>0</w:t>
            </w:r>
          </w:p>
        </w:tc>
        <w:tc>
          <w:tcPr>
            <w:tcW w:w="466" w:type="pct"/>
            <w:gridSpan w:val="4"/>
            <w:vAlign w:val="center"/>
          </w:tcPr>
          <w:p w14:paraId="300D6BDB">
            <w:pPr>
              <w:pStyle w:val="33"/>
              <w:spacing w:line="240" w:lineRule="auto"/>
              <w:ind w:firstLine="0" w:firstLineChars="0"/>
              <w:jc w:val="right"/>
              <w:rPr>
                <w:rFonts w:eastAsia="仿宋"/>
                <w:sz w:val="24"/>
                <w:szCs w:val="24"/>
              </w:rPr>
            </w:pPr>
            <w:r>
              <w:rPr>
                <w:rFonts w:hint="eastAsia" w:eastAsia="仿宋"/>
                <w:sz w:val="24"/>
                <w:szCs w:val="24"/>
              </w:rPr>
              <w:t>35.75</w:t>
            </w:r>
          </w:p>
        </w:tc>
        <w:tc>
          <w:tcPr>
            <w:tcW w:w="420" w:type="pct"/>
            <w:vAlign w:val="center"/>
          </w:tcPr>
          <w:p w14:paraId="12B88CFA">
            <w:pPr>
              <w:pStyle w:val="33"/>
              <w:spacing w:line="240" w:lineRule="auto"/>
              <w:ind w:firstLine="0" w:firstLineChars="0"/>
              <w:jc w:val="right"/>
              <w:rPr>
                <w:rFonts w:eastAsia="仿宋"/>
                <w:sz w:val="24"/>
                <w:szCs w:val="24"/>
              </w:rPr>
            </w:pPr>
            <w:r>
              <w:rPr>
                <w:rFonts w:hint="eastAsia" w:eastAsia="仿宋"/>
                <w:sz w:val="24"/>
                <w:szCs w:val="24"/>
              </w:rPr>
              <w:t>0</w:t>
            </w:r>
          </w:p>
        </w:tc>
        <w:tc>
          <w:tcPr>
            <w:tcW w:w="384" w:type="pct"/>
            <w:gridSpan w:val="4"/>
            <w:vAlign w:val="center"/>
          </w:tcPr>
          <w:p w14:paraId="5920DC9C">
            <w:pPr>
              <w:pStyle w:val="33"/>
              <w:spacing w:line="240" w:lineRule="auto"/>
              <w:ind w:firstLine="0" w:firstLineChars="0"/>
              <w:jc w:val="right"/>
              <w:rPr>
                <w:rFonts w:eastAsia="仿宋"/>
                <w:sz w:val="24"/>
                <w:szCs w:val="24"/>
              </w:rPr>
            </w:pPr>
            <w:r>
              <w:rPr>
                <w:rFonts w:hint="eastAsia" w:eastAsia="仿宋"/>
                <w:sz w:val="24"/>
                <w:szCs w:val="24"/>
              </w:rPr>
              <w:t>0</w:t>
            </w:r>
          </w:p>
        </w:tc>
        <w:tc>
          <w:tcPr>
            <w:tcW w:w="384" w:type="pct"/>
            <w:gridSpan w:val="3"/>
            <w:vAlign w:val="center"/>
          </w:tcPr>
          <w:p w14:paraId="6337EA0A">
            <w:pPr>
              <w:pStyle w:val="33"/>
              <w:spacing w:line="240" w:lineRule="auto"/>
              <w:ind w:firstLine="0" w:firstLineChars="0"/>
              <w:jc w:val="right"/>
              <w:rPr>
                <w:rFonts w:eastAsia="仿宋"/>
                <w:sz w:val="24"/>
                <w:szCs w:val="24"/>
              </w:rPr>
            </w:pPr>
            <w:r>
              <w:rPr>
                <w:rFonts w:hint="eastAsia" w:eastAsia="仿宋"/>
                <w:sz w:val="24"/>
                <w:szCs w:val="24"/>
              </w:rPr>
              <w:t>35.75</w:t>
            </w:r>
          </w:p>
        </w:tc>
        <w:tc>
          <w:tcPr>
            <w:tcW w:w="316" w:type="pct"/>
            <w:gridSpan w:val="2"/>
            <w:vAlign w:val="center"/>
          </w:tcPr>
          <w:p w14:paraId="780121B9">
            <w:pPr>
              <w:pStyle w:val="33"/>
              <w:spacing w:line="240" w:lineRule="auto"/>
              <w:ind w:firstLine="0" w:firstLineChars="0"/>
              <w:rPr>
                <w:rFonts w:eastAsia="仿宋"/>
                <w:sz w:val="24"/>
                <w:szCs w:val="24"/>
              </w:rPr>
            </w:pPr>
            <w:r>
              <w:rPr>
                <w:rFonts w:hint="eastAsia" w:eastAsia="仿宋"/>
                <w:sz w:val="24"/>
                <w:szCs w:val="24"/>
              </w:rPr>
              <w:t>79%</w:t>
            </w:r>
          </w:p>
        </w:tc>
        <w:tc>
          <w:tcPr>
            <w:tcW w:w="351" w:type="pct"/>
            <w:gridSpan w:val="2"/>
            <w:vAlign w:val="center"/>
          </w:tcPr>
          <w:p w14:paraId="3B3D2AC9">
            <w:pPr>
              <w:pStyle w:val="33"/>
              <w:spacing w:line="240" w:lineRule="auto"/>
              <w:ind w:firstLine="0" w:firstLineChars="0"/>
              <w:rPr>
                <w:rFonts w:eastAsia="仿宋"/>
                <w:sz w:val="24"/>
                <w:szCs w:val="24"/>
              </w:rPr>
            </w:pPr>
            <w:r>
              <w:rPr>
                <w:rFonts w:hint="eastAsia" w:eastAsia="仿宋"/>
                <w:sz w:val="24"/>
                <w:szCs w:val="24"/>
              </w:rPr>
              <w:t>21%</w:t>
            </w:r>
          </w:p>
        </w:tc>
        <w:tc>
          <w:tcPr>
            <w:tcW w:w="313" w:type="pct"/>
            <w:gridSpan w:val="3"/>
            <w:vAlign w:val="center"/>
          </w:tcPr>
          <w:p w14:paraId="1C463C09">
            <w:pPr>
              <w:pStyle w:val="33"/>
              <w:spacing w:line="240" w:lineRule="auto"/>
              <w:ind w:firstLine="0" w:firstLineChars="0"/>
              <w:rPr>
                <w:rFonts w:eastAsia="仿宋"/>
                <w:sz w:val="24"/>
                <w:szCs w:val="24"/>
              </w:rPr>
            </w:pPr>
            <w:r>
              <w:rPr>
                <w:rFonts w:hint="eastAsia" w:eastAsia="仿宋"/>
                <w:sz w:val="24"/>
                <w:szCs w:val="24"/>
              </w:rPr>
              <w:t>/</w:t>
            </w:r>
          </w:p>
        </w:tc>
        <w:tc>
          <w:tcPr>
            <w:tcW w:w="267" w:type="pct"/>
            <w:vAlign w:val="center"/>
          </w:tcPr>
          <w:p w14:paraId="1D3C3A25">
            <w:pPr>
              <w:pStyle w:val="33"/>
              <w:spacing w:line="240" w:lineRule="auto"/>
              <w:ind w:firstLine="0" w:firstLineChars="0"/>
              <w:rPr>
                <w:rFonts w:eastAsia="仿宋"/>
                <w:sz w:val="24"/>
                <w:szCs w:val="24"/>
              </w:rPr>
            </w:pPr>
            <w:r>
              <w:rPr>
                <w:rFonts w:hint="eastAsia" w:eastAsia="仿宋"/>
                <w:sz w:val="24"/>
                <w:szCs w:val="24"/>
              </w:rPr>
              <w:t>/</w:t>
            </w:r>
          </w:p>
        </w:tc>
      </w:tr>
      <w:tr w14:paraId="3EC86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5" w:type="pct"/>
            <w:gridSpan w:val="6"/>
            <w:vAlign w:val="center"/>
          </w:tcPr>
          <w:p w14:paraId="0911A522">
            <w:pPr>
              <w:pStyle w:val="33"/>
              <w:spacing w:line="240" w:lineRule="auto"/>
              <w:ind w:firstLine="0" w:firstLineChars="0"/>
              <w:rPr>
                <w:rFonts w:eastAsia="仿宋"/>
                <w:sz w:val="24"/>
                <w:szCs w:val="24"/>
              </w:rPr>
            </w:pPr>
            <w:r>
              <w:rPr>
                <w:rFonts w:eastAsia="仿宋"/>
                <w:sz w:val="24"/>
                <w:szCs w:val="24"/>
              </w:rPr>
              <w:t>HW16感光材料废物</w:t>
            </w:r>
          </w:p>
        </w:tc>
        <w:tc>
          <w:tcPr>
            <w:tcW w:w="327" w:type="pct"/>
            <w:gridSpan w:val="3"/>
            <w:vAlign w:val="center"/>
          </w:tcPr>
          <w:p w14:paraId="090E9A15">
            <w:pPr>
              <w:pStyle w:val="33"/>
              <w:spacing w:line="240" w:lineRule="auto"/>
              <w:ind w:firstLine="0" w:firstLineChars="0"/>
              <w:jc w:val="right"/>
              <w:rPr>
                <w:rFonts w:eastAsia="仿宋"/>
                <w:sz w:val="24"/>
                <w:szCs w:val="24"/>
              </w:rPr>
            </w:pPr>
            <w:r>
              <w:rPr>
                <w:rFonts w:hint="eastAsia" w:eastAsia="仿宋"/>
                <w:sz w:val="24"/>
                <w:szCs w:val="24"/>
              </w:rPr>
              <w:t>0.24</w:t>
            </w:r>
          </w:p>
        </w:tc>
        <w:tc>
          <w:tcPr>
            <w:tcW w:w="322" w:type="pct"/>
            <w:gridSpan w:val="4"/>
            <w:vAlign w:val="center"/>
          </w:tcPr>
          <w:p w14:paraId="41E713FE">
            <w:pPr>
              <w:pStyle w:val="33"/>
              <w:spacing w:line="240" w:lineRule="auto"/>
              <w:ind w:firstLine="0" w:firstLineChars="0"/>
              <w:jc w:val="right"/>
              <w:rPr>
                <w:rFonts w:eastAsia="仿宋"/>
                <w:sz w:val="24"/>
                <w:szCs w:val="24"/>
              </w:rPr>
            </w:pPr>
            <w:r>
              <w:rPr>
                <w:rFonts w:hint="eastAsia" w:eastAsia="仿宋"/>
                <w:sz w:val="24"/>
                <w:szCs w:val="24"/>
              </w:rPr>
              <w:t>0</w:t>
            </w:r>
          </w:p>
        </w:tc>
        <w:tc>
          <w:tcPr>
            <w:tcW w:w="466" w:type="pct"/>
            <w:gridSpan w:val="4"/>
            <w:vAlign w:val="center"/>
          </w:tcPr>
          <w:p w14:paraId="180F617F">
            <w:pPr>
              <w:pStyle w:val="33"/>
              <w:spacing w:line="240" w:lineRule="auto"/>
              <w:ind w:firstLine="0" w:firstLineChars="0"/>
              <w:jc w:val="right"/>
              <w:rPr>
                <w:rFonts w:eastAsia="仿宋"/>
                <w:sz w:val="24"/>
                <w:szCs w:val="24"/>
              </w:rPr>
            </w:pPr>
            <w:r>
              <w:rPr>
                <w:rFonts w:hint="eastAsia" w:eastAsia="仿宋"/>
                <w:sz w:val="24"/>
                <w:szCs w:val="24"/>
              </w:rPr>
              <w:t>2.01</w:t>
            </w:r>
          </w:p>
        </w:tc>
        <w:tc>
          <w:tcPr>
            <w:tcW w:w="420" w:type="pct"/>
            <w:vAlign w:val="center"/>
          </w:tcPr>
          <w:p w14:paraId="732E0DD5">
            <w:pPr>
              <w:pStyle w:val="33"/>
              <w:spacing w:line="240" w:lineRule="auto"/>
              <w:ind w:firstLine="0" w:firstLineChars="0"/>
              <w:jc w:val="right"/>
              <w:rPr>
                <w:rFonts w:eastAsia="仿宋"/>
                <w:sz w:val="24"/>
                <w:szCs w:val="24"/>
              </w:rPr>
            </w:pPr>
            <w:r>
              <w:rPr>
                <w:rFonts w:hint="eastAsia" w:eastAsia="仿宋"/>
                <w:sz w:val="24"/>
                <w:szCs w:val="24"/>
              </w:rPr>
              <w:t>0</w:t>
            </w:r>
          </w:p>
        </w:tc>
        <w:tc>
          <w:tcPr>
            <w:tcW w:w="384" w:type="pct"/>
            <w:gridSpan w:val="4"/>
            <w:vAlign w:val="center"/>
          </w:tcPr>
          <w:p w14:paraId="73302D9C">
            <w:pPr>
              <w:pStyle w:val="33"/>
              <w:spacing w:line="240" w:lineRule="auto"/>
              <w:ind w:firstLine="0" w:firstLineChars="0"/>
              <w:jc w:val="right"/>
              <w:rPr>
                <w:rFonts w:eastAsia="仿宋"/>
                <w:sz w:val="24"/>
                <w:szCs w:val="24"/>
              </w:rPr>
            </w:pPr>
            <w:r>
              <w:rPr>
                <w:rFonts w:hint="eastAsia" w:eastAsia="仿宋"/>
                <w:sz w:val="24"/>
                <w:szCs w:val="24"/>
              </w:rPr>
              <w:t>0</w:t>
            </w:r>
          </w:p>
        </w:tc>
        <w:tc>
          <w:tcPr>
            <w:tcW w:w="384" w:type="pct"/>
            <w:gridSpan w:val="3"/>
            <w:vAlign w:val="center"/>
          </w:tcPr>
          <w:p w14:paraId="2BE0EC85">
            <w:pPr>
              <w:pStyle w:val="33"/>
              <w:spacing w:line="240" w:lineRule="auto"/>
              <w:ind w:firstLine="0" w:firstLineChars="0"/>
              <w:jc w:val="right"/>
              <w:rPr>
                <w:rFonts w:eastAsia="仿宋"/>
                <w:sz w:val="24"/>
                <w:szCs w:val="24"/>
              </w:rPr>
            </w:pPr>
            <w:r>
              <w:rPr>
                <w:rFonts w:hint="eastAsia" w:eastAsia="仿宋"/>
                <w:sz w:val="24"/>
                <w:szCs w:val="24"/>
              </w:rPr>
              <w:t>2.25</w:t>
            </w:r>
          </w:p>
        </w:tc>
        <w:tc>
          <w:tcPr>
            <w:tcW w:w="316" w:type="pct"/>
            <w:gridSpan w:val="2"/>
            <w:vAlign w:val="center"/>
          </w:tcPr>
          <w:p w14:paraId="1748A745">
            <w:pPr>
              <w:pStyle w:val="33"/>
              <w:spacing w:line="240" w:lineRule="auto"/>
              <w:ind w:firstLine="0" w:firstLineChars="0"/>
              <w:rPr>
                <w:rFonts w:eastAsia="仿宋"/>
                <w:sz w:val="24"/>
                <w:szCs w:val="24"/>
              </w:rPr>
            </w:pPr>
            <w:r>
              <w:rPr>
                <w:rFonts w:hint="eastAsia" w:eastAsia="仿宋"/>
                <w:sz w:val="24"/>
                <w:szCs w:val="24"/>
              </w:rPr>
              <w:t>/</w:t>
            </w:r>
          </w:p>
        </w:tc>
        <w:tc>
          <w:tcPr>
            <w:tcW w:w="351" w:type="pct"/>
            <w:gridSpan w:val="2"/>
            <w:vAlign w:val="center"/>
          </w:tcPr>
          <w:p w14:paraId="2FCCFD03">
            <w:pPr>
              <w:pStyle w:val="33"/>
              <w:spacing w:line="240" w:lineRule="auto"/>
              <w:ind w:firstLine="0" w:firstLineChars="0"/>
              <w:rPr>
                <w:rFonts w:eastAsia="仿宋"/>
                <w:sz w:val="24"/>
                <w:szCs w:val="24"/>
              </w:rPr>
            </w:pPr>
            <w:r>
              <w:rPr>
                <w:rFonts w:hint="eastAsia" w:eastAsia="仿宋"/>
                <w:sz w:val="24"/>
                <w:szCs w:val="24"/>
              </w:rPr>
              <w:t>100%</w:t>
            </w:r>
          </w:p>
        </w:tc>
        <w:tc>
          <w:tcPr>
            <w:tcW w:w="313" w:type="pct"/>
            <w:gridSpan w:val="3"/>
            <w:vAlign w:val="center"/>
          </w:tcPr>
          <w:p w14:paraId="700BFCC1">
            <w:pPr>
              <w:pStyle w:val="33"/>
              <w:spacing w:line="240" w:lineRule="auto"/>
              <w:ind w:firstLine="0" w:firstLineChars="0"/>
              <w:rPr>
                <w:rFonts w:eastAsia="仿宋"/>
                <w:sz w:val="24"/>
                <w:szCs w:val="24"/>
              </w:rPr>
            </w:pPr>
            <w:r>
              <w:rPr>
                <w:rFonts w:hint="eastAsia" w:eastAsia="仿宋"/>
                <w:sz w:val="24"/>
                <w:szCs w:val="24"/>
              </w:rPr>
              <w:t>/</w:t>
            </w:r>
          </w:p>
        </w:tc>
        <w:tc>
          <w:tcPr>
            <w:tcW w:w="267" w:type="pct"/>
            <w:vAlign w:val="center"/>
          </w:tcPr>
          <w:p w14:paraId="27F04E9E">
            <w:pPr>
              <w:pStyle w:val="33"/>
              <w:spacing w:line="240" w:lineRule="auto"/>
              <w:ind w:firstLine="0" w:firstLineChars="0"/>
              <w:rPr>
                <w:rFonts w:eastAsia="仿宋"/>
                <w:sz w:val="24"/>
                <w:szCs w:val="24"/>
              </w:rPr>
            </w:pPr>
            <w:r>
              <w:rPr>
                <w:rFonts w:hint="eastAsia" w:eastAsia="仿宋"/>
                <w:sz w:val="24"/>
                <w:szCs w:val="24"/>
              </w:rPr>
              <w:t>/</w:t>
            </w:r>
          </w:p>
        </w:tc>
      </w:tr>
      <w:tr w14:paraId="4B6FC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5" w:type="pct"/>
            <w:gridSpan w:val="6"/>
            <w:vAlign w:val="center"/>
          </w:tcPr>
          <w:p w14:paraId="5DC84BAA">
            <w:pPr>
              <w:pStyle w:val="33"/>
              <w:spacing w:line="240" w:lineRule="auto"/>
              <w:ind w:firstLine="0" w:firstLineChars="0"/>
              <w:rPr>
                <w:rFonts w:eastAsia="仿宋"/>
                <w:sz w:val="24"/>
                <w:szCs w:val="24"/>
              </w:rPr>
            </w:pPr>
            <w:r>
              <w:rPr>
                <w:rFonts w:eastAsia="仿宋"/>
                <w:sz w:val="24"/>
                <w:szCs w:val="24"/>
              </w:rPr>
              <w:t>HW18焚烧处置残渣</w:t>
            </w:r>
          </w:p>
        </w:tc>
        <w:tc>
          <w:tcPr>
            <w:tcW w:w="327" w:type="pct"/>
            <w:gridSpan w:val="3"/>
            <w:vAlign w:val="center"/>
          </w:tcPr>
          <w:p w14:paraId="50DBED12">
            <w:pPr>
              <w:pStyle w:val="33"/>
              <w:spacing w:line="240" w:lineRule="auto"/>
              <w:ind w:firstLine="0" w:firstLineChars="0"/>
              <w:jc w:val="right"/>
              <w:rPr>
                <w:rFonts w:eastAsia="仿宋"/>
                <w:sz w:val="24"/>
                <w:szCs w:val="24"/>
              </w:rPr>
            </w:pPr>
            <w:r>
              <w:rPr>
                <w:rFonts w:hint="eastAsia" w:eastAsia="仿宋"/>
                <w:sz w:val="24"/>
                <w:szCs w:val="24"/>
              </w:rPr>
              <w:t>7.13</w:t>
            </w:r>
          </w:p>
        </w:tc>
        <w:tc>
          <w:tcPr>
            <w:tcW w:w="322" w:type="pct"/>
            <w:gridSpan w:val="4"/>
            <w:vAlign w:val="center"/>
          </w:tcPr>
          <w:p w14:paraId="2B0CF55C">
            <w:pPr>
              <w:pStyle w:val="33"/>
              <w:spacing w:line="240" w:lineRule="auto"/>
              <w:ind w:firstLine="0" w:firstLineChars="0"/>
              <w:jc w:val="right"/>
              <w:rPr>
                <w:rFonts w:eastAsia="仿宋"/>
                <w:sz w:val="24"/>
                <w:szCs w:val="24"/>
              </w:rPr>
            </w:pPr>
            <w:r>
              <w:rPr>
                <w:rFonts w:hint="eastAsia" w:eastAsia="仿宋"/>
                <w:sz w:val="24"/>
                <w:szCs w:val="24"/>
              </w:rPr>
              <w:t>63.12</w:t>
            </w:r>
          </w:p>
        </w:tc>
        <w:tc>
          <w:tcPr>
            <w:tcW w:w="466" w:type="pct"/>
            <w:gridSpan w:val="4"/>
            <w:vAlign w:val="center"/>
          </w:tcPr>
          <w:p w14:paraId="51081E79">
            <w:pPr>
              <w:pStyle w:val="33"/>
              <w:spacing w:line="240" w:lineRule="auto"/>
              <w:ind w:firstLine="0" w:firstLineChars="0"/>
              <w:jc w:val="right"/>
              <w:rPr>
                <w:rFonts w:eastAsia="仿宋"/>
                <w:sz w:val="24"/>
                <w:szCs w:val="24"/>
              </w:rPr>
            </w:pPr>
            <w:r>
              <w:rPr>
                <w:rFonts w:hint="eastAsia" w:eastAsia="仿宋"/>
                <w:sz w:val="24"/>
                <w:szCs w:val="24"/>
              </w:rPr>
              <w:t>1216.99</w:t>
            </w:r>
          </w:p>
        </w:tc>
        <w:tc>
          <w:tcPr>
            <w:tcW w:w="420" w:type="pct"/>
            <w:vAlign w:val="center"/>
          </w:tcPr>
          <w:p w14:paraId="4592FFE9">
            <w:pPr>
              <w:pStyle w:val="33"/>
              <w:spacing w:line="240" w:lineRule="auto"/>
              <w:ind w:firstLine="0" w:firstLineChars="0"/>
              <w:jc w:val="right"/>
              <w:rPr>
                <w:rFonts w:eastAsia="仿宋"/>
                <w:sz w:val="24"/>
                <w:szCs w:val="24"/>
              </w:rPr>
            </w:pPr>
            <w:r>
              <w:rPr>
                <w:rFonts w:hint="eastAsia" w:eastAsia="仿宋"/>
                <w:sz w:val="24"/>
                <w:szCs w:val="24"/>
              </w:rPr>
              <w:t>0</w:t>
            </w:r>
          </w:p>
        </w:tc>
        <w:tc>
          <w:tcPr>
            <w:tcW w:w="384" w:type="pct"/>
            <w:gridSpan w:val="4"/>
            <w:vAlign w:val="center"/>
          </w:tcPr>
          <w:p w14:paraId="6E965D35">
            <w:pPr>
              <w:pStyle w:val="33"/>
              <w:spacing w:line="240" w:lineRule="auto"/>
              <w:ind w:firstLine="0" w:firstLineChars="0"/>
              <w:jc w:val="right"/>
              <w:rPr>
                <w:rFonts w:eastAsia="仿宋"/>
                <w:sz w:val="24"/>
                <w:szCs w:val="24"/>
              </w:rPr>
            </w:pPr>
            <w:r>
              <w:rPr>
                <w:rFonts w:hint="eastAsia" w:eastAsia="仿宋"/>
                <w:sz w:val="24"/>
                <w:szCs w:val="24"/>
              </w:rPr>
              <w:t>0</w:t>
            </w:r>
          </w:p>
        </w:tc>
        <w:tc>
          <w:tcPr>
            <w:tcW w:w="384" w:type="pct"/>
            <w:gridSpan w:val="3"/>
            <w:vAlign w:val="center"/>
          </w:tcPr>
          <w:p w14:paraId="555D026D">
            <w:pPr>
              <w:pStyle w:val="33"/>
              <w:spacing w:line="240" w:lineRule="auto"/>
              <w:ind w:firstLine="0" w:firstLineChars="0"/>
              <w:jc w:val="right"/>
              <w:rPr>
                <w:rFonts w:eastAsia="仿宋"/>
                <w:sz w:val="24"/>
                <w:szCs w:val="24"/>
              </w:rPr>
            </w:pPr>
            <w:r>
              <w:rPr>
                <w:rFonts w:hint="eastAsia" w:eastAsia="仿宋"/>
                <w:sz w:val="24"/>
                <w:szCs w:val="24"/>
              </w:rPr>
              <w:t>1161</w:t>
            </w:r>
          </w:p>
        </w:tc>
        <w:tc>
          <w:tcPr>
            <w:tcW w:w="316" w:type="pct"/>
            <w:gridSpan w:val="2"/>
            <w:vAlign w:val="center"/>
          </w:tcPr>
          <w:p w14:paraId="47C7CDBB">
            <w:pPr>
              <w:pStyle w:val="33"/>
              <w:spacing w:line="240" w:lineRule="auto"/>
              <w:ind w:firstLine="0" w:firstLineChars="0"/>
              <w:rPr>
                <w:rFonts w:eastAsia="仿宋"/>
                <w:sz w:val="24"/>
                <w:szCs w:val="24"/>
              </w:rPr>
            </w:pPr>
            <w:r>
              <w:rPr>
                <w:rFonts w:hint="eastAsia" w:eastAsia="仿宋"/>
                <w:sz w:val="24"/>
                <w:szCs w:val="24"/>
              </w:rPr>
              <w:t>/</w:t>
            </w:r>
          </w:p>
        </w:tc>
        <w:tc>
          <w:tcPr>
            <w:tcW w:w="351" w:type="pct"/>
            <w:gridSpan w:val="2"/>
            <w:vAlign w:val="center"/>
          </w:tcPr>
          <w:p w14:paraId="16D737F4">
            <w:pPr>
              <w:pStyle w:val="33"/>
              <w:spacing w:line="240" w:lineRule="auto"/>
              <w:ind w:firstLine="0" w:firstLineChars="0"/>
              <w:rPr>
                <w:rFonts w:eastAsia="仿宋"/>
                <w:sz w:val="24"/>
                <w:szCs w:val="24"/>
              </w:rPr>
            </w:pPr>
            <w:r>
              <w:rPr>
                <w:rFonts w:hint="eastAsia" w:eastAsia="仿宋"/>
                <w:sz w:val="24"/>
                <w:szCs w:val="24"/>
              </w:rPr>
              <w:t>14%</w:t>
            </w:r>
          </w:p>
        </w:tc>
        <w:tc>
          <w:tcPr>
            <w:tcW w:w="313" w:type="pct"/>
            <w:gridSpan w:val="3"/>
            <w:vAlign w:val="center"/>
          </w:tcPr>
          <w:p w14:paraId="51371B2B">
            <w:pPr>
              <w:pStyle w:val="33"/>
              <w:spacing w:line="240" w:lineRule="auto"/>
              <w:ind w:firstLine="0" w:firstLineChars="0"/>
              <w:rPr>
                <w:rFonts w:eastAsia="仿宋"/>
                <w:sz w:val="24"/>
                <w:szCs w:val="24"/>
              </w:rPr>
            </w:pPr>
            <w:r>
              <w:rPr>
                <w:rFonts w:hint="eastAsia" w:eastAsia="仿宋"/>
                <w:sz w:val="24"/>
                <w:szCs w:val="24"/>
              </w:rPr>
              <w:t>86%</w:t>
            </w:r>
          </w:p>
        </w:tc>
        <w:tc>
          <w:tcPr>
            <w:tcW w:w="267" w:type="pct"/>
            <w:vAlign w:val="center"/>
          </w:tcPr>
          <w:p w14:paraId="1E531DA9">
            <w:pPr>
              <w:pStyle w:val="33"/>
              <w:spacing w:line="240" w:lineRule="auto"/>
              <w:ind w:firstLine="0" w:firstLineChars="0"/>
              <w:rPr>
                <w:rFonts w:eastAsia="仿宋"/>
                <w:sz w:val="24"/>
                <w:szCs w:val="24"/>
              </w:rPr>
            </w:pPr>
            <w:r>
              <w:rPr>
                <w:rFonts w:hint="eastAsia" w:eastAsia="仿宋"/>
                <w:sz w:val="24"/>
                <w:szCs w:val="24"/>
              </w:rPr>
              <w:t>/</w:t>
            </w:r>
          </w:p>
        </w:tc>
      </w:tr>
      <w:tr w14:paraId="3E925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5" w:type="pct"/>
            <w:gridSpan w:val="6"/>
            <w:vAlign w:val="center"/>
          </w:tcPr>
          <w:p w14:paraId="15261D57">
            <w:pPr>
              <w:pStyle w:val="33"/>
              <w:spacing w:line="240" w:lineRule="auto"/>
              <w:ind w:firstLine="0" w:firstLineChars="0"/>
              <w:rPr>
                <w:rFonts w:eastAsia="仿宋"/>
                <w:sz w:val="24"/>
                <w:szCs w:val="24"/>
              </w:rPr>
            </w:pPr>
            <w:r>
              <w:rPr>
                <w:rFonts w:eastAsia="仿宋"/>
                <w:sz w:val="24"/>
                <w:szCs w:val="24"/>
              </w:rPr>
              <w:t>HW29含汞废物</w:t>
            </w:r>
          </w:p>
        </w:tc>
        <w:tc>
          <w:tcPr>
            <w:tcW w:w="327" w:type="pct"/>
            <w:gridSpan w:val="3"/>
            <w:vAlign w:val="center"/>
          </w:tcPr>
          <w:p w14:paraId="2D399FD6">
            <w:pPr>
              <w:pStyle w:val="33"/>
              <w:spacing w:line="240" w:lineRule="auto"/>
              <w:ind w:firstLine="0" w:firstLineChars="0"/>
              <w:jc w:val="right"/>
              <w:rPr>
                <w:rFonts w:eastAsia="仿宋"/>
                <w:sz w:val="24"/>
                <w:szCs w:val="24"/>
              </w:rPr>
            </w:pPr>
            <w:r>
              <w:rPr>
                <w:rFonts w:hint="eastAsia" w:eastAsia="仿宋"/>
                <w:sz w:val="24"/>
                <w:szCs w:val="24"/>
              </w:rPr>
              <w:t>2.57</w:t>
            </w:r>
          </w:p>
        </w:tc>
        <w:tc>
          <w:tcPr>
            <w:tcW w:w="322" w:type="pct"/>
            <w:gridSpan w:val="4"/>
            <w:vAlign w:val="center"/>
          </w:tcPr>
          <w:p w14:paraId="7443410D">
            <w:pPr>
              <w:pStyle w:val="33"/>
              <w:spacing w:line="240" w:lineRule="auto"/>
              <w:ind w:firstLine="0" w:firstLineChars="0"/>
              <w:jc w:val="right"/>
              <w:rPr>
                <w:rFonts w:eastAsia="仿宋"/>
                <w:sz w:val="24"/>
                <w:szCs w:val="24"/>
              </w:rPr>
            </w:pPr>
            <w:r>
              <w:rPr>
                <w:rFonts w:hint="eastAsia" w:eastAsia="仿宋"/>
                <w:sz w:val="24"/>
                <w:szCs w:val="24"/>
              </w:rPr>
              <w:t>0</w:t>
            </w:r>
          </w:p>
        </w:tc>
        <w:tc>
          <w:tcPr>
            <w:tcW w:w="466" w:type="pct"/>
            <w:gridSpan w:val="4"/>
            <w:vAlign w:val="center"/>
          </w:tcPr>
          <w:p w14:paraId="1467DBB2">
            <w:pPr>
              <w:pStyle w:val="33"/>
              <w:spacing w:line="240" w:lineRule="auto"/>
              <w:ind w:firstLine="0" w:firstLineChars="0"/>
              <w:jc w:val="right"/>
              <w:rPr>
                <w:rFonts w:eastAsia="仿宋"/>
                <w:sz w:val="24"/>
                <w:szCs w:val="24"/>
              </w:rPr>
            </w:pPr>
            <w:r>
              <w:rPr>
                <w:rFonts w:hint="eastAsia" w:eastAsia="仿宋"/>
                <w:sz w:val="24"/>
                <w:szCs w:val="24"/>
              </w:rPr>
              <w:t>2.62</w:t>
            </w:r>
          </w:p>
        </w:tc>
        <w:tc>
          <w:tcPr>
            <w:tcW w:w="420" w:type="pct"/>
            <w:vAlign w:val="center"/>
          </w:tcPr>
          <w:p w14:paraId="20C963CB">
            <w:pPr>
              <w:pStyle w:val="33"/>
              <w:spacing w:line="240" w:lineRule="auto"/>
              <w:ind w:firstLine="0" w:firstLineChars="0"/>
              <w:jc w:val="right"/>
              <w:rPr>
                <w:rFonts w:eastAsia="仿宋"/>
                <w:sz w:val="24"/>
                <w:szCs w:val="24"/>
              </w:rPr>
            </w:pPr>
            <w:r>
              <w:rPr>
                <w:rFonts w:hint="eastAsia" w:eastAsia="仿宋"/>
                <w:sz w:val="24"/>
                <w:szCs w:val="24"/>
              </w:rPr>
              <w:t>0</w:t>
            </w:r>
          </w:p>
        </w:tc>
        <w:tc>
          <w:tcPr>
            <w:tcW w:w="384" w:type="pct"/>
            <w:gridSpan w:val="4"/>
            <w:vAlign w:val="center"/>
          </w:tcPr>
          <w:p w14:paraId="18D3A4CB">
            <w:pPr>
              <w:pStyle w:val="33"/>
              <w:spacing w:line="240" w:lineRule="auto"/>
              <w:ind w:firstLine="0" w:firstLineChars="0"/>
              <w:jc w:val="right"/>
              <w:rPr>
                <w:rFonts w:eastAsia="仿宋"/>
                <w:sz w:val="24"/>
                <w:szCs w:val="24"/>
              </w:rPr>
            </w:pPr>
            <w:r>
              <w:rPr>
                <w:rFonts w:hint="eastAsia" w:eastAsia="仿宋"/>
                <w:sz w:val="24"/>
                <w:szCs w:val="24"/>
              </w:rPr>
              <w:t>0</w:t>
            </w:r>
          </w:p>
        </w:tc>
        <w:tc>
          <w:tcPr>
            <w:tcW w:w="384" w:type="pct"/>
            <w:gridSpan w:val="3"/>
            <w:vAlign w:val="center"/>
          </w:tcPr>
          <w:p w14:paraId="1CE76B5F">
            <w:pPr>
              <w:pStyle w:val="33"/>
              <w:spacing w:line="240" w:lineRule="auto"/>
              <w:ind w:firstLine="0" w:firstLineChars="0"/>
              <w:jc w:val="right"/>
              <w:rPr>
                <w:rFonts w:eastAsia="仿宋"/>
                <w:sz w:val="24"/>
                <w:szCs w:val="24"/>
              </w:rPr>
            </w:pPr>
            <w:r>
              <w:rPr>
                <w:rFonts w:hint="eastAsia" w:eastAsia="仿宋"/>
                <w:sz w:val="24"/>
                <w:szCs w:val="24"/>
              </w:rPr>
              <w:t>5.19</w:t>
            </w:r>
          </w:p>
        </w:tc>
        <w:tc>
          <w:tcPr>
            <w:tcW w:w="316" w:type="pct"/>
            <w:gridSpan w:val="2"/>
            <w:vAlign w:val="center"/>
          </w:tcPr>
          <w:p w14:paraId="299DE445">
            <w:pPr>
              <w:pStyle w:val="33"/>
              <w:spacing w:line="240" w:lineRule="auto"/>
              <w:ind w:firstLine="0" w:firstLineChars="0"/>
              <w:rPr>
                <w:rFonts w:eastAsia="仿宋"/>
                <w:sz w:val="24"/>
                <w:szCs w:val="24"/>
              </w:rPr>
            </w:pPr>
            <w:r>
              <w:rPr>
                <w:rFonts w:hint="eastAsia" w:eastAsia="仿宋"/>
                <w:sz w:val="24"/>
                <w:szCs w:val="24"/>
              </w:rPr>
              <w:t>/</w:t>
            </w:r>
          </w:p>
        </w:tc>
        <w:tc>
          <w:tcPr>
            <w:tcW w:w="351" w:type="pct"/>
            <w:gridSpan w:val="2"/>
            <w:vAlign w:val="center"/>
          </w:tcPr>
          <w:p w14:paraId="6F0D6BF7">
            <w:pPr>
              <w:pStyle w:val="33"/>
              <w:spacing w:line="240" w:lineRule="auto"/>
              <w:ind w:firstLine="0" w:firstLineChars="0"/>
              <w:rPr>
                <w:rFonts w:eastAsia="仿宋"/>
                <w:sz w:val="24"/>
                <w:szCs w:val="24"/>
              </w:rPr>
            </w:pPr>
            <w:r>
              <w:rPr>
                <w:rFonts w:hint="eastAsia" w:eastAsia="仿宋"/>
                <w:sz w:val="24"/>
                <w:szCs w:val="24"/>
              </w:rPr>
              <w:t>100%</w:t>
            </w:r>
          </w:p>
        </w:tc>
        <w:tc>
          <w:tcPr>
            <w:tcW w:w="313" w:type="pct"/>
            <w:gridSpan w:val="3"/>
            <w:vAlign w:val="center"/>
          </w:tcPr>
          <w:p w14:paraId="3ED261DA">
            <w:pPr>
              <w:pStyle w:val="33"/>
              <w:spacing w:line="240" w:lineRule="auto"/>
              <w:ind w:firstLine="0" w:firstLineChars="0"/>
              <w:rPr>
                <w:rFonts w:eastAsia="仿宋"/>
                <w:sz w:val="24"/>
                <w:szCs w:val="24"/>
              </w:rPr>
            </w:pPr>
            <w:r>
              <w:rPr>
                <w:rFonts w:hint="eastAsia" w:eastAsia="仿宋"/>
                <w:sz w:val="24"/>
                <w:szCs w:val="24"/>
              </w:rPr>
              <w:t>/</w:t>
            </w:r>
          </w:p>
        </w:tc>
        <w:tc>
          <w:tcPr>
            <w:tcW w:w="267" w:type="pct"/>
            <w:vAlign w:val="center"/>
          </w:tcPr>
          <w:p w14:paraId="20CE415D">
            <w:pPr>
              <w:pStyle w:val="33"/>
              <w:spacing w:line="240" w:lineRule="auto"/>
              <w:ind w:firstLine="0" w:firstLineChars="0"/>
              <w:rPr>
                <w:rFonts w:eastAsia="仿宋"/>
                <w:sz w:val="24"/>
                <w:szCs w:val="24"/>
              </w:rPr>
            </w:pPr>
            <w:r>
              <w:rPr>
                <w:rFonts w:hint="eastAsia" w:eastAsia="仿宋"/>
                <w:sz w:val="24"/>
                <w:szCs w:val="24"/>
              </w:rPr>
              <w:t>/</w:t>
            </w:r>
          </w:p>
        </w:tc>
      </w:tr>
      <w:tr w14:paraId="5BB65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5" w:type="pct"/>
            <w:gridSpan w:val="6"/>
            <w:vAlign w:val="center"/>
          </w:tcPr>
          <w:p w14:paraId="0C105212">
            <w:pPr>
              <w:pStyle w:val="33"/>
              <w:spacing w:line="240" w:lineRule="auto"/>
              <w:ind w:firstLine="0" w:firstLineChars="0"/>
              <w:rPr>
                <w:rFonts w:eastAsia="仿宋"/>
                <w:sz w:val="24"/>
                <w:szCs w:val="24"/>
              </w:rPr>
            </w:pPr>
            <w:r>
              <w:rPr>
                <w:rFonts w:eastAsia="仿宋"/>
                <w:sz w:val="24"/>
                <w:szCs w:val="24"/>
              </w:rPr>
              <w:t>HW31含铅废物</w:t>
            </w:r>
          </w:p>
        </w:tc>
        <w:tc>
          <w:tcPr>
            <w:tcW w:w="327" w:type="pct"/>
            <w:gridSpan w:val="3"/>
            <w:vAlign w:val="center"/>
          </w:tcPr>
          <w:p w14:paraId="176AA55A">
            <w:pPr>
              <w:pStyle w:val="33"/>
              <w:spacing w:line="240" w:lineRule="auto"/>
              <w:ind w:firstLine="0" w:firstLineChars="0"/>
              <w:jc w:val="right"/>
              <w:rPr>
                <w:rFonts w:eastAsia="仿宋"/>
                <w:sz w:val="24"/>
                <w:szCs w:val="24"/>
              </w:rPr>
            </w:pPr>
            <w:r>
              <w:rPr>
                <w:rFonts w:hint="eastAsia" w:eastAsia="仿宋"/>
                <w:sz w:val="24"/>
                <w:szCs w:val="24"/>
              </w:rPr>
              <w:t>0.93</w:t>
            </w:r>
          </w:p>
        </w:tc>
        <w:tc>
          <w:tcPr>
            <w:tcW w:w="322" w:type="pct"/>
            <w:gridSpan w:val="4"/>
            <w:vAlign w:val="center"/>
          </w:tcPr>
          <w:p w14:paraId="2D4A142D">
            <w:pPr>
              <w:pStyle w:val="33"/>
              <w:spacing w:line="240" w:lineRule="auto"/>
              <w:ind w:firstLine="0" w:firstLineChars="0"/>
              <w:jc w:val="right"/>
              <w:rPr>
                <w:rFonts w:eastAsia="仿宋"/>
                <w:sz w:val="24"/>
                <w:szCs w:val="24"/>
              </w:rPr>
            </w:pPr>
            <w:r>
              <w:rPr>
                <w:rFonts w:hint="eastAsia" w:eastAsia="仿宋"/>
                <w:sz w:val="24"/>
                <w:szCs w:val="24"/>
              </w:rPr>
              <w:t>0</w:t>
            </w:r>
          </w:p>
        </w:tc>
        <w:tc>
          <w:tcPr>
            <w:tcW w:w="466" w:type="pct"/>
            <w:gridSpan w:val="4"/>
            <w:vAlign w:val="center"/>
          </w:tcPr>
          <w:p w14:paraId="6D883755">
            <w:pPr>
              <w:pStyle w:val="33"/>
              <w:spacing w:line="240" w:lineRule="auto"/>
              <w:ind w:firstLine="0" w:firstLineChars="0"/>
              <w:jc w:val="right"/>
              <w:rPr>
                <w:rFonts w:eastAsia="仿宋"/>
                <w:sz w:val="24"/>
                <w:szCs w:val="24"/>
              </w:rPr>
            </w:pPr>
            <w:r>
              <w:rPr>
                <w:rFonts w:hint="eastAsia" w:eastAsia="仿宋"/>
                <w:sz w:val="24"/>
                <w:szCs w:val="24"/>
              </w:rPr>
              <w:t>56.02</w:t>
            </w:r>
          </w:p>
        </w:tc>
        <w:tc>
          <w:tcPr>
            <w:tcW w:w="420" w:type="pct"/>
            <w:vAlign w:val="center"/>
          </w:tcPr>
          <w:p w14:paraId="42FDAB77">
            <w:pPr>
              <w:pStyle w:val="33"/>
              <w:spacing w:line="240" w:lineRule="auto"/>
              <w:ind w:firstLine="0" w:firstLineChars="0"/>
              <w:jc w:val="right"/>
              <w:rPr>
                <w:rFonts w:eastAsia="仿宋"/>
                <w:sz w:val="24"/>
                <w:szCs w:val="24"/>
              </w:rPr>
            </w:pPr>
            <w:r>
              <w:rPr>
                <w:rFonts w:hint="eastAsia" w:eastAsia="仿宋"/>
                <w:sz w:val="24"/>
                <w:szCs w:val="24"/>
              </w:rPr>
              <w:t>0</w:t>
            </w:r>
          </w:p>
        </w:tc>
        <w:tc>
          <w:tcPr>
            <w:tcW w:w="384" w:type="pct"/>
            <w:gridSpan w:val="4"/>
            <w:vAlign w:val="center"/>
          </w:tcPr>
          <w:p w14:paraId="342803D1">
            <w:pPr>
              <w:pStyle w:val="33"/>
              <w:spacing w:line="240" w:lineRule="auto"/>
              <w:ind w:firstLine="0" w:firstLineChars="0"/>
              <w:jc w:val="right"/>
              <w:rPr>
                <w:rFonts w:eastAsia="仿宋"/>
                <w:sz w:val="24"/>
                <w:szCs w:val="24"/>
              </w:rPr>
            </w:pPr>
            <w:r>
              <w:rPr>
                <w:rFonts w:hint="eastAsia" w:eastAsia="仿宋"/>
                <w:sz w:val="24"/>
                <w:szCs w:val="24"/>
              </w:rPr>
              <w:t>56.95</w:t>
            </w:r>
          </w:p>
        </w:tc>
        <w:tc>
          <w:tcPr>
            <w:tcW w:w="384" w:type="pct"/>
            <w:gridSpan w:val="3"/>
            <w:vAlign w:val="center"/>
          </w:tcPr>
          <w:p w14:paraId="24007A6E">
            <w:pPr>
              <w:pStyle w:val="33"/>
              <w:spacing w:line="240" w:lineRule="auto"/>
              <w:ind w:firstLine="0" w:firstLineChars="0"/>
              <w:jc w:val="right"/>
              <w:rPr>
                <w:rFonts w:eastAsia="仿宋"/>
                <w:sz w:val="24"/>
                <w:szCs w:val="24"/>
              </w:rPr>
            </w:pPr>
            <w:r>
              <w:rPr>
                <w:rFonts w:hint="eastAsia" w:eastAsia="仿宋"/>
                <w:sz w:val="24"/>
                <w:szCs w:val="24"/>
              </w:rPr>
              <w:t>0</w:t>
            </w:r>
          </w:p>
        </w:tc>
        <w:tc>
          <w:tcPr>
            <w:tcW w:w="316" w:type="pct"/>
            <w:gridSpan w:val="2"/>
            <w:vAlign w:val="center"/>
          </w:tcPr>
          <w:p w14:paraId="315AD68F">
            <w:pPr>
              <w:pStyle w:val="33"/>
              <w:spacing w:line="240" w:lineRule="auto"/>
              <w:ind w:firstLine="0" w:firstLineChars="0"/>
              <w:rPr>
                <w:rFonts w:eastAsia="仿宋"/>
                <w:sz w:val="24"/>
                <w:szCs w:val="24"/>
              </w:rPr>
            </w:pPr>
            <w:r>
              <w:rPr>
                <w:rFonts w:hint="eastAsia" w:eastAsia="仿宋"/>
                <w:sz w:val="24"/>
                <w:szCs w:val="24"/>
              </w:rPr>
              <w:t>/</w:t>
            </w:r>
          </w:p>
        </w:tc>
        <w:tc>
          <w:tcPr>
            <w:tcW w:w="351" w:type="pct"/>
            <w:gridSpan w:val="2"/>
            <w:vAlign w:val="center"/>
          </w:tcPr>
          <w:p w14:paraId="0756CDCD">
            <w:pPr>
              <w:pStyle w:val="33"/>
              <w:spacing w:line="240" w:lineRule="auto"/>
              <w:ind w:firstLine="0" w:firstLineChars="0"/>
              <w:rPr>
                <w:rFonts w:eastAsia="仿宋"/>
                <w:sz w:val="24"/>
                <w:szCs w:val="24"/>
              </w:rPr>
            </w:pPr>
            <w:r>
              <w:rPr>
                <w:rFonts w:hint="eastAsia" w:eastAsia="仿宋"/>
                <w:sz w:val="24"/>
                <w:szCs w:val="24"/>
              </w:rPr>
              <w:t>97%</w:t>
            </w:r>
          </w:p>
        </w:tc>
        <w:tc>
          <w:tcPr>
            <w:tcW w:w="313" w:type="pct"/>
            <w:gridSpan w:val="3"/>
            <w:vAlign w:val="center"/>
          </w:tcPr>
          <w:p w14:paraId="66FD52B4">
            <w:pPr>
              <w:pStyle w:val="33"/>
              <w:spacing w:line="240" w:lineRule="auto"/>
              <w:ind w:firstLine="0" w:firstLineChars="0"/>
              <w:rPr>
                <w:rFonts w:eastAsia="仿宋"/>
                <w:sz w:val="24"/>
                <w:szCs w:val="24"/>
              </w:rPr>
            </w:pPr>
            <w:r>
              <w:rPr>
                <w:rFonts w:hint="eastAsia" w:eastAsia="仿宋"/>
                <w:sz w:val="24"/>
                <w:szCs w:val="24"/>
              </w:rPr>
              <w:t>3%</w:t>
            </w:r>
          </w:p>
        </w:tc>
        <w:tc>
          <w:tcPr>
            <w:tcW w:w="267" w:type="pct"/>
            <w:vAlign w:val="center"/>
          </w:tcPr>
          <w:p w14:paraId="0F059C53">
            <w:pPr>
              <w:pStyle w:val="33"/>
              <w:spacing w:line="240" w:lineRule="auto"/>
              <w:ind w:firstLine="0" w:firstLineChars="0"/>
              <w:rPr>
                <w:rFonts w:eastAsia="仿宋"/>
                <w:sz w:val="24"/>
                <w:szCs w:val="24"/>
              </w:rPr>
            </w:pPr>
            <w:r>
              <w:rPr>
                <w:rFonts w:hint="eastAsia" w:eastAsia="仿宋"/>
                <w:sz w:val="24"/>
                <w:szCs w:val="24"/>
              </w:rPr>
              <w:t>/</w:t>
            </w:r>
          </w:p>
        </w:tc>
      </w:tr>
      <w:tr w14:paraId="2C58D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5" w:type="pct"/>
            <w:gridSpan w:val="6"/>
            <w:vAlign w:val="center"/>
          </w:tcPr>
          <w:p w14:paraId="3389CE1E">
            <w:pPr>
              <w:pStyle w:val="33"/>
              <w:spacing w:line="240" w:lineRule="auto"/>
              <w:ind w:firstLine="0" w:firstLineChars="0"/>
              <w:rPr>
                <w:rFonts w:eastAsia="仿宋"/>
                <w:sz w:val="24"/>
                <w:szCs w:val="24"/>
              </w:rPr>
            </w:pPr>
            <w:r>
              <w:rPr>
                <w:rFonts w:eastAsia="仿宋"/>
                <w:sz w:val="24"/>
                <w:szCs w:val="24"/>
              </w:rPr>
              <w:t>HW34废酸</w:t>
            </w:r>
          </w:p>
        </w:tc>
        <w:tc>
          <w:tcPr>
            <w:tcW w:w="327" w:type="pct"/>
            <w:gridSpan w:val="3"/>
            <w:vAlign w:val="center"/>
          </w:tcPr>
          <w:p w14:paraId="68E60489">
            <w:pPr>
              <w:pStyle w:val="33"/>
              <w:spacing w:line="240" w:lineRule="auto"/>
              <w:ind w:firstLine="0" w:firstLineChars="0"/>
              <w:jc w:val="right"/>
              <w:rPr>
                <w:rFonts w:eastAsia="仿宋"/>
                <w:sz w:val="24"/>
                <w:szCs w:val="24"/>
              </w:rPr>
            </w:pPr>
            <w:r>
              <w:rPr>
                <w:rFonts w:hint="eastAsia" w:eastAsia="仿宋"/>
                <w:sz w:val="24"/>
                <w:szCs w:val="24"/>
              </w:rPr>
              <w:t>1.26</w:t>
            </w:r>
          </w:p>
        </w:tc>
        <w:tc>
          <w:tcPr>
            <w:tcW w:w="322" w:type="pct"/>
            <w:gridSpan w:val="4"/>
            <w:vAlign w:val="center"/>
          </w:tcPr>
          <w:p w14:paraId="135CC7AF">
            <w:pPr>
              <w:pStyle w:val="33"/>
              <w:spacing w:line="240" w:lineRule="auto"/>
              <w:ind w:firstLine="0" w:firstLineChars="0"/>
              <w:jc w:val="right"/>
              <w:rPr>
                <w:rFonts w:eastAsia="仿宋"/>
                <w:sz w:val="24"/>
                <w:szCs w:val="24"/>
              </w:rPr>
            </w:pPr>
            <w:r>
              <w:rPr>
                <w:rFonts w:hint="eastAsia" w:eastAsia="仿宋"/>
                <w:sz w:val="24"/>
                <w:szCs w:val="24"/>
              </w:rPr>
              <w:t>0</w:t>
            </w:r>
          </w:p>
        </w:tc>
        <w:tc>
          <w:tcPr>
            <w:tcW w:w="466" w:type="pct"/>
            <w:gridSpan w:val="4"/>
            <w:vAlign w:val="center"/>
          </w:tcPr>
          <w:p w14:paraId="5F24CE4A">
            <w:pPr>
              <w:pStyle w:val="33"/>
              <w:spacing w:line="240" w:lineRule="auto"/>
              <w:ind w:firstLine="0" w:firstLineChars="0"/>
              <w:jc w:val="right"/>
              <w:rPr>
                <w:rFonts w:eastAsia="仿宋"/>
                <w:sz w:val="24"/>
                <w:szCs w:val="24"/>
              </w:rPr>
            </w:pPr>
            <w:r>
              <w:rPr>
                <w:rFonts w:hint="eastAsia" w:eastAsia="仿宋"/>
                <w:sz w:val="24"/>
                <w:szCs w:val="24"/>
              </w:rPr>
              <w:t>1.82</w:t>
            </w:r>
          </w:p>
        </w:tc>
        <w:tc>
          <w:tcPr>
            <w:tcW w:w="420" w:type="pct"/>
            <w:vAlign w:val="center"/>
          </w:tcPr>
          <w:p w14:paraId="4F841B69">
            <w:pPr>
              <w:pStyle w:val="33"/>
              <w:spacing w:line="240" w:lineRule="auto"/>
              <w:ind w:firstLine="0" w:firstLineChars="0"/>
              <w:jc w:val="right"/>
              <w:rPr>
                <w:rFonts w:eastAsia="仿宋"/>
                <w:sz w:val="24"/>
                <w:szCs w:val="24"/>
              </w:rPr>
            </w:pPr>
            <w:r>
              <w:rPr>
                <w:rFonts w:hint="eastAsia" w:eastAsia="仿宋"/>
                <w:sz w:val="24"/>
                <w:szCs w:val="24"/>
              </w:rPr>
              <w:t>0</w:t>
            </w:r>
          </w:p>
        </w:tc>
        <w:tc>
          <w:tcPr>
            <w:tcW w:w="384" w:type="pct"/>
            <w:gridSpan w:val="4"/>
            <w:vAlign w:val="center"/>
          </w:tcPr>
          <w:p w14:paraId="54829F0D">
            <w:pPr>
              <w:pStyle w:val="33"/>
              <w:spacing w:line="240" w:lineRule="auto"/>
              <w:ind w:firstLine="0" w:firstLineChars="0"/>
              <w:jc w:val="right"/>
              <w:rPr>
                <w:rFonts w:eastAsia="仿宋"/>
                <w:sz w:val="24"/>
                <w:szCs w:val="24"/>
              </w:rPr>
            </w:pPr>
            <w:r>
              <w:rPr>
                <w:rFonts w:hint="eastAsia" w:eastAsia="仿宋"/>
                <w:sz w:val="24"/>
                <w:szCs w:val="24"/>
              </w:rPr>
              <w:t>0</w:t>
            </w:r>
          </w:p>
        </w:tc>
        <w:tc>
          <w:tcPr>
            <w:tcW w:w="384" w:type="pct"/>
            <w:gridSpan w:val="3"/>
            <w:vAlign w:val="center"/>
          </w:tcPr>
          <w:p w14:paraId="30FA55BF">
            <w:pPr>
              <w:pStyle w:val="33"/>
              <w:spacing w:line="240" w:lineRule="auto"/>
              <w:ind w:firstLine="0" w:firstLineChars="0"/>
              <w:jc w:val="right"/>
              <w:rPr>
                <w:rFonts w:eastAsia="仿宋"/>
                <w:sz w:val="24"/>
                <w:szCs w:val="24"/>
              </w:rPr>
            </w:pPr>
            <w:r>
              <w:rPr>
                <w:rFonts w:hint="eastAsia" w:eastAsia="仿宋"/>
                <w:sz w:val="24"/>
                <w:szCs w:val="24"/>
              </w:rPr>
              <w:t>3.08</w:t>
            </w:r>
          </w:p>
        </w:tc>
        <w:tc>
          <w:tcPr>
            <w:tcW w:w="316" w:type="pct"/>
            <w:gridSpan w:val="2"/>
            <w:vAlign w:val="center"/>
          </w:tcPr>
          <w:p w14:paraId="3D70F3C7">
            <w:pPr>
              <w:pStyle w:val="33"/>
              <w:spacing w:line="240" w:lineRule="auto"/>
              <w:ind w:firstLine="0" w:firstLineChars="0"/>
              <w:rPr>
                <w:rFonts w:eastAsia="仿宋"/>
                <w:sz w:val="24"/>
                <w:szCs w:val="24"/>
              </w:rPr>
            </w:pPr>
            <w:r>
              <w:rPr>
                <w:rFonts w:hint="eastAsia" w:eastAsia="仿宋"/>
                <w:sz w:val="24"/>
                <w:szCs w:val="24"/>
              </w:rPr>
              <w:t>/</w:t>
            </w:r>
          </w:p>
        </w:tc>
        <w:tc>
          <w:tcPr>
            <w:tcW w:w="351" w:type="pct"/>
            <w:gridSpan w:val="2"/>
            <w:vAlign w:val="center"/>
          </w:tcPr>
          <w:p w14:paraId="31143B39">
            <w:pPr>
              <w:pStyle w:val="33"/>
              <w:spacing w:line="240" w:lineRule="auto"/>
              <w:ind w:firstLine="0" w:firstLineChars="0"/>
              <w:rPr>
                <w:rFonts w:eastAsia="仿宋"/>
                <w:sz w:val="24"/>
                <w:szCs w:val="24"/>
              </w:rPr>
            </w:pPr>
            <w:r>
              <w:rPr>
                <w:rFonts w:hint="eastAsia" w:eastAsia="仿宋"/>
                <w:sz w:val="24"/>
                <w:szCs w:val="24"/>
              </w:rPr>
              <w:t>100%</w:t>
            </w:r>
          </w:p>
        </w:tc>
        <w:tc>
          <w:tcPr>
            <w:tcW w:w="313" w:type="pct"/>
            <w:gridSpan w:val="3"/>
            <w:vAlign w:val="center"/>
          </w:tcPr>
          <w:p w14:paraId="4F3F571D">
            <w:pPr>
              <w:pStyle w:val="33"/>
              <w:spacing w:line="240" w:lineRule="auto"/>
              <w:ind w:firstLine="0" w:firstLineChars="0"/>
              <w:rPr>
                <w:rFonts w:eastAsia="仿宋"/>
                <w:sz w:val="24"/>
                <w:szCs w:val="24"/>
              </w:rPr>
            </w:pPr>
            <w:r>
              <w:rPr>
                <w:rFonts w:hint="eastAsia" w:eastAsia="仿宋"/>
                <w:sz w:val="24"/>
                <w:szCs w:val="24"/>
              </w:rPr>
              <w:t>/</w:t>
            </w:r>
          </w:p>
        </w:tc>
        <w:tc>
          <w:tcPr>
            <w:tcW w:w="267" w:type="pct"/>
            <w:vAlign w:val="center"/>
          </w:tcPr>
          <w:p w14:paraId="1BC70815">
            <w:pPr>
              <w:pStyle w:val="33"/>
              <w:spacing w:line="240" w:lineRule="auto"/>
              <w:ind w:firstLine="0" w:firstLineChars="0"/>
              <w:rPr>
                <w:rFonts w:eastAsia="仿宋"/>
                <w:sz w:val="24"/>
                <w:szCs w:val="24"/>
              </w:rPr>
            </w:pPr>
            <w:r>
              <w:rPr>
                <w:rFonts w:hint="eastAsia" w:eastAsia="仿宋"/>
                <w:sz w:val="24"/>
                <w:szCs w:val="24"/>
              </w:rPr>
              <w:t>/</w:t>
            </w:r>
          </w:p>
        </w:tc>
      </w:tr>
      <w:tr w14:paraId="0144B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5" w:type="pct"/>
            <w:gridSpan w:val="6"/>
            <w:vAlign w:val="center"/>
          </w:tcPr>
          <w:p w14:paraId="2FD95313">
            <w:pPr>
              <w:pStyle w:val="33"/>
              <w:spacing w:line="240" w:lineRule="auto"/>
              <w:ind w:firstLine="0" w:firstLineChars="0"/>
              <w:rPr>
                <w:rFonts w:eastAsia="仿宋"/>
                <w:sz w:val="24"/>
                <w:szCs w:val="24"/>
              </w:rPr>
            </w:pPr>
            <w:r>
              <w:rPr>
                <w:rFonts w:eastAsia="仿宋"/>
                <w:sz w:val="24"/>
                <w:szCs w:val="24"/>
              </w:rPr>
              <w:t>HW35废碱</w:t>
            </w:r>
          </w:p>
        </w:tc>
        <w:tc>
          <w:tcPr>
            <w:tcW w:w="327" w:type="pct"/>
            <w:gridSpan w:val="3"/>
            <w:vAlign w:val="center"/>
          </w:tcPr>
          <w:p w14:paraId="3DB040EB">
            <w:pPr>
              <w:pStyle w:val="33"/>
              <w:spacing w:line="240" w:lineRule="auto"/>
              <w:ind w:firstLine="0" w:firstLineChars="0"/>
              <w:jc w:val="right"/>
              <w:rPr>
                <w:rFonts w:eastAsia="仿宋"/>
                <w:sz w:val="24"/>
                <w:szCs w:val="24"/>
              </w:rPr>
            </w:pPr>
            <w:r>
              <w:rPr>
                <w:rFonts w:hint="eastAsia" w:eastAsia="仿宋"/>
                <w:sz w:val="24"/>
                <w:szCs w:val="24"/>
              </w:rPr>
              <w:t>0.35</w:t>
            </w:r>
          </w:p>
        </w:tc>
        <w:tc>
          <w:tcPr>
            <w:tcW w:w="322" w:type="pct"/>
            <w:gridSpan w:val="4"/>
            <w:vAlign w:val="center"/>
          </w:tcPr>
          <w:p w14:paraId="014500C8">
            <w:pPr>
              <w:pStyle w:val="33"/>
              <w:spacing w:line="240" w:lineRule="auto"/>
              <w:ind w:firstLine="0" w:firstLineChars="0"/>
              <w:jc w:val="right"/>
              <w:rPr>
                <w:rFonts w:eastAsia="仿宋"/>
                <w:sz w:val="24"/>
                <w:szCs w:val="24"/>
              </w:rPr>
            </w:pPr>
            <w:r>
              <w:rPr>
                <w:rFonts w:hint="eastAsia" w:eastAsia="仿宋"/>
                <w:sz w:val="24"/>
                <w:szCs w:val="24"/>
              </w:rPr>
              <w:t>0</w:t>
            </w:r>
          </w:p>
        </w:tc>
        <w:tc>
          <w:tcPr>
            <w:tcW w:w="466" w:type="pct"/>
            <w:gridSpan w:val="4"/>
            <w:vAlign w:val="center"/>
          </w:tcPr>
          <w:p w14:paraId="1173C88C">
            <w:pPr>
              <w:pStyle w:val="33"/>
              <w:spacing w:line="240" w:lineRule="auto"/>
              <w:ind w:firstLine="0" w:firstLineChars="0"/>
              <w:jc w:val="right"/>
              <w:rPr>
                <w:rFonts w:eastAsia="仿宋"/>
                <w:sz w:val="24"/>
                <w:szCs w:val="24"/>
              </w:rPr>
            </w:pPr>
            <w:r>
              <w:rPr>
                <w:rFonts w:hint="eastAsia" w:eastAsia="仿宋"/>
                <w:sz w:val="24"/>
                <w:szCs w:val="24"/>
              </w:rPr>
              <w:t>0.65</w:t>
            </w:r>
          </w:p>
        </w:tc>
        <w:tc>
          <w:tcPr>
            <w:tcW w:w="420" w:type="pct"/>
            <w:vAlign w:val="center"/>
          </w:tcPr>
          <w:p w14:paraId="15103F6E">
            <w:pPr>
              <w:pStyle w:val="33"/>
              <w:spacing w:line="240" w:lineRule="auto"/>
              <w:ind w:firstLine="0" w:firstLineChars="0"/>
              <w:jc w:val="right"/>
              <w:rPr>
                <w:rFonts w:eastAsia="仿宋"/>
                <w:sz w:val="24"/>
                <w:szCs w:val="24"/>
              </w:rPr>
            </w:pPr>
            <w:r>
              <w:rPr>
                <w:rFonts w:hint="eastAsia" w:eastAsia="仿宋"/>
                <w:sz w:val="24"/>
                <w:szCs w:val="24"/>
              </w:rPr>
              <w:t>0</w:t>
            </w:r>
          </w:p>
        </w:tc>
        <w:tc>
          <w:tcPr>
            <w:tcW w:w="384" w:type="pct"/>
            <w:gridSpan w:val="4"/>
            <w:vAlign w:val="center"/>
          </w:tcPr>
          <w:p w14:paraId="4C8B74BA">
            <w:pPr>
              <w:pStyle w:val="33"/>
              <w:spacing w:line="240" w:lineRule="auto"/>
              <w:ind w:firstLine="0" w:firstLineChars="0"/>
              <w:jc w:val="right"/>
              <w:rPr>
                <w:rFonts w:eastAsia="仿宋"/>
                <w:sz w:val="24"/>
                <w:szCs w:val="24"/>
              </w:rPr>
            </w:pPr>
            <w:r>
              <w:rPr>
                <w:rFonts w:hint="eastAsia" w:eastAsia="仿宋"/>
                <w:sz w:val="24"/>
                <w:szCs w:val="24"/>
              </w:rPr>
              <w:t>0</w:t>
            </w:r>
          </w:p>
        </w:tc>
        <w:tc>
          <w:tcPr>
            <w:tcW w:w="384" w:type="pct"/>
            <w:gridSpan w:val="3"/>
            <w:vAlign w:val="center"/>
          </w:tcPr>
          <w:p w14:paraId="2C085D99">
            <w:pPr>
              <w:pStyle w:val="33"/>
              <w:spacing w:line="240" w:lineRule="auto"/>
              <w:ind w:firstLine="0" w:firstLineChars="0"/>
              <w:jc w:val="right"/>
              <w:rPr>
                <w:rFonts w:eastAsia="仿宋"/>
                <w:sz w:val="24"/>
                <w:szCs w:val="24"/>
              </w:rPr>
            </w:pPr>
            <w:r>
              <w:rPr>
                <w:rFonts w:hint="eastAsia" w:eastAsia="仿宋"/>
                <w:sz w:val="24"/>
                <w:szCs w:val="24"/>
              </w:rPr>
              <w:t>1.00</w:t>
            </w:r>
          </w:p>
        </w:tc>
        <w:tc>
          <w:tcPr>
            <w:tcW w:w="316" w:type="pct"/>
            <w:gridSpan w:val="2"/>
            <w:vAlign w:val="center"/>
          </w:tcPr>
          <w:p w14:paraId="297E658C">
            <w:pPr>
              <w:pStyle w:val="33"/>
              <w:spacing w:line="240" w:lineRule="auto"/>
              <w:ind w:firstLine="0" w:firstLineChars="0"/>
              <w:rPr>
                <w:rFonts w:eastAsia="仿宋"/>
                <w:sz w:val="24"/>
                <w:szCs w:val="24"/>
              </w:rPr>
            </w:pPr>
            <w:r>
              <w:rPr>
                <w:rFonts w:hint="eastAsia" w:eastAsia="仿宋"/>
                <w:sz w:val="24"/>
                <w:szCs w:val="24"/>
              </w:rPr>
              <w:t>/</w:t>
            </w:r>
          </w:p>
        </w:tc>
        <w:tc>
          <w:tcPr>
            <w:tcW w:w="351" w:type="pct"/>
            <w:gridSpan w:val="2"/>
            <w:vAlign w:val="center"/>
          </w:tcPr>
          <w:p w14:paraId="56FEEB33">
            <w:pPr>
              <w:pStyle w:val="33"/>
              <w:spacing w:line="240" w:lineRule="auto"/>
              <w:ind w:firstLine="0" w:firstLineChars="0"/>
              <w:rPr>
                <w:rFonts w:eastAsia="仿宋"/>
                <w:sz w:val="24"/>
                <w:szCs w:val="24"/>
              </w:rPr>
            </w:pPr>
            <w:r>
              <w:rPr>
                <w:rFonts w:hint="eastAsia" w:eastAsia="仿宋"/>
                <w:sz w:val="24"/>
                <w:szCs w:val="24"/>
              </w:rPr>
              <w:t>100%</w:t>
            </w:r>
          </w:p>
        </w:tc>
        <w:tc>
          <w:tcPr>
            <w:tcW w:w="313" w:type="pct"/>
            <w:gridSpan w:val="3"/>
            <w:vAlign w:val="center"/>
          </w:tcPr>
          <w:p w14:paraId="19D020DE">
            <w:pPr>
              <w:pStyle w:val="33"/>
              <w:spacing w:line="240" w:lineRule="auto"/>
              <w:ind w:firstLine="0" w:firstLineChars="0"/>
              <w:rPr>
                <w:rFonts w:eastAsia="仿宋"/>
                <w:sz w:val="24"/>
                <w:szCs w:val="24"/>
              </w:rPr>
            </w:pPr>
            <w:r>
              <w:rPr>
                <w:rFonts w:hint="eastAsia" w:eastAsia="仿宋"/>
                <w:sz w:val="24"/>
                <w:szCs w:val="24"/>
              </w:rPr>
              <w:t>/</w:t>
            </w:r>
          </w:p>
        </w:tc>
        <w:tc>
          <w:tcPr>
            <w:tcW w:w="267" w:type="pct"/>
            <w:vAlign w:val="center"/>
          </w:tcPr>
          <w:p w14:paraId="16586123">
            <w:pPr>
              <w:pStyle w:val="33"/>
              <w:spacing w:line="240" w:lineRule="auto"/>
              <w:ind w:firstLine="0" w:firstLineChars="0"/>
              <w:rPr>
                <w:rFonts w:eastAsia="仿宋"/>
                <w:sz w:val="24"/>
                <w:szCs w:val="24"/>
              </w:rPr>
            </w:pPr>
            <w:r>
              <w:rPr>
                <w:rFonts w:hint="eastAsia" w:eastAsia="仿宋"/>
                <w:sz w:val="24"/>
                <w:szCs w:val="24"/>
              </w:rPr>
              <w:t>/</w:t>
            </w:r>
          </w:p>
        </w:tc>
      </w:tr>
      <w:tr w14:paraId="38687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5" w:type="pct"/>
            <w:gridSpan w:val="6"/>
            <w:vAlign w:val="center"/>
          </w:tcPr>
          <w:p w14:paraId="45E5A75D">
            <w:pPr>
              <w:pStyle w:val="33"/>
              <w:spacing w:line="240" w:lineRule="auto"/>
              <w:ind w:firstLine="0" w:firstLineChars="0"/>
              <w:rPr>
                <w:rFonts w:eastAsia="仿宋"/>
                <w:sz w:val="24"/>
                <w:szCs w:val="24"/>
              </w:rPr>
            </w:pPr>
            <w:r>
              <w:rPr>
                <w:rFonts w:eastAsia="仿宋"/>
                <w:sz w:val="24"/>
                <w:szCs w:val="24"/>
              </w:rPr>
              <w:t>HW37有机磷化合物废物</w:t>
            </w:r>
          </w:p>
        </w:tc>
        <w:tc>
          <w:tcPr>
            <w:tcW w:w="327" w:type="pct"/>
            <w:gridSpan w:val="3"/>
            <w:vAlign w:val="center"/>
          </w:tcPr>
          <w:p w14:paraId="40CEC0C9">
            <w:pPr>
              <w:pStyle w:val="33"/>
              <w:spacing w:line="240" w:lineRule="auto"/>
              <w:ind w:firstLine="0" w:firstLineChars="0"/>
              <w:jc w:val="right"/>
              <w:rPr>
                <w:rFonts w:eastAsia="仿宋"/>
                <w:sz w:val="24"/>
                <w:szCs w:val="24"/>
              </w:rPr>
            </w:pPr>
            <w:r>
              <w:rPr>
                <w:rFonts w:hint="eastAsia" w:eastAsia="仿宋"/>
                <w:sz w:val="24"/>
                <w:szCs w:val="24"/>
              </w:rPr>
              <w:t>0</w:t>
            </w:r>
          </w:p>
        </w:tc>
        <w:tc>
          <w:tcPr>
            <w:tcW w:w="322" w:type="pct"/>
            <w:gridSpan w:val="4"/>
            <w:vAlign w:val="center"/>
          </w:tcPr>
          <w:p w14:paraId="6936CFA2">
            <w:pPr>
              <w:pStyle w:val="33"/>
              <w:spacing w:line="240" w:lineRule="auto"/>
              <w:ind w:firstLine="0" w:firstLineChars="0"/>
              <w:jc w:val="right"/>
              <w:rPr>
                <w:rFonts w:eastAsia="仿宋"/>
                <w:sz w:val="24"/>
                <w:szCs w:val="24"/>
              </w:rPr>
            </w:pPr>
            <w:r>
              <w:rPr>
                <w:rFonts w:hint="eastAsia" w:eastAsia="仿宋"/>
                <w:sz w:val="24"/>
                <w:szCs w:val="24"/>
              </w:rPr>
              <w:t>0</w:t>
            </w:r>
          </w:p>
        </w:tc>
        <w:tc>
          <w:tcPr>
            <w:tcW w:w="466" w:type="pct"/>
            <w:gridSpan w:val="4"/>
            <w:vAlign w:val="center"/>
          </w:tcPr>
          <w:p w14:paraId="5C961593">
            <w:pPr>
              <w:pStyle w:val="33"/>
              <w:spacing w:line="240" w:lineRule="auto"/>
              <w:ind w:firstLine="0" w:firstLineChars="0"/>
              <w:jc w:val="right"/>
              <w:rPr>
                <w:rFonts w:eastAsia="仿宋"/>
                <w:sz w:val="24"/>
                <w:szCs w:val="24"/>
              </w:rPr>
            </w:pPr>
            <w:r>
              <w:rPr>
                <w:rFonts w:hint="eastAsia" w:eastAsia="仿宋"/>
                <w:sz w:val="24"/>
                <w:szCs w:val="24"/>
              </w:rPr>
              <w:t>104.98</w:t>
            </w:r>
          </w:p>
        </w:tc>
        <w:tc>
          <w:tcPr>
            <w:tcW w:w="420" w:type="pct"/>
            <w:vAlign w:val="center"/>
          </w:tcPr>
          <w:p w14:paraId="200EB665">
            <w:pPr>
              <w:pStyle w:val="33"/>
              <w:spacing w:line="240" w:lineRule="auto"/>
              <w:ind w:firstLine="0" w:firstLineChars="0"/>
              <w:jc w:val="right"/>
              <w:rPr>
                <w:rFonts w:eastAsia="仿宋"/>
                <w:sz w:val="24"/>
                <w:szCs w:val="24"/>
              </w:rPr>
            </w:pPr>
            <w:r>
              <w:rPr>
                <w:rFonts w:hint="eastAsia" w:eastAsia="仿宋"/>
                <w:sz w:val="24"/>
                <w:szCs w:val="24"/>
              </w:rPr>
              <w:t>0</w:t>
            </w:r>
          </w:p>
        </w:tc>
        <w:tc>
          <w:tcPr>
            <w:tcW w:w="384" w:type="pct"/>
            <w:gridSpan w:val="4"/>
            <w:vAlign w:val="center"/>
          </w:tcPr>
          <w:p w14:paraId="3CEC4905">
            <w:pPr>
              <w:pStyle w:val="33"/>
              <w:spacing w:line="240" w:lineRule="auto"/>
              <w:ind w:firstLine="0" w:firstLineChars="0"/>
              <w:jc w:val="right"/>
              <w:rPr>
                <w:rFonts w:eastAsia="仿宋"/>
                <w:sz w:val="24"/>
                <w:szCs w:val="24"/>
              </w:rPr>
            </w:pPr>
            <w:r>
              <w:rPr>
                <w:rFonts w:hint="eastAsia" w:eastAsia="仿宋"/>
                <w:sz w:val="24"/>
                <w:szCs w:val="24"/>
              </w:rPr>
              <w:t>0</w:t>
            </w:r>
          </w:p>
        </w:tc>
        <w:tc>
          <w:tcPr>
            <w:tcW w:w="384" w:type="pct"/>
            <w:gridSpan w:val="3"/>
            <w:vAlign w:val="center"/>
          </w:tcPr>
          <w:p w14:paraId="3B4C355E">
            <w:pPr>
              <w:pStyle w:val="33"/>
              <w:spacing w:line="240" w:lineRule="auto"/>
              <w:ind w:firstLine="0" w:firstLineChars="0"/>
              <w:jc w:val="right"/>
              <w:rPr>
                <w:rFonts w:eastAsia="仿宋"/>
                <w:sz w:val="24"/>
                <w:szCs w:val="24"/>
              </w:rPr>
            </w:pPr>
            <w:r>
              <w:rPr>
                <w:rFonts w:hint="eastAsia" w:eastAsia="仿宋"/>
                <w:sz w:val="24"/>
                <w:szCs w:val="24"/>
              </w:rPr>
              <w:t>104.98</w:t>
            </w:r>
          </w:p>
        </w:tc>
        <w:tc>
          <w:tcPr>
            <w:tcW w:w="316" w:type="pct"/>
            <w:gridSpan w:val="2"/>
            <w:vAlign w:val="center"/>
          </w:tcPr>
          <w:p w14:paraId="5FB0F077">
            <w:pPr>
              <w:pStyle w:val="33"/>
              <w:spacing w:line="240" w:lineRule="auto"/>
              <w:ind w:firstLine="0" w:firstLineChars="0"/>
              <w:rPr>
                <w:rFonts w:eastAsia="仿宋"/>
                <w:sz w:val="24"/>
                <w:szCs w:val="24"/>
              </w:rPr>
            </w:pPr>
            <w:r>
              <w:rPr>
                <w:rFonts w:hint="eastAsia" w:eastAsia="仿宋"/>
                <w:sz w:val="24"/>
                <w:szCs w:val="24"/>
              </w:rPr>
              <w:t>/</w:t>
            </w:r>
          </w:p>
        </w:tc>
        <w:tc>
          <w:tcPr>
            <w:tcW w:w="351" w:type="pct"/>
            <w:gridSpan w:val="2"/>
            <w:vAlign w:val="center"/>
          </w:tcPr>
          <w:p w14:paraId="64A59F4A">
            <w:pPr>
              <w:pStyle w:val="33"/>
              <w:spacing w:line="240" w:lineRule="auto"/>
              <w:ind w:firstLine="0" w:firstLineChars="0"/>
              <w:rPr>
                <w:rFonts w:eastAsia="仿宋"/>
                <w:sz w:val="24"/>
                <w:szCs w:val="24"/>
              </w:rPr>
            </w:pPr>
            <w:r>
              <w:rPr>
                <w:rFonts w:hint="eastAsia" w:eastAsia="仿宋"/>
                <w:sz w:val="24"/>
                <w:szCs w:val="24"/>
              </w:rPr>
              <w:t>/</w:t>
            </w:r>
          </w:p>
        </w:tc>
        <w:tc>
          <w:tcPr>
            <w:tcW w:w="313" w:type="pct"/>
            <w:gridSpan w:val="3"/>
            <w:vAlign w:val="center"/>
          </w:tcPr>
          <w:p w14:paraId="60E5A351">
            <w:pPr>
              <w:pStyle w:val="33"/>
              <w:spacing w:line="240" w:lineRule="auto"/>
              <w:ind w:firstLine="0" w:firstLineChars="0"/>
              <w:rPr>
                <w:rFonts w:eastAsia="仿宋"/>
                <w:sz w:val="24"/>
                <w:szCs w:val="24"/>
              </w:rPr>
            </w:pPr>
            <w:r>
              <w:rPr>
                <w:rFonts w:hint="eastAsia" w:eastAsia="仿宋"/>
                <w:sz w:val="24"/>
                <w:szCs w:val="24"/>
              </w:rPr>
              <w:t>100%</w:t>
            </w:r>
          </w:p>
        </w:tc>
        <w:tc>
          <w:tcPr>
            <w:tcW w:w="267" w:type="pct"/>
            <w:vAlign w:val="center"/>
          </w:tcPr>
          <w:p w14:paraId="5E70BC69">
            <w:pPr>
              <w:pStyle w:val="33"/>
              <w:spacing w:line="240" w:lineRule="auto"/>
              <w:ind w:firstLine="0" w:firstLineChars="0"/>
              <w:rPr>
                <w:rFonts w:eastAsia="仿宋"/>
                <w:sz w:val="24"/>
                <w:szCs w:val="24"/>
              </w:rPr>
            </w:pPr>
            <w:r>
              <w:rPr>
                <w:rFonts w:hint="eastAsia" w:eastAsia="仿宋"/>
                <w:sz w:val="24"/>
                <w:szCs w:val="24"/>
              </w:rPr>
              <w:t>/</w:t>
            </w:r>
          </w:p>
        </w:tc>
      </w:tr>
      <w:tr w14:paraId="10E51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5" w:type="pct"/>
            <w:gridSpan w:val="6"/>
            <w:vAlign w:val="center"/>
          </w:tcPr>
          <w:p w14:paraId="6506D8E2">
            <w:pPr>
              <w:pStyle w:val="33"/>
              <w:spacing w:line="240" w:lineRule="auto"/>
              <w:ind w:firstLine="0" w:firstLineChars="0"/>
              <w:rPr>
                <w:rFonts w:eastAsia="仿宋"/>
                <w:sz w:val="24"/>
                <w:szCs w:val="24"/>
              </w:rPr>
            </w:pPr>
            <w:r>
              <w:rPr>
                <w:rFonts w:eastAsia="仿宋"/>
                <w:sz w:val="24"/>
                <w:szCs w:val="24"/>
              </w:rPr>
              <w:t>HW39含酚废物</w:t>
            </w:r>
          </w:p>
        </w:tc>
        <w:tc>
          <w:tcPr>
            <w:tcW w:w="327" w:type="pct"/>
            <w:gridSpan w:val="3"/>
            <w:vAlign w:val="center"/>
          </w:tcPr>
          <w:p w14:paraId="798E376F">
            <w:pPr>
              <w:pStyle w:val="33"/>
              <w:spacing w:line="240" w:lineRule="auto"/>
              <w:ind w:firstLine="0" w:firstLineChars="0"/>
              <w:jc w:val="right"/>
              <w:rPr>
                <w:rFonts w:eastAsia="仿宋"/>
                <w:sz w:val="24"/>
                <w:szCs w:val="24"/>
              </w:rPr>
            </w:pPr>
            <w:r>
              <w:rPr>
                <w:rFonts w:hint="eastAsia" w:eastAsia="仿宋"/>
                <w:sz w:val="24"/>
                <w:szCs w:val="24"/>
              </w:rPr>
              <w:t>14.2</w:t>
            </w:r>
          </w:p>
        </w:tc>
        <w:tc>
          <w:tcPr>
            <w:tcW w:w="322" w:type="pct"/>
            <w:gridSpan w:val="4"/>
            <w:vAlign w:val="center"/>
          </w:tcPr>
          <w:p w14:paraId="5BB0D031">
            <w:pPr>
              <w:pStyle w:val="33"/>
              <w:spacing w:line="240" w:lineRule="auto"/>
              <w:ind w:firstLine="0" w:firstLineChars="0"/>
              <w:jc w:val="right"/>
              <w:rPr>
                <w:rFonts w:eastAsia="仿宋"/>
                <w:sz w:val="24"/>
                <w:szCs w:val="24"/>
              </w:rPr>
            </w:pPr>
            <w:r>
              <w:rPr>
                <w:rFonts w:hint="eastAsia" w:eastAsia="仿宋"/>
                <w:sz w:val="24"/>
                <w:szCs w:val="24"/>
              </w:rPr>
              <w:t>28.4</w:t>
            </w:r>
          </w:p>
        </w:tc>
        <w:tc>
          <w:tcPr>
            <w:tcW w:w="466" w:type="pct"/>
            <w:gridSpan w:val="4"/>
            <w:vAlign w:val="center"/>
          </w:tcPr>
          <w:p w14:paraId="2C68AEA8">
            <w:pPr>
              <w:pStyle w:val="33"/>
              <w:spacing w:line="240" w:lineRule="auto"/>
              <w:ind w:firstLine="0" w:firstLineChars="0"/>
              <w:jc w:val="right"/>
              <w:rPr>
                <w:rFonts w:eastAsia="仿宋"/>
                <w:sz w:val="24"/>
                <w:szCs w:val="24"/>
              </w:rPr>
            </w:pPr>
            <w:r>
              <w:rPr>
                <w:rFonts w:hint="eastAsia" w:eastAsia="仿宋"/>
                <w:sz w:val="24"/>
                <w:szCs w:val="24"/>
              </w:rPr>
              <w:t>16078.32</w:t>
            </w:r>
          </w:p>
        </w:tc>
        <w:tc>
          <w:tcPr>
            <w:tcW w:w="420" w:type="pct"/>
            <w:vAlign w:val="center"/>
          </w:tcPr>
          <w:p w14:paraId="1AF8E207">
            <w:pPr>
              <w:pStyle w:val="33"/>
              <w:spacing w:line="240" w:lineRule="auto"/>
              <w:ind w:firstLine="0" w:firstLineChars="0"/>
              <w:jc w:val="right"/>
              <w:rPr>
                <w:rFonts w:eastAsia="仿宋"/>
                <w:sz w:val="24"/>
                <w:szCs w:val="24"/>
              </w:rPr>
            </w:pPr>
            <w:r>
              <w:rPr>
                <w:rFonts w:hint="eastAsia" w:eastAsia="仿宋"/>
                <w:sz w:val="24"/>
                <w:szCs w:val="24"/>
              </w:rPr>
              <w:t>16064.12</w:t>
            </w:r>
          </w:p>
        </w:tc>
        <w:tc>
          <w:tcPr>
            <w:tcW w:w="384" w:type="pct"/>
            <w:gridSpan w:val="4"/>
            <w:vAlign w:val="center"/>
          </w:tcPr>
          <w:p w14:paraId="2F7CF717">
            <w:pPr>
              <w:pStyle w:val="33"/>
              <w:spacing w:line="240" w:lineRule="auto"/>
              <w:ind w:firstLine="0" w:firstLineChars="0"/>
              <w:jc w:val="right"/>
              <w:rPr>
                <w:rFonts w:eastAsia="仿宋"/>
                <w:sz w:val="24"/>
                <w:szCs w:val="24"/>
              </w:rPr>
            </w:pPr>
            <w:r>
              <w:rPr>
                <w:rFonts w:hint="eastAsia" w:eastAsia="仿宋"/>
                <w:sz w:val="24"/>
                <w:szCs w:val="24"/>
              </w:rPr>
              <w:t>0</w:t>
            </w:r>
          </w:p>
        </w:tc>
        <w:tc>
          <w:tcPr>
            <w:tcW w:w="384" w:type="pct"/>
            <w:gridSpan w:val="3"/>
            <w:vAlign w:val="center"/>
          </w:tcPr>
          <w:p w14:paraId="24B319A0">
            <w:pPr>
              <w:pStyle w:val="33"/>
              <w:spacing w:line="240" w:lineRule="auto"/>
              <w:ind w:firstLine="0" w:firstLineChars="0"/>
              <w:jc w:val="right"/>
              <w:rPr>
                <w:rFonts w:eastAsia="仿宋"/>
                <w:sz w:val="24"/>
                <w:szCs w:val="24"/>
              </w:rPr>
            </w:pPr>
            <w:r>
              <w:rPr>
                <w:rFonts w:hint="eastAsia" w:eastAsia="仿宋"/>
                <w:sz w:val="24"/>
                <w:szCs w:val="24"/>
              </w:rPr>
              <w:t>0</w:t>
            </w:r>
          </w:p>
        </w:tc>
        <w:tc>
          <w:tcPr>
            <w:tcW w:w="316" w:type="pct"/>
            <w:gridSpan w:val="2"/>
            <w:vAlign w:val="center"/>
          </w:tcPr>
          <w:p w14:paraId="412E311B">
            <w:pPr>
              <w:pStyle w:val="33"/>
              <w:spacing w:line="240" w:lineRule="auto"/>
              <w:ind w:firstLine="0" w:firstLineChars="0"/>
              <w:rPr>
                <w:rFonts w:eastAsia="仿宋"/>
                <w:sz w:val="24"/>
                <w:szCs w:val="24"/>
              </w:rPr>
            </w:pPr>
            <w:r>
              <w:rPr>
                <w:rFonts w:hint="eastAsia" w:eastAsia="仿宋"/>
                <w:sz w:val="24"/>
                <w:szCs w:val="24"/>
              </w:rPr>
              <w:t>100%</w:t>
            </w:r>
          </w:p>
        </w:tc>
        <w:tc>
          <w:tcPr>
            <w:tcW w:w="351" w:type="pct"/>
            <w:gridSpan w:val="2"/>
            <w:vAlign w:val="center"/>
          </w:tcPr>
          <w:p w14:paraId="4509B868">
            <w:pPr>
              <w:pStyle w:val="33"/>
              <w:spacing w:line="240" w:lineRule="auto"/>
              <w:ind w:firstLine="0" w:firstLineChars="0"/>
              <w:rPr>
                <w:rFonts w:eastAsia="仿宋"/>
                <w:sz w:val="24"/>
                <w:szCs w:val="24"/>
              </w:rPr>
            </w:pPr>
            <w:r>
              <w:rPr>
                <w:rFonts w:hint="eastAsia" w:eastAsia="仿宋"/>
                <w:sz w:val="24"/>
                <w:szCs w:val="24"/>
              </w:rPr>
              <w:t>/</w:t>
            </w:r>
          </w:p>
        </w:tc>
        <w:tc>
          <w:tcPr>
            <w:tcW w:w="313" w:type="pct"/>
            <w:gridSpan w:val="3"/>
            <w:vAlign w:val="center"/>
          </w:tcPr>
          <w:p w14:paraId="2248CA88">
            <w:pPr>
              <w:pStyle w:val="33"/>
              <w:spacing w:line="240" w:lineRule="auto"/>
              <w:ind w:firstLine="0" w:firstLineChars="0"/>
              <w:rPr>
                <w:rFonts w:eastAsia="仿宋"/>
                <w:sz w:val="24"/>
                <w:szCs w:val="24"/>
              </w:rPr>
            </w:pPr>
            <w:r>
              <w:rPr>
                <w:rFonts w:hint="eastAsia" w:eastAsia="仿宋"/>
                <w:sz w:val="24"/>
                <w:szCs w:val="24"/>
              </w:rPr>
              <w:t>/</w:t>
            </w:r>
          </w:p>
        </w:tc>
        <w:tc>
          <w:tcPr>
            <w:tcW w:w="267" w:type="pct"/>
            <w:vAlign w:val="center"/>
          </w:tcPr>
          <w:p w14:paraId="3DE93579">
            <w:pPr>
              <w:pStyle w:val="33"/>
              <w:spacing w:line="240" w:lineRule="auto"/>
              <w:ind w:firstLine="0" w:firstLineChars="0"/>
              <w:rPr>
                <w:rFonts w:eastAsia="仿宋"/>
                <w:sz w:val="24"/>
                <w:szCs w:val="24"/>
              </w:rPr>
            </w:pPr>
            <w:r>
              <w:rPr>
                <w:rFonts w:hint="eastAsia" w:eastAsia="仿宋"/>
                <w:sz w:val="24"/>
                <w:szCs w:val="24"/>
              </w:rPr>
              <w:t>/</w:t>
            </w:r>
          </w:p>
        </w:tc>
      </w:tr>
      <w:tr w14:paraId="0B65B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5" w:type="pct"/>
            <w:gridSpan w:val="6"/>
            <w:vAlign w:val="center"/>
          </w:tcPr>
          <w:p w14:paraId="66F15657">
            <w:pPr>
              <w:pStyle w:val="33"/>
              <w:spacing w:line="240" w:lineRule="auto"/>
              <w:ind w:firstLine="0" w:firstLineChars="0"/>
              <w:rPr>
                <w:rFonts w:eastAsia="仿宋"/>
                <w:sz w:val="24"/>
                <w:szCs w:val="24"/>
              </w:rPr>
            </w:pPr>
            <w:r>
              <w:rPr>
                <w:rFonts w:eastAsia="仿宋"/>
                <w:sz w:val="24"/>
                <w:szCs w:val="24"/>
              </w:rPr>
              <w:t>HW45含有机卤化物废物</w:t>
            </w:r>
          </w:p>
        </w:tc>
        <w:tc>
          <w:tcPr>
            <w:tcW w:w="327" w:type="pct"/>
            <w:gridSpan w:val="3"/>
            <w:vAlign w:val="center"/>
          </w:tcPr>
          <w:p w14:paraId="603F757E">
            <w:pPr>
              <w:pStyle w:val="33"/>
              <w:spacing w:line="240" w:lineRule="auto"/>
              <w:ind w:firstLine="0" w:firstLineChars="0"/>
              <w:jc w:val="right"/>
              <w:rPr>
                <w:rFonts w:eastAsia="仿宋"/>
                <w:sz w:val="24"/>
                <w:szCs w:val="24"/>
              </w:rPr>
            </w:pPr>
            <w:r>
              <w:rPr>
                <w:rFonts w:hint="eastAsia" w:eastAsia="仿宋"/>
                <w:sz w:val="24"/>
                <w:szCs w:val="24"/>
              </w:rPr>
              <w:t>4.66</w:t>
            </w:r>
          </w:p>
        </w:tc>
        <w:tc>
          <w:tcPr>
            <w:tcW w:w="322" w:type="pct"/>
            <w:gridSpan w:val="4"/>
            <w:vAlign w:val="center"/>
          </w:tcPr>
          <w:p w14:paraId="140946FB">
            <w:pPr>
              <w:pStyle w:val="33"/>
              <w:spacing w:line="240" w:lineRule="auto"/>
              <w:ind w:firstLine="0" w:firstLineChars="0"/>
              <w:jc w:val="right"/>
              <w:rPr>
                <w:rFonts w:eastAsia="仿宋"/>
                <w:sz w:val="24"/>
                <w:szCs w:val="24"/>
              </w:rPr>
            </w:pPr>
            <w:r>
              <w:rPr>
                <w:rFonts w:hint="eastAsia" w:eastAsia="仿宋"/>
                <w:sz w:val="24"/>
                <w:szCs w:val="24"/>
              </w:rPr>
              <w:t>0</w:t>
            </w:r>
          </w:p>
        </w:tc>
        <w:tc>
          <w:tcPr>
            <w:tcW w:w="466" w:type="pct"/>
            <w:gridSpan w:val="4"/>
            <w:vAlign w:val="center"/>
          </w:tcPr>
          <w:p w14:paraId="129C0999">
            <w:pPr>
              <w:pStyle w:val="33"/>
              <w:spacing w:line="240" w:lineRule="auto"/>
              <w:ind w:firstLine="0" w:firstLineChars="0"/>
              <w:jc w:val="right"/>
              <w:rPr>
                <w:rFonts w:eastAsia="仿宋"/>
                <w:sz w:val="24"/>
                <w:szCs w:val="24"/>
              </w:rPr>
            </w:pPr>
            <w:r>
              <w:rPr>
                <w:rFonts w:hint="eastAsia" w:eastAsia="仿宋"/>
                <w:sz w:val="24"/>
                <w:szCs w:val="24"/>
              </w:rPr>
              <w:t>831.71</w:t>
            </w:r>
          </w:p>
        </w:tc>
        <w:tc>
          <w:tcPr>
            <w:tcW w:w="420" w:type="pct"/>
            <w:vAlign w:val="center"/>
          </w:tcPr>
          <w:p w14:paraId="4075C450">
            <w:pPr>
              <w:pStyle w:val="33"/>
              <w:spacing w:line="240" w:lineRule="auto"/>
              <w:ind w:firstLine="0" w:firstLineChars="0"/>
              <w:jc w:val="right"/>
              <w:rPr>
                <w:rFonts w:eastAsia="仿宋"/>
                <w:sz w:val="24"/>
                <w:szCs w:val="24"/>
              </w:rPr>
            </w:pPr>
            <w:r>
              <w:rPr>
                <w:rFonts w:hint="eastAsia" w:eastAsia="仿宋"/>
                <w:sz w:val="24"/>
                <w:szCs w:val="24"/>
              </w:rPr>
              <w:t>275.87</w:t>
            </w:r>
          </w:p>
        </w:tc>
        <w:tc>
          <w:tcPr>
            <w:tcW w:w="384" w:type="pct"/>
            <w:gridSpan w:val="4"/>
            <w:vAlign w:val="center"/>
          </w:tcPr>
          <w:p w14:paraId="3318BCA0">
            <w:pPr>
              <w:pStyle w:val="33"/>
              <w:spacing w:line="240" w:lineRule="auto"/>
              <w:ind w:firstLine="0" w:firstLineChars="0"/>
              <w:jc w:val="right"/>
              <w:rPr>
                <w:rFonts w:eastAsia="仿宋"/>
                <w:sz w:val="24"/>
                <w:szCs w:val="24"/>
              </w:rPr>
            </w:pPr>
            <w:r>
              <w:rPr>
                <w:rFonts w:hint="eastAsia" w:eastAsia="仿宋"/>
                <w:sz w:val="24"/>
                <w:szCs w:val="24"/>
              </w:rPr>
              <w:t>0</w:t>
            </w:r>
          </w:p>
        </w:tc>
        <w:tc>
          <w:tcPr>
            <w:tcW w:w="384" w:type="pct"/>
            <w:gridSpan w:val="3"/>
            <w:vAlign w:val="center"/>
          </w:tcPr>
          <w:p w14:paraId="1D1F49A6">
            <w:pPr>
              <w:pStyle w:val="33"/>
              <w:spacing w:line="240" w:lineRule="auto"/>
              <w:ind w:firstLine="0" w:firstLineChars="0"/>
              <w:jc w:val="right"/>
              <w:rPr>
                <w:rFonts w:eastAsia="仿宋"/>
                <w:sz w:val="24"/>
                <w:szCs w:val="24"/>
              </w:rPr>
            </w:pPr>
            <w:r>
              <w:rPr>
                <w:rFonts w:hint="eastAsia" w:eastAsia="仿宋"/>
                <w:sz w:val="24"/>
                <w:szCs w:val="24"/>
              </w:rPr>
              <w:t>560.50</w:t>
            </w:r>
          </w:p>
        </w:tc>
        <w:tc>
          <w:tcPr>
            <w:tcW w:w="316" w:type="pct"/>
            <w:gridSpan w:val="2"/>
            <w:vAlign w:val="center"/>
          </w:tcPr>
          <w:p w14:paraId="1738AB34">
            <w:pPr>
              <w:pStyle w:val="33"/>
              <w:spacing w:line="240" w:lineRule="auto"/>
              <w:ind w:firstLine="0" w:firstLineChars="0"/>
              <w:rPr>
                <w:rFonts w:eastAsia="仿宋"/>
                <w:sz w:val="24"/>
                <w:szCs w:val="24"/>
              </w:rPr>
            </w:pPr>
            <w:r>
              <w:rPr>
                <w:rFonts w:hint="eastAsia" w:eastAsia="仿宋"/>
                <w:sz w:val="24"/>
                <w:szCs w:val="24"/>
              </w:rPr>
              <w:t>100%</w:t>
            </w:r>
          </w:p>
        </w:tc>
        <w:tc>
          <w:tcPr>
            <w:tcW w:w="351" w:type="pct"/>
            <w:gridSpan w:val="2"/>
            <w:vAlign w:val="center"/>
          </w:tcPr>
          <w:p w14:paraId="1B006638">
            <w:pPr>
              <w:pStyle w:val="33"/>
              <w:spacing w:line="240" w:lineRule="auto"/>
              <w:ind w:firstLine="0" w:firstLineChars="0"/>
              <w:rPr>
                <w:rFonts w:eastAsia="仿宋"/>
                <w:sz w:val="24"/>
                <w:szCs w:val="24"/>
              </w:rPr>
            </w:pPr>
            <w:r>
              <w:rPr>
                <w:rFonts w:hint="eastAsia" w:eastAsia="仿宋"/>
                <w:sz w:val="24"/>
                <w:szCs w:val="24"/>
              </w:rPr>
              <w:t>/</w:t>
            </w:r>
          </w:p>
        </w:tc>
        <w:tc>
          <w:tcPr>
            <w:tcW w:w="313" w:type="pct"/>
            <w:gridSpan w:val="3"/>
            <w:vAlign w:val="center"/>
          </w:tcPr>
          <w:p w14:paraId="0A7CBFA9">
            <w:pPr>
              <w:pStyle w:val="33"/>
              <w:spacing w:line="240" w:lineRule="auto"/>
              <w:ind w:firstLine="0" w:firstLineChars="0"/>
              <w:rPr>
                <w:rFonts w:eastAsia="仿宋"/>
                <w:sz w:val="24"/>
                <w:szCs w:val="24"/>
              </w:rPr>
            </w:pPr>
            <w:r>
              <w:rPr>
                <w:rFonts w:hint="eastAsia" w:eastAsia="仿宋"/>
                <w:sz w:val="24"/>
                <w:szCs w:val="24"/>
              </w:rPr>
              <w:t>/</w:t>
            </w:r>
          </w:p>
        </w:tc>
        <w:tc>
          <w:tcPr>
            <w:tcW w:w="267" w:type="pct"/>
            <w:vAlign w:val="center"/>
          </w:tcPr>
          <w:p w14:paraId="1E0EFBFF">
            <w:pPr>
              <w:pStyle w:val="33"/>
              <w:spacing w:line="240" w:lineRule="auto"/>
              <w:ind w:firstLine="0" w:firstLineChars="0"/>
              <w:rPr>
                <w:rFonts w:eastAsia="仿宋"/>
                <w:sz w:val="24"/>
                <w:szCs w:val="24"/>
              </w:rPr>
            </w:pPr>
            <w:r>
              <w:rPr>
                <w:rFonts w:hint="eastAsia" w:eastAsia="仿宋"/>
                <w:sz w:val="24"/>
                <w:szCs w:val="24"/>
              </w:rPr>
              <w:t>/</w:t>
            </w:r>
          </w:p>
        </w:tc>
      </w:tr>
      <w:tr w14:paraId="6FFD9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5" w:type="pct"/>
            <w:gridSpan w:val="6"/>
            <w:vAlign w:val="center"/>
          </w:tcPr>
          <w:p w14:paraId="7B3099A6">
            <w:pPr>
              <w:pStyle w:val="33"/>
              <w:spacing w:line="240" w:lineRule="auto"/>
              <w:ind w:firstLine="0" w:firstLineChars="0"/>
              <w:rPr>
                <w:rFonts w:eastAsia="仿宋"/>
                <w:sz w:val="24"/>
                <w:szCs w:val="24"/>
              </w:rPr>
            </w:pPr>
            <w:r>
              <w:rPr>
                <w:rFonts w:eastAsia="仿宋"/>
                <w:sz w:val="24"/>
                <w:szCs w:val="24"/>
              </w:rPr>
              <w:t>HW46含镍废物</w:t>
            </w:r>
          </w:p>
        </w:tc>
        <w:tc>
          <w:tcPr>
            <w:tcW w:w="327" w:type="pct"/>
            <w:gridSpan w:val="3"/>
            <w:vAlign w:val="center"/>
          </w:tcPr>
          <w:p w14:paraId="519F1AF7">
            <w:pPr>
              <w:pStyle w:val="33"/>
              <w:spacing w:line="240" w:lineRule="auto"/>
              <w:ind w:firstLine="0" w:firstLineChars="0"/>
              <w:jc w:val="right"/>
              <w:rPr>
                <w:rFonts w:eastAsia="仿宋"/>
                <w:sz w:val="24"/>
                <w:szCs w:val="24"/>
              </w:rPr>
            </w:pPr>
            <w:r>
              <w:rPr>
                <w:rFonts w:hint="eastAsia" w:eastAsia="仿宋"/>
                <w:sz w:val="24"/>
                <w:szCs w:val="24"/>
              </w:rPr>
              <w:t>1.23</w:t>
            </w:r>
          </w:p>
        </w:tc>
        <w:tc>
          <w:tcPr>
            <w:tcW w:w="322" w:type="pct"/>
            <w:gridSpan w:val="4"/>
            <w:vAlign w:val="center"/>
          </w:tcPr>
          <w:p w14:paraId="7E3074B5">
            <w:pPr>
              <w:pStyle w:val="33"/>
              <w:spacing w:line="240" w:lineRule="auto"/>
              <w:ind w:firstLine="0" w:firstLineChars="0"/>
              <w:jc w:val="right"/>
              <w:rPr>
                <w:rFonts w:eastAsia="仿宋"/>
                <w:sz w:val="24"/>
                <w:szCs w:val="24"/>
              </w:rPr>
            </w:pPr>
            <w:r>
              <w:rPr>
                <w:rFonts w:hint="eastAsia" w:eastAsia="仿宋"/>
                <w:sz w:val="24"/>
                <w:szCs w:val="24"/>
              </w:rPr>
              <w:t>1.02</w:t>
            </w:r>
          </w:p>
        </w:tc>
        <w:tc>
          <w:tcPr>
            <w:tcW w:w="466" w:type="pct"/>
            <w:gridSpan w:val="4"/>
            <w:vAlign w:val="center"/>
          </w:tcPr>
          <w:p w14:paraId="6BBA09ED">
            <w:pPr>
              <w:pStyle w:val="33"/>
              <w:spacing w:line="240" w:lineRule="auto"/>
              <w:ind w:firstLine="0" w:firstLineChars="0"/>
              <w:jc w:val="right"/>
              <w:rPr>
                <w:rFonts w:eastAsia="仿宋"/>
                <w:sz w:val="24"/>
                <w:szCs w:val="24"/>
              </w:rPr>
            </w:pPr>
            <w:r>
              <w:rPr>
                <w:rFonts w:hint="eastAsia" w:eastAsia="仿宋"/>
                <w:sz w:val="24"/>
                <w:szCs w:val="24"/>
              </w:rPr>
              <w:t>87.76</w:t>
            </w:r>
          </w:p>
        </w:tc>
        <w:tc>
          <w:tcPr>
            <w:tcW w:w="420" w:type="pct"/>
            <w:vAlign w:val="center"/>
          </w:tcPr>
          <w:p w14:paraId="554F4477">
            <w:pPr>
              <w:pStyle w:val="33"/>
              <w:spacing w:line="240" w:lineRule="auto"/>
              <w:ind w:firstLine="0" w:firstLineChars="0"/>
              <w:jc w:val="right"/>
              <w:rPr>
                <w:rFonts w:eastAsia="仿宋"/>
                <w:sz w:val="24"/>
                <w:szCs w:val="24"/>
              </w:rPr>
            </w:pPr>
            <w:r>
              <w:rPr>
                <w:rFonts w:hint="eastAsia" w:eastAsia="仿宋"/>
                <w:sz w:val="24"/>
                <w:szCs w:val="24"/>
              </w:rPr>
              <w:t>0</w:t>
            </w:r>
          </w:p>
        </w:tc>
        <w:tc>
          <w:tcPr>
            <w:tcW w:w="384" w:type="pct"/>
            <w:gridSpan w:val="4"/>
            <w:vAlign w:val="center"/>
          </w:tcPr>
          <w:p w14:paraId="3D382117">
            <w:pPr>
              <w:pStyle w:val="33"/>
              <w:spacing w:line="240" w:lineRule="auto"/>
              <w:ind w:firstLine="0" w:firstLineChars="0"/>
              <w:jc w:val="right"/>
              <w:rPr>
                <w:rFonts w:eastAsia="仿宋"/>
                <w:sz w:val="24"/>
                <w:szCs w:val="24"/>
              </w:rPr>
            </w:pPr>
            <w:r>
              <w:rPr>
                <w:rFonts w:hint="eastAsia" w:eastAsia="仿宋"/>
                <w:sz w:val="24"/>
                <w:szCs w:val="24"/>
              </w:rPr>
              <w:t>87.97</w:t>
            </w:r>
          </w:p>
        </w:tc>
        <w:tc>
          <w:tcPr>
            <w:tcW w:w="384" w:type="pct"/>
            <w:gridSpan w:val="3"/>
            <w:vAlign w:val="center"/>
          </w:tcPr>
          <w:p w14:paraId="248DB48F">
            <w:pPr>
              <w:pStyle w:val="33"/>
              <w:spacing w:line="240" w:lineRule="auto"/>
              <w:ind w:firstLine="0" w:firstLineChars="0"/>
              <w:jc w:val="right"/>
              <w:rPr>
                <w:rFonts w:eastAsia="仿宋"/>
                <w:sz w:val="24"/>
                <w:szCs w:val="24"/>
              </w:rPr>
            </w:pPr>
            <w:r>
              <w:rPr>
                <w:rFonts w:hint="eastAsia" w:eastAsia="仿宋"/>
                <w:sz w:val="24"/>
                <w:szCs w:val="24"/>
              </w:rPr>
              <w:t>0</w:t>
            </w:r>
          </w:p>
        </w:tc>
        <w:tc>
          <w:tcPr>
            <w:tcW w:w="316" w:type="pct"/>
            <w:gridSpan w:val="2"/>
            <w:vAlign w:val="center"/>
          </w:tcPr>
          <w:p w14:paraId="3ECFCD07">
            <w:pPr>
              <w:pStyle w:val="33"/>
              <w:spacing w:line="240" w:lineRule="auto"/>
              <w:ind w:firstLine="0" w:firstLineChars="0"/>
              <w:rPr>
                <w:rFonts w:eastAsia="仿宋"/>
                <w:sz w:val="24"/>
                <w:szCs w:val="24"/>
              </w:rPr>
            </w:pPr>
            <w:r>
              <w:rPr>
                <w:rFonts w:hint="eastAsia" w:eastAsia="仿宋"/>
                <w:sz w:val="24"/>
                <w:szCs w:val="24"/>
              </w:rPr>
              <w:t>/</w:t>
            </w:r>
          </w:p>
        </w:tc>
        <w:tc>
          <w:tcPr>
            <w:tcW w:w="351" w:type="pct"/>
            <w:gridSpan w:val="2"/>
            <w:vAlign w:val="center"/>
          </w:tcPr>
          <w:p w14:paraId="0CB0BA36">
            <w:pPr>
              <w:pStyle w:val="33"/>
              <w:spacing w:line="240" w:lineRule="auto"/>
              <w:ind w:firstLine="0" w:firstLineChars="0"/>
              <w:rPr>
                <w:rFonts w:eastAsia="仿宋"/>
                <w:sz w:val="24"/>
                <w:szCs w:val="24"/>
              </w:rPr>
            </w:pPr>
            <w:r>
              <w:rPr>
                <w:rFonts w:hint="eastAsia" w:eastAsia="仿宋"/>
                <w:sz w:val="24"/>
                <w:szCs w:val="24"/>
              </w:rPr>
              <w:t>/</w:t>
            </w:r>
          </w:p>
        </w:tc>
        <w:tc>
          <w:tcPr>
            <w:tcW w:w="313" w:type="pct"/>
            <w:gridSpan w:val="3"/>
            <w:vAlign w:val="center"/>
          </w:tcPr>
          <w:p w14:paraId="0BB8E369">
            <w:pPr>
              <w:pStyle w:val="33"/>
              <w:spacing w:line="240" w:lineRule="auto"/>
              <w:ind w:firstLine="0" w:firstLineChars="0"/>
              <w:rPr>
                <w:rFonts w:eastAsia="仿宋"/>
                <w:sz w:val="24"/>
                <w:szCs w:val="24"/>
              </w:rPr>
            </w:pPr>
            <w:r>
              <w:rPr>
                <w:rFonts w:hint="eastAsia" w:eastAsia="仿宋"/>
                <w:sz w:val="24"/>
                <w:szCs w:val="24"/>
              </w:rPr>
              <w:t>100%</w:t>
            </w:r>
          </w:p>
        </w:tc>
        <w:tc>
          <w:tcPr>
            <w:tcW w:w="267" w:type="pct"/>
            <w:vAlign w:val="center"/>
          </w:tcPr>
          <w:p w14:paraId="44FCE076">
            <w:pPr>
              <w:pStyle w:val="33"/>
              <w:spacing w:line="240" w:lineRule="auto"/>
              <w:ind w:firstLine="0" w:firstLineChars="0"/>
              <w:rPr>
                <w:rFonts w:eastAsia="仿宋"/>
                <w:sz w:val="24"/>
                <w:szCs w:val="24"/>
              </w:rPr>
            </w:pPr>
            <w:r>
              <w:rPr>
                <w:rFonts w:hint="eastAsia" w:eastAsia="仿宋"/>
                <w:sz w:val="24"/>
                <w:szCs w:val="24"/>
              </w:rPr>
              <w:t>/</w:t>
            </w:r>
          </w:p>
        </w:tc>
      </w:tr>
      <w:tr w14:paraId="73C9E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5" w:type="pct"/>
            <w:gridSpan w:val="6"/>
            <w:vAlign w:val="center"/>
          </w:tcPr>
          <w:p w14:paraId="7B763869">
            <w:pPr>
              <w:pStyle w:val="33"/>
              <w:spacing w:line="240" w:lineRule="auto"/>
              <w:ind w:firstLine="0" w:firstLineChars="0"/>
              <w:rPr>
                <w:rFonts w:eastAsia="仿宋"/>
                <w:sz w:val="24"/>
                <w:szCs w:val="24"/>
              </w:rPr>
            </w:pPr>
            <w:r>
              <w:rPr>
                <w:rFonts w:eastAsia="仿宋"/>
                <w:sz w:val="24"/>
                <w:szCs w:val="24"/>
              </w:rPr>
              <w:t>HW49其他废物</w:t>
            </w:r>
          </w:p>
        </w:tc>
        <w:tc>
          <w:tcPr>
            <w:tcW w:w="327" w:type="pct"/>
            <w:gridSpan w:val="3"/>
            <w:vAlign w:val="center"/>
          </w:tcPr>
          <w:p w14:paraId="4CFD368C">
            <w:pPr>
              <w:pStyle w:val="33"/>
              <w:spacing w:line="240" w:lineRule="auto"/>
              <w:ind w:firstLine="0" w:firstLineChars="0"/>
              <w:jc w:val="right"/>
              <w:rPr>
                <w:rFonts w:eastAsia="仿宋"/>
                <w:sz w:val="24"/>
                <w:szCs w:val="24"/>
              </w:rPr>
            </w:pPr>
            <w:r>
              <w:rPr>
                <w:rFonts w:hint="eastAsia" w:eastAsia="仿宋"/>
                <w:sz w:val="24"/>
                <w:szCs w:val="24"/>
              </w:rPr>
              <w:t>3.14</w:t>
            </w:r>
          </w:p>
        </w:tc>
        <w:tc>
          <w:tcPr>
            <w:tcW w:w="322" w:type="pct"/>
            <w:gridSpan w:val="4"/>
            <w:vAlign w:val="center"/>
          </w:tcPr>
          <w:p w14:paraId="38DA6905">
            <w:pPr>
              <w:pStyle w:val="33"/>
              <w:spacing w:line="240" w:lineRule="auto"/>
              <w:ind w:firstLine="0" w:firstLineChars="0"/>
              <w:jc w:val="right"/>
              <w:rPr>
                <w:rFonts w:eastAsia="仿宋"/>
                <w:sz w:val="24"/>
                <w:szCs w:val="24"/>
              </w:rPr>
            </w:pPr>
            <w:r>
              <w:rPr>
                <w:rFonts w:hint="eastAsia" w:eastAsia="仿宋"/>
                <w:sz w:val="24"/>
                <w:szCs w:val="24"/>
              </w:rPr>
              <w:t>2.33</w:t>
            </w:r>
          </w:p>
        </w:tc>
        <w:tc>
          <w:tcPr>
            <w:tcW w:w="466" w:type="pct"/>
            <w:gridSpan w:val="4"/>
            <w:vAlign w:val="center"/>
          </w:tcPr>
          <w:p w14:paraId="0E4207F4">
            <w:pPr>
              <w:pStyle w:val="33"/>
              <w:spacing w:line="240" w:lineRule="auto"/>
              <w:ind w:firstLine="0" w:firstLineChars="0"/>
              <w:jc w:val="right"/>
              <w:rPr>
                <w:rFonts w:eastAsia="仿宋"/>
                <w:sz w:val="24"/>
                <w:szCs w:val="24"/>
              </w:rPr>
            </w:pPr>
            <w:r>
              <w:rPr>
                <w:rFonts w:hint="eastAsia" w:eastAsia="仿宋"/>
                <w:sz w:val="24"/>
                <w:szCs w:val="24"/>
              </w:rPr>
              <w:t>872.87</w:t>
            </w:r>
          </w:p>
        </w:tc>
        <w:tc>
          <w:tcPr>
            <w:tcW w:w="420" w:type="pct"/>
            <w:vAlign w:val="center"/>
          </w:tcPr>
          <w:p w14:paraId="71D1E3B5">
            <w:pPr>
              <w:pStyle w:val="33"/>
              <w:spacing w:line="240" w:lineRule="auto"/>
              <w:ind w:firstLine="0" w:firstLineChars="0"/>
              <w:jc w:val="right"/>
              <w:rPr>
                <w:rFonts w:eastAsia="仿宋"/>
                <w:sz w:val="24"/>
                <w:szCs w:val="24"/>
              </w:rPr>
            </w:pPr>
            <w:r>
              <w:rPr>
                <w:rFonts w:hint="eastAsia" w:eastAsia="仿宋"/>
                <w:sz w:val="24"/>
                <w:szCs w:val="24"/>
              </w:rPr>
              <w:t>462.65</w:t>
            </w:r>
          </w:p>
        </w:tc>
        <w:tc>
          <w:tcPr>
            <w:tcW w:w="384" w:type="pct"/>
            <w:gridSpan w:val="4"/>
            <w:vAlign w:val="center"/>
          </w:tcPr>
          <w:p w14:paraId="2EDA95C2">
            <w:pPr>
              <w:pStyle w:val="33"/>
              <w:spacing w:line="240" w:lineRule="auto"/>
              <w:ind w:firstLine="0" w:firstLineChars="0"/>
              <w:jc w:val="right"/>
              <w:rPr>
                <w:rFonts w:eastAsia="仿宋"/>
                <w:sz w:val="24"/>
                <w:szCs w:val="24"/>
              </w:rPr>
            </w:pPr>
            <w:r>
              <w:rPr>
                <w:rFonts w:hint="eastAsia" w:eastAsia="仿宋"/>
                <w:sz w:val="24"/>
                <w:szCs w:val="24"/>
              </w:rPr>
              <w:t>0</w:t>
            </w:r>
          </w:p>
        </w:tc>
        <w:tc>
          <w:tcPr>
            <w:tcW w:w="384" w:type="pct"/>
            <w:gridSpan w:val="3"/>
            <w:vAlign w:val="center"/>
          </w:tcPr>
          <w:p w14:paraId="69B3544E">
            <w:pPr>
              <w:pStyle w:val="33"/>
              <w:spacing w:line="240" w:lineRule="auto"/>
              <w:ind w:firstLine="0" w:firstLineChars="0"/>
              <w:jc w:val="right"/>
              <w:rPr>
                <w:rFonts w:eastAsia="仿宋"/>
                <w:sz w:val="24"/>
                <w:szCs w:val="24"/>
              </w:rPr>
            </w:pPr>
            <w:r>
              <w:rPr>
                <w:rFonts w:hint="eastAsia" w:eastAsia="仿宋"/>
                <w:sz w:val="24"/>
                <w:szCs w:val="24"/>
              </w:rPr>
              <w:t>411.03</w:t>
            </w:r>
          </w:p>
        </w:tc>
        <w:tc>
          <w:tcPr>
            <w:tcW w:w="316" w:type="pct"/>
            <w:gridSpan w:val="2"/>
            <w:vAlign w:val="center"/>
          </w:tcPr>
          <w:p w14:paraId="5F9E54DE">
            <w:pPr>
              <w:pStyle w:val="33"/>
              <w:spacing w:line="240" w:lineRule="auto"/>
              <w:ind w:firstLine="0" w:firstLineChars="0"/>
              <w:rPr>
                <w:rFonts w:eastAsia="仿宋"/>
                <w:sz w:val="24"/>
                <w:szCs w:val="24"/>
              </w:rPr>
            </w:pPr>
            <w:r>
              <w:rPr>
                <w:rFonts w:hint="eastAsia" w:eastAsia="仿宋"/>
                <w:sz w:val="24"/>
                <w:szCs w:val="24"/>
              </w:rPr>
              <w:t>68%</w:t>
            </w:r>
          </w:p>
        </w:tc>
        <w:tc>
          <w:tcPr>
            <w:tcW w:w="351" w:type="pct"/>
            <w:gridSpan w:val="2"/>
            <w:vAlign w:val="center"/>
          </w:tcPr>
          <w:p w14:paraId="5F20F90D">
            <w:pPr>
              <w:pStyle w:val="33"/>
              <w:spacing w:line="240" w:lineRule="auto"/>
              <w:ind w:firstLine="0" w:firstLineChars="0"/>
              <w:rPr>
                <w:rFonts w:eastAsia="仿宋"/>
                <w:sz w:val="24"/>
                <w:szCs w:val="24"/>
              </w:rPr>
            </w:pPr>
            <w:r>
              <w:rPr>
                <w:rFonts w:hint="eastAsia" w:eastAsia="仿宋"/>
                <w:sz w:val="24"/>
                <w:szCs w:val="24"/>
              </w:rPr>
              <w:t>29%</w:t>
            </w:r>
          </w:p>
        </w:tc>
        <w:tc>
          <w:tcPr>
            <w:tcW w:w="313" w:type="pct"/>
            <w:gridSpan w:val="3"/>
            <w:vAlign w:val="center"/>
          </w:tcPr>
          <w:p w14:paraId="2947F238">
            <w:pPr>
              <w:pStyle w:val="33"/>
              <w:spacing w:line="240" w:lineRule="auto"/>
              <w:ind w:firstLine="0" w:firstLineChars="0"/>
              <w:rPr>
                <w:rFonts w:eastAsia="仿宋"/>
                <w:sz w:val="24"/>
                <w:szCs w:val="24"/>
              </w:rPr>
            </w:pPr>
            <w:r>
              <w:rPr>
                <w:rFonts w:hint="eastAsia" w:eastAsia="仿宋"/>
                <w:sz w:val="24"/>
                <w:szCs w:val="24"/>
              </w:rPr>
              <w:t>3%</w:t>
            </w:r>
          </w:p>
        </w:tc>
        <w:tc>
          <w:tcPr>
            <w:tcW w:w="267" w:type="pct"/>
            <w:vAlign w:val="center"/>
          </w:tcPr>
          <w:p w14:paraId="23E9D4A1">
            <w:pPr>
              <w:pStyle w:val="33"/>
              <w:spacing w:line="240" w:lineRule="auto"/>
              <w:ind w:firstLine="0" w:firstLineChars="0"/>
              <w:rPr>
                <w:rFonts w:eastAsia="仿宋"/>
                <w:sz w:val="24"/>
                <w:szCs w:val="24"/>
              </w:rPr>
            </w:pPr>
            <w:r>
              <w:rPr>
                <w:rFonts w:hint="eastAsia" w:eastAsia="仿宋"/>
                <w:sz w:val="24"/>
                <w:szCs w:val="24"/>
              </w:rPr>
              <w:t>/</w:t>
            </w:r>
          </w:p>
        </w:tc>
      </w:tr>
      <w:tr w14:paraId="73F4C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5" w:type="pct"/>
            <w:gridSpan w:val="6"/>
            <w:vAlign w:val="center"/>
          </w:tcPr>
          <w:p w14:paraId="64589005">
            <w:pPr>
              <w:pStyle w:val="33"/>
              <w:spacing w:line="240" w:lineRule="auto"/>
              <w:ind w:firstLine="0" w:firstLineChars="0"/>
              <w:rPr>
                <w:rFonts w:eastAsia="仿宋"/>
                <w:sz w:val="24"/>
                <w:szCs w:val="24"/>
              </w:rPr>
            </w:pPr>
            <w:r>
              <w:rPr>
                <w:rFonts w:eastAsia="仿宋"/>
                <w:sz w:val="24"/>
                <w:szCs w:val="24"/>
              </w:rPr>
              <w:t>HW50废催化剂</w:t>
            </w:r>
          </w:p>
        </w:tc>
        <w:tc>
          <w:tcPr>
            <w:tcW w:w="327" w:type="pct"/>
            <w:gridSpan w:val="3"/>
            <w:vAlign w:val="center"/>
          </w:tcPr>
          <w:p w14:paraId="03C675E4">
            <w:pPr>
              <w:pStyle w:val="33"/>
              <w:spacing w:line="240" w:lineRule="auto"/>
              <w:ind w:firstLine="0" w:firstLineChars="0"/>
              <w:jc w:val="right"/>
              <w:rPr>
                <w:rFonts w:eastAsia="仿宋"/>
                <w:sz w:val="24"/>
                <w:szCs w:val="24"/>
              </w:rPr>
            </w:pPr>
            <w:r>
              <w:rPr>
                <w:rFonts w:hint="eastAsia" w:eastAsia="仿宋"/>
                <w:sz w:val="24"/>
                <w:szCs w:val="24"/>
              </w:rPr>
              <w:t>0</w:t>
            </w:r>
          </w:p>
        </w:tc>
        <w:tc>
          <w:tcPr>
            <w:tcW w:w="322" w:type="pct"/>
            <w:gridSpan w:val="4"/>
            <w:vAlign w:val="center"/>
          </w:tcPr>
          <w:p w14:paraId="30B774B9">
            <w:pPr>
              <w:pStyle w:val="33"/>
              <w:spacing w:line="240" w:lineRule="auto"/>
              <w:ind w:firstLine="0" w:firstLineChars="0"/>
              <w:jc w:val="right"/>
              <w:rPr>
                <w:rFonts w:eastAsia="仿宋"/>
                <w:sz w:val="24"/>
                <w:szCs w:val="24"/>
              </w:rPr>
            </w:pPr>
            <w:r>
              <w:rPr>
                <w:rFonts w:hint="eastAsia" w:eastAsia="仿宋"/>
                <w:sz w:val="24"/>
                <w:szCs w:val="24"/>
              </w:rPr>
              <w:t>3.00</w:t>
            </w:r>
          </w:p>
        </w:tc>
        <w:tc>
          <w:tcPr>
            <w:tcW w:w="466" w:type="pct"/>
            <w:gridSpan w:val="4"/>
            <w:vAlign w:val="center"/>
          </w:tcPr>
          <w:p w14:paraId="20596250">
            <w:pPr>
              <w:pStyle w:val="33"/>
              <w:spacing w:line="240" w:lineRule="auto"/>
              <w:ind w:firstLine="0" w:firstLineChars="0"/>
              <w:jc w:val="right"/>
              <w:rPr>
                <w:rFonts w:eastAsia="仿宋"/>
                <w:sz w:val="24"/>
                <w:szCs w:val="24"/>
              </w:rPr>
            </w:pPr>
            <w:r>
              <w:rPr>
                <w:rFonts w:hint="eastAsia" w:eastAsia="仿宋"/>
                <w:sz w:val="24"/>
                <w:szCs w:val="24"/>
              </w:rPr>
              <w:t>49.14</w:t>
            </w:r>
          </w:p>
        </w:tc>
        <w:tc>
          <w:tcPr>
            <w:tcW w:w="420" w:type="pct"/>
            <w:vAlign w:val="center"/>
          </w:tcPr>
          <w:p w14:paraId="0161E4A1">
            <w:pPr>
              <w:pStyle w:val="33"/>
              <w:spacing w:line="240" w:lineRule="auto"/>
              <w:ind w:firstLine="0" w:firstLineChars="0"/>
              <w:jc w:val="right"/>
              <w:rPr>
                <w:rFonts w:eastAsia="仿宋"/>
                <w:sz w:val="24"/>
                <w:szCs w:val="24"/>
              </w:rPr>
            </w:pPr>
            <w:r>
              <w:rPr>
                <w:rFonts w:hint="eastAsia" w:eastAsia="仿宋"/>
                <w:sz w:val="24"/>
                <w:szCs w:val="24"/>
              </w:rPr>
              <w:t>0</w:t>
            </w:r>
          </w:p>
        </w:tc>
        <w:tc>
          <w:tcPr>
            <w:tcW w:w="384" w:type="pct"/>
            <w:gridSpan w:val="4"/>
            <w:vAlign w:val="center"/>
          </w:tcPr>
          <w:p w14:paraId="4719C826">
            <w:pPr>
              <w:pStyle w:val="33"/>
              <w:spacing w:line="240" w:lineRule="auto"/>
              <w:ind w:firstLine="0" w:firstLineChars="0"/>
              <w:jc w:val="right"/>
              <w:rPr>
                <w:rFonts w:eastAsia="仿宋"/>
                <w:sz w:val="24"/>
                <w:szCs w:val="24"/>
              </w:rPr>
            </w:pPr>
            <w:r>
              <w:rPr>
                <w:rFonts w:hint="eastAsia" w:eastAsia="仿宋"/>
                <w:sz w:val="24"/>
                <w:szCs w:val="24"/>
              </w:rPr>
              <w:t>45.09</w:t>
            </w:r>
          </w:p>
        </w:tc>
        <w:tc>
          <w:tcPr>
            <w:tcW w:w="384" w:type="pct"/>
            <w:gridSpan w:val="3"/>
            <w:vAlign w:val="center"/>
          </w:tcPr>
          <w:p w14:paraId="0021CB18">
            <w:pPr>
              <w:pStyle w:val="33"/>
              <w:spacing w:line="240" w:lineRule="auto"/>
              <w:ind w:firstLine="0" w:firstLineChars="0"/>
              <w:jc w:val="right"/>
              <w:rPr>
                <w:rFonts w:eastAsia="仿宋"/>
                <w:sz w:val="24"/>
                <w:szCs w:val="24"/>
              </w:rPr>
            </w:pPr>
            <w:r>
              <w:rPr>
                <w:rFonts w:hint="eastAsia" w:eastAsia="仿宋"/>
                <w:sz w:val="24"/>
                <w:szCs w:val="24"/>
              </w:rPr>
              <w:t>1.05</w:t>
            </w:r>
          </w:p>
        </w:tc>
        <w:tc>
          <w:tcPr>
            <w:tcW w:w="316" w:type="pct"/>
            <w:gridSpan w:val="2"/>
            <w:vAlign w:val="center"/>
          </w:tcPr>
          <w:p w14:paraId="036455B5">
            <w:pPr>
              <w:pStyle w:val="33"/>
              <w:spacing w:line="240" w:lineRule="auto"/>
              <w:ind w:firstLine="0" w:firstLineChars="0"/>
              <w:rPr>
                <w:rFonts w:eastAsia="仿宋"/>
                <w:sz w:val="24"/>
                <w:szCs w:val="24"/>
              </w:rPr>
            </w:pPr>
            <w:r>
              <w:rPr>
                <w:rFonts w:hint="eastAsia" w:eastAsia="仿宋"/>
                <w:sz w:val="24"/>
                <w:szCs w:val="24"/>
              </w:rPr>
              <w:t>/</w:t>
            </w:r>
          </w:p>
        </w:tc>
        <w:tc>
          <w:tcPr>
            <w:tcW w:w="351" w:type="pct"/>
            <w:gridSpan w:val="2"/>
            <w:vAlign w:val="center"/>
          </w:tcPr>
          <w:p w14:paraId="49AD89DC">
            <w:pPr>
              <w:pStyle w:val="33"/>
              <w:spacing w:line="240" w:lineRule="auto"/>
              <w:ind w:firstLine="0" w:firstLineChars="0"/>
              <w:rPr>
                <w:rFonts w:eastAsia="仿宋"/>
                <w:sz w:val="24"/>
                <w:szCs w:val="24"/>
              </w:rPr>
            </w:pPr>
            <w:r>
              <w:rPr>
                <w:rFonts w:hint="eastAsia" w:eastAsia="仿宋"/>
                <w:sz w:val="24"/>
                <w:szCs w:val="24"/>
              </w:rPr>
              <w:t>100%</w:t>
            </w:r>
          </w:p>
        </w:tc>
        <w:tc>
          <w:tcPr>
            <w:tcW w:w="313" w:type="pct"/>
            <w:gridSpan w:val="3"/>
            <w:vAlign w:val="center"/>
          </w:tcPr>
          <w:p w14:paraId="781D1463">
            <w:pPr>
              <w:pStyle w:val="33"/>
              <w:spacing w:line="240" w:lineRule="auto"/>
              <w:ind w:firstLine="0" w:firstLineChars="0"/>
              <w:rPr>
                <w:rFonts w:eastAsia="仿宋"/>
                <w:sz w:val="24"/>
                <w:szCs w:val="24"/>
              </w:rPr>
            </w:pPr>
            <w:r>
              <w:rPr>
                <w:rFonts w:hint="eastAsia" w:eastAsia="仿宋"/>
                <w:sz w:val="24"/>
                <w:szCs w:val="24"/>
              </w:rPr>
              <w:t>/</w:t>
            </w:r>
          </w:p>
        </w:tc>
        <w:tc>
          <w:tcPr>
            <w:tcW w:w="267" w:type="pct"/>
            <w:vAlign w:val="center"/>
          </w:tcPr>
          <w:p w14:paraId="2FCF6227">
            <w:pPr>
              <w:pStyle w:val="33"/>
              <w:spacing w:line="240" w:lineRule="auto"/>
              <w:ind w:firstLine="0" w:firstLineChars="0"/>
              <w:rPr>
                <w:rFonts w:eastAsia="仿宋"/>
                <w:sz w:val="24"/>
                <w:szCs w:val="24"/>
              </w:rPr>
            </w:pPr>
            <w:r>
              <w:rPr>
                <w:rFonts w:hint="eastAsia" w:eastAsia="仿宋"/>
                <w:sz w:val="24"/>
                <w:szCs w:val="24"/>
              </w:rPr>
              <w:t>/</w:t>
            </w:r>
          </w:p>
        </w:tc>
      </w:tr>
      <w:tr w14:paraId="6E4E5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5" w:type="pct"/>
            <w:gridSpan w:val="6"/>
            <w:vAlign w:val="center"/>
          </w:tcPr>
          <w:p w14:paraId="4EE6A972">
            <w:pPr>
              <w:pStyle w:val="33"/>
              <w:spacing w:line="240" w:lineRule="auto"/>
              <w:ind w:firstLine="0" w:firstLineChars="0"/>
              <w:rPr>
                <w:rFonts w:eastAsia="仿宋"/>
                <w:sz w:val="24"/>
                <w:szCs w:val="24"/>
              </w:rPr>
            </w:pPr>
            <w:r>
              <w:rPr>
                <w:rFonts w:eastAsia="仿宋"/>
                <w:sz w:val="24"/>
                <w:szCs w:val="24"/>
              </w:rPr>
              <w:t>合计</w:t>
            </w:r>
          </w:p>
        </w:tc>
        <w:tc>
          <w:tcPr>
            <w:tcW w:w="327" w:type="pct"/>
            <w:gridSpan w:val="3"/>
            <w:vAlign w:val="center"/>
          </w:tcPr>
          <w:p w14:paraId="485A1CBF">
            <w:pPr>
              <w:pStyle w:val="33"/>
              <w:spacing w:line="240" w:lineRule="auto"/>
              <w:ind w:firstLine="0" w:firstLineChars="0"/>
              <w:jc w:val="right"/>
              <w:rPr>
                <w:rFonts w:eastAsia="仿宋"/>
                <w:sz w:val="24"/>
                <w:szCs w:val="24"/>
              </w:rPr>
            </w:pPr>
            <w:r>
              <w:rPr>
                <w:rFonts w:hint="eastAsia" w:eastAsia="仿宋"/>
                <w:sz w:val="24"/>
                <w:szCs w:val="24"/>
              </w:rPr>
              <w:t>40.37</w:t>
            </w:r>
          </w:p>
        </w:tc>
        <w:tc>
          <w:tcPr>
            <w:tcW w:w="322" w:type="pct"/>
            <w:gridSpan w:val="4"/>
            <w:vAlign w:val="center"/>
          </w:tcPr>
          <w:p w14:paraId="561E0907">
            <w:pPr>
              <w:pStyle w:val="33"/>
              <w:spacing w:line="240" w:lineRule="auto"/>
              <w:ind w:firstLine="0" w:firstLineChars="0"/>
              <w:jc w:val="right"/>
              <w:rPr>
                <w:rFonts w:eastAsia="仿宋"/>
                <w:sz w:val="24"/>
                <w:szCs w:val="24"/>
              </w:rPr>
            </w:pPr>
            <w:r>
              <w:rPr>
                <w:rFonts w:hint="eastAsia" w:eastAsia="仿宋"/>
                <w:sz w:val="24"/>
                <w:szCs w:val="24"/>
              </w:rPr>
              <w:t>147.79</w:t>
            </w:r>
          </w:p>
        </w:tc>
        <w:tc>
          <w:tcPr>
            <w:tcW w:w="466" w:type="pct"/>
            <w:gridSpan w:val="4"/>
            <w:vAlign w:val="center"/>
          </w:tcPr>
          <w:p w14:paraId="0C5A4CB1">
            <w:pPr>
              <w:pStyle w:val="33"/>
              <w:spacing w:line="240" w:lineRule="auto"/>
              <w:ind w:firstLine="0" w:firstLineChars="0"/>
              <w:jc w:val="right"/>
              <w:rPr>
                <w:rFonts w:eastAsia="仿宋"/>
                <w:sz w:val="24"/>
                <w:szCs w:val="24"/>
              </w:rPr>
            </w:pPr>
            <w:r>
              <w:rPr>
                <w:rFonts w:hint="eastAsia" w:eastAsia="仿宋"/>
                <w:sz w:val="24"/>
                <w:szCs w:val="24"/>
              </w:rPr>
              <w:t>21909.82</w:t>
            </w:r>
          </w:p>
        </w:tc>
        <w:tc>
          <w:tcPr>
            <w:tcW w:w="420" w:type="pct"/>
            <w:vAlign w:val="center"/>
          </w:tcPr>
          <w:p w14:paraId="2398C84F">
            <w:pPr>
              <w:pStyle w:val="33"/>
              <w:spacing w:line="240" w:lineRule="auto"/>
              <w:ind w:firstLine="0" w:firstLineChars="0"/>
              <w:jc w:val="right"/>
              <w:rPr>
                <w:rFonts w:eastAsia="仿宋"/>
                <w:sz w:val="24"/>
                <w:szCs w:val="24"/>
              </w:rPr>
            </w:pPr>
            <w:r>
              <w:rPr>
                <w:rFonts w:hint="eastAsia" w:eastAsia="仿宋"/>
                <w:sz w:val="24"/>
                <w:szCs w:val="24"/>
              </w:rPr>
              <w:t>16888.20</w:t>
            </w:r>
          </w:p>
        </w:tc>
        <w:tc>
          <w:tcPr>
            <w:tcW w:w="384" w:type="pct"/>
            <w:gridSpan w:val="4"/>
            <w:vAlign w:val="center"/>
          </w:tcPr>
          <w:p w14:paraId="3C80E985">
            <w:pPr>
              <w:pStyle w:val="33"/>
              <w:spacing w:line="240" w:lineRule="auto"/>
              <w:ind w:firstLine="0" w:firstLineChars="0"/>
              <w:jc w:val="right"/>
              <w:rPr>
                <w:rFonts w:eastAsia="仿宋"/>
                <w:sz w:val="24"/>
                <w:szCs w:val="24"/>
              </w:rPr>
            </w:pPr>
            <w:r>
              <w:rPr>
                <w:rFonts w:hint="eastAsia" w:eastAsia="仿宋"/>
                <w:sz w:val="24"/>
                <w:szCs w:val="24"/>
              </w:rPr>
              <w:t>1004.88</w:t>
            </w:r>
          </w:p>
        </w:tc>
        <w:tc>
          <w:tcPr>
            <w:tcW w:w="384" w:type="pct"/>
            <w:gridSpan w:val="3"/>
            <w:vAlign w:val="center"/>
          </w:tcPr>
          <w:p w14:paraId="24C287A1">
            <w:pPr>
              <w:pStyle w:val="33"/>
              <w:spacing w:line="240" w:lineRule="auto"/>
              <w:ind w:firstLine="0" w:firstLineChars="0"/>
              <w:jc w:val="right"/>
              <w:rPr>
                <w:rFonts w:eastAsia="仿宋"/>
                <w:sz w:val="24"/>
                <w:szCs w:val="24"/>
              </w:rPr>
            </w:pPr>
            <w:r>
              <w:rPr>
                <w:rFonts w:hint="eastAsia" w:eastAsia="仿宋"/>
                <w:sz w:val="24"/>
                <w:szCs w:val="24"/>
              </w:rPr>
              <w:t>3909.66</w:t>
            </w:r>
          </w:p>
        </w:tc>
        <w:tc>
          <w:tcPr>
            <w:tcW w:w="316" w:type="pct"/>
            <w:gridSpan w:val="2"/>
            <w:vAlign w:val="center"/>
          </w:tcPr>
          <w:p w14:paraId="6978BFEA">
            <w:pPr>
              <w:pStyle w:val="33"/>
              <w:spacing w:line="240" w:lineRule="auto"/>
              <w:ind w:firstLine="0" w:firstLineChars="0"/>
              <w:rPr>
                <w:rFonts w:eastAsia="仿宋"/>
                <w:sz w:val="24"/>
                <w:szCs w:val="24"/>
              </w:rPr>
            </w:pPr>
            <w:r>
              <w:rPr>
                <w:rFonts w:hint="eastAsia" w:eastAsia="仿宋"/>
                <w:sz w:val="24"/>
                <w:szCs w:val="24"/>
              </w:rPr>
              <w:t>85%</w:t>
            </w:r>
          </w:p>
        </w:tc>
        <w:tc>
          <w:tcPr>
            <w:tcW w:w="351" w:type="pct"/>
            <w:gridSpan w:val="2"/>
            <w:vAlign w:val="center"/>
          </w:tcPr>
          <w:p w14:paraId="6C477981">
            <w:pPr>
              <w:pStyle w:val="33"/>
              <w:spacing w:line="240" w:lineRule="auto"/>
              <w:ind w:firstLine="0" w:firstLineChars="0"/>
              <w:rPr>
                <w:rFonts w:eastAsia="仿宋"/>
                <w:sz w:val="24"/>
                <w:szCs w:val="24"/>
              </w:rPr>
            </w:pPr>
            <w:r>
              <w:rPr>
                <w:rFonts w:hint="eastAsia" w:eastAsia="仿宋"/>
                <w:sz w:val="24"/>
                <w:szCs w:val="24"/>
              </w:rPr>
              <w:t>3%</w:t>
            </w:r>
          </w:p>
        </w:tc>
        <w:tc>
          <w:tcPr>
            <w:tcW w:w="313" w:type="pct"/>
            <w:gridSpan w:val="3"/>
            <w:vAlign w:val="center"/>
          </w:tcPr>
          <w:p w14:paraId="53D2A9C6">
            <w:pPr>
              <w:pStyle w:val="33"/>
              <w:spacing w:line="240" w:lineRule="auto"/>
              <w:ind w:firstLine="0" w:firstLineChars="0"/>
              <w:rPr>
                <w:rFonts w:eastAsia="仿宋"/>
                <w:sz w:val="24"/>
                <w:szCs w:val="24"/>
              </w:rPr>
            </w:pPr>
            <w:r>
              <w:rPr>
                <w:rFonts w:hint="eastAsia" w:eastAsia="仿宋"/>
                <w:sz w:val="24"/>
                <w:szCs w:val="24"/>
              </w:rPr>
              <w:t>11%</w:t>
            </w:r>
          </w:p>
        </w:tc>
        <w:tc>
          <w:tcPr>
            <w:tcW w:w="267" w:type="pct"/>
            <w:vAlign w:val="center"/>
          </w:tcPr>
          <w:p w14:paraId="12482D85">
            <w:pPr>
              <w:pStyle w:val="33"/>
              <w:spacing w:line="240" w:lineRule="auto"/>
              <w:ind w:firstLine="0" w:firstLineChars="0"/>
              <w:rPr>
                <w:rFonts w:eastAsia="仿宋"/>
                <w:sz w:val="24"/>
                <w:szCs w:val="24"/>
              </w:rPr>
            </w:pPr>
            <w:r>
              <w:rPr>
                <w:rFonts w:hint="eastAsia" w:eastAsia="仿宋"/>
                <w:sz w:val="24"/>
                <w:szCs w:val="24"/>
              </w:rPr>
              <w:t>1%</w:t>
            </w:r>
          </w:p>
        </w:tc>
      </w:tr>
      <w:tr w14:paraId="62087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3"/>
            <w:vAlign w:val="center"/>
          </w:tcPr>
          <w:p w14:paraId="49221162">
            <w:pPr>
              <w:pStyle w:val="33"/>
              <w:spacing w:line="240" w:lineRule="auto"/>
              <w:ind w:firstLine="0" w:firstLineChars="0"/>
              <w:jc w:val="both"/>
              <w:rPr>
                <w:rFonts w:eastAsia="仿宋"/>
                <w:b/>
                <w:bCs/>
                <w:sz w:val="24"/>
                <w:szCs w:val="24"/>
              </w:rPr>
            </w:pPr>
            <w:r>
              <w:rPr>
                <w:rFonts w:eastAsia="仿宋"/>
                <w:b/>
                <w:bCs/>
                <w:sz w:val="24"/>
                <w:szCs w:val="24"/>
              </w:rPr>
              <w:t>农业废弃物</w:t>
            </w:r>
          </w:p>
        </w:tc>
      </w:tr>
      <w:tr w14:paraId="09E25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4" w:type="pct"/>
            <w:gridSpan w:val="4"/>
            <w:vAlign w:val="center"/>
          </w:tcPr>
          <w:p w14:paraId="14D4066D">
            <w:pPr>
              <w:pStyle w:val="33"/>
              <w:spacing w:line="240" w:lineRule="auto"/>
              <w:ind w:firstLine="0" w:firstLineChars="0"/>
              <w:rPr>
                <w:rFonts w:eastAsia="仿宋"/>
                <w:b/>
                <w:bCs/>
                <w:sz w:val="24"/>
                <w:szCs w:val="24"/>
              </w:rPr>
            </w:pPr>
            <w:r>
              <w:rPr>
                <w:rFonts w:eastAsia="仿宋"/>
                <w:b/>
                <w:bCs/>
                <w:sz w:val="24"/>
                <w:szCs w:val="24"/>
              </w:rPr>
              <w:t>类别</w:t>
            </w:r>
          </w:p>
        </w:tc>
        <w:tc>
          <w:tcPr>
            <w:tcW w:w="494" w:type="pct"/>
            <w:gridSpan w:val="3"/>
            <w:vAlign w:val="center"/>
          </w:tcPr>
          <w:p w14:paraId="1DBBBB01">
            <w:pPr>
              <w:pStyle w:val="33"/>
              <w:spacing w:line="240" w:lineRule="auto"/>
              <w:ind w:firstLine="0" w:firstLineChars="0"/>
              <w:rPr>
                <w:rFonts w:eastAsia="仿宋"/>
                <w:b/>
                <w:bCs/>
                <w:sz w:val="24"/>
                <w:szCs w:val="24"/>
              </w:rPr>
            </w:pPr>
            <w:r>
              <w:rPr>
                <w:rFonts w:eastAsia="仿宋"/>
                <w:b/>
                <w:bCs/>
                <w:sz w:val="24"/>
                <w:szCs w:val="24"/>
              </w:rPr>
              <w:t>使用量</w:t>
            </w:r>
          </w:p>
          <w:p w14:paraId="53913033">
            <w:pPr>
              <w:pStyle w:val="33"/>
              <w:spacing w:line="240" w:lineRule="auto"/>
              <w:ind w:firstLine="0" w:firstLineChars="0"/>
              <w:rPr>
                <w:rFonts w:eastAsia="仿宋"/>
                <w:b/>
                <w:bCs/>
                <w:sz w:val="24"/>
                <w:szCs w:val="24"/>
              </w:rPr>
            </w:pPr>
            <w:r>
              <w:rPr>
                <w:rFonts w:eastAsia="仿宋"/>
                <w:b/>
                <w:bCs/>
                <w:sz w:val="24"/>
                <w:szCs w:val="24"/>
              </w:rPr>
              <w:t>（万吨）</w:t>
            </w:r>
          </w:p>
        </w:tc>
        <w:tc>
          <w:tcPr>
            <w:tcW w:w="494" w:type="pct"/>
            <w:gridSpan w:val="5"/>
            <w:vAlign w:val="center"/>
          </w:tcPr>
          <w:p w14:paraId="33C379EE">
            <w:pPr>
              <w:pStyle w:val="33"/>
              <w:spacing w:line="240" w:lineRule="auto"/>
              <w:ind w:firstLine="0" w:firstLineChars="0"/>
              <w:rPr>
                <w:rFonts w:eastAsia="仿宋"/>
                <w:b/>
                <w:bCs/>
                <w:sz w:val="24"/>
                <w:szCs w:val="24"/>
              </w:rPr>
            </w:pPr>
            <w:r>
              <w:rPr>
                <w:rFonts w:eastAsia="仿宋"/>
                <w:b/>
                <w:bCs/>
                <w:sz w:val="24"/>
                <w:szCs w:val="24"/>
              </w:rPr>
              <w:t>产生量</w:t>
            </w:r>
          </w:p>
          <w:p w14:paraId="3725309D">
            <w:pPr>
              <w:pStyle w:val="33"/>
              <w:spacing w:line="240" w:lineRule="auto"/>
              <w:ind w:firstLine="0" w:firstLineChars="0"/>
              <w:rPr>
                <w:rFonts w:eastAsia="仿宋"/>
                <w:b/>
                <w:bCs/>
                <w:sz w:val="24"/>
                <w:szCs w:val="24"/>
              </w:rPr>
            </w:pPr>
            <w:r>
              <w:rPr>
                <w:rFonts w:eastAsia="仿宋"/>
                <w:b/>
                <w:bCs/>
                <w:sz w:val="24"/>
                <w:szCs w:val="24"/>
              </w:rPr>
              <w:t>（万吨）</w:t>
            </w:r>
          </w:p>
        </w:tc>
        <w:tc>
          <w:tcPr>
            <w:tcW w:w="494" w:type="pct"/>
            <w:gridSpan w:val="4"/>
            <w:vAlign w:val="center"/>
          </w:tcPr>
          <w:p w14:paraId="0D40D924">
            <w:pPr>
              <w:pStyle w:val="33"/>
              <w:spacing w:line="240" w:lineRule="auto"/>
              <w:ind w:firstLine="0" w:firstLineChars="0"/>
              <w:rPr>
                <w:rFonts w:eastAsia="仿宋"/>
                <w:b/>
                <w:bCs/>
                <w:sz w:val="24"/>
                <w:szCs w:val="24"/>
              </w:rPr>
            </w:pPr>
            <w:r>
              <w:rPr>
                <w:rFonts w:eastAsia="仿宋"/>
                <w:b/>
                <w:bCs/>
                <w:sz w:val="24"/>
                <w:szCs w:val="24"/>
              </w:rPr>
              <w:t>回收量</w:t>
            </w:r>
          </w:p>
          <w:p w14:paraId="51855B28">
            <w:pPr>
              <w:pStyle w:val="33"/>
              <w:spacing w:line="240" w:lineRule="auto"/>
              <w:ind w:firstLine="0" w:firstLineChars="0"/>
              <w:rPr>
                <w:rFonts w:eastAsia="仿宋"/>
                <w:b/>
                <w:bCs/>
                <w:sz w:val="24"/>
                <w:szCs w:val="24"/>
              </w:rPr>
            </w:pPr>
            <w:r>
              <w:rPr>
                <w:rFonts w:eastAsia="仿宋"/>
                <w:b/>
                <w:bCs/>
                <w:sz w:val="24"/>
                <w:szCs w:val="24"/>
              </w:rPr>
              <w:t>（万吨）</w:t>
            </w:r>
          </w:p>
        </w:tc>
        <w:tc>
          <w:tcPr>
            <w:tcW w:w="494" w:type="pct"/>
            <w:gridSpan w:val="3"/>
            <w:vAlign w:val="center"/>
          </w:tcPr>
          <w:p w14:paraId="429730E9">
            <w:pPr>
              <w:pStyle w:val="33"/>
              <w:spacing w:line="240" w:lineRule="auto"/>
              <w:ind w:firstLine="0" w:firstLineChars="0"/>
              <w:rPr>
                <w:rFonts w:eastAsia="仿宋"/>
                <w:b/>
                <w:bCs/>
                <w:sz w:val="24"/>
                <w:szCs w:val="24"/>
              </w:rPr>
            </w:pPr>
            <w:r>
              <w:rPr>
                <w:rFonts w:eastAsia="仿宋"/>
                <w:b/>
                <w:bCs/>
                <w:sz w:val="24"/>
                <w:szCs w:val="24"/>
              </w:rPr>
              <w:t>回收率</w:t>
            </w:r>
          </w:p>
        </w:tc>
        <w:tc>
          <w:tcPr>
            <w:tcW w:w="494" w:type="pct"/>
            <w:gridSpan w:val="4"/>
            <w:vAlign w:val="center"/>
          </w:tcPr>
          <w:p w14:paraId="72CB65A3">
            <w:pPr>
              <w:pStyle w:val="33"/>
              <w:spacing w:line="240" w:lineRule="auto"/>
              <w:ind w:firstLine="0" w:firstLineChars="0"/>
              <w:rPr>
                <w:rFonts w:eastAsia="仿宋"/>
                <w:b/>
                <w:bCs/>
                <w:sz w:val="24"/>
                <w:szCs w:val="24"/>
              </w:rPr>
            </w:pPr>
            <w:r>
              <w:rPr>
                <w:rFonts w:eastAsia="仿宋"/>
                <w:b/>
                <w:bCs/>
                <w:sz w:val="24"/>
                <w:szCs w:val="24"/>
              </w:rPr>
              <w:t>综合利用量（万吨）</w:t>
            </w:r>
          </w:p>
        </w:tc>
        <w:tc>
          <w:tcPr>
            <w:tcW w:w="494" w:type="pct"/>
            <w:gridSpan w:val="3"/>
            <w:vAlign w:val="center"/>
          </w:tcPr>
          <w:p w14:paraId="7E5A05F6">
            <w:pPr>
              <w:pStyle w:val="33"/>
              <w:spacing w:line="240" w:lineRule="auto"/>
              <w:ind w:firstLine="0" w:firstLineChars="0"/>
              <w:rPr>
                <w:rFonts w:eastAsia="仿宋"/>
                <w:b/>
                <w:bCs/>
                <w:sz w:val="24"/>
                <w:szCs w:val="24"/>
              </w:rPr>
            </w:pPr>
            <w:r>
              <w:rPr>
                <w:rFonts w:eastAsia="仿宋"/>
                <w:b/>
                <w:bCs/>
                <w:sz w:val="24"/>
                <w:szCs w:val="24"/>
              </w:rPr>
              <w:t>综合利用率</w:t>
            </w:r>
          </w:p>
        </w:tc>
        <w:tc>
          <w:tcPr>
            <w:tcW w:w="494" w:type="pct"/>
            <w:gridSpan w:val="5"/>
            <w:vAlign w:val="center"/>
          </w:tcPr>
          <w:p w14:paraId="2157C714">
            <w:pPr>
              <w:pStyle w:val="33"/>
              <w:spacing w:line="240" w:lineRule="auto"/>
              <w:ind w:firstLine="0" w:firstLineChars="0"/>
              <w:rPr>
                <w:rFonts w:eastAsia="仿宋"/>
                <w:b/>
                <w:bCs/>
                <w:sz w:val="24"/>
                <w:szCs w:val="24"/>
              </w:rPr>
            </w:pPr>
            <w:r>
              <w:rPr>
                <w:rFonts w:eastAsia="仿宋"/>
                <w:b/>
                <w:bCs/>
                <w:sz w:val="24"/>
                <w:szCs w:val="24"/>
              </w:rPr>
              <w:t>处置量</w:t>
            </w:r>
          </w:p>
          <w:p w14:paraId="181597DC">
            <w:pPr>
              <w:pStyle w:val="33"/>
              <w:spacing w:line="240" w:lineRule="auto"/>
              <w:ind w:firstLine="0" w:firstLineChars="0"/>
              <w:rPr>
                <w:rFonts w:eastAsia="仿宋"/>
                <w:b/>
                <w:bCs/>
                <w:sz w:val="24"/>
                <w:szCs w:val="24"/>
              </w:rPr>
            </w:pPr>
            <w:r>
              <w:rPr>
                <w:rFonts w:eastAsia="仿宋"/>
                <w:b/>
                <w:bCs/>
                <w:sz w:val="24"/>
                <w:szCs w:val="24"/>
              </w:rPr>
              <w:t>（万吨）</w:t>
            </w:r>
          </w:p>
        </w:tc>
        <w:tc>
          <w:tcPr>
            <w:tcW w:w="494" w:type="pct"/>
            <w:gridSpan w:val="2"/>
            <w:vAlign w:val="center"/>
          </w:tcPr>
          <w:p w14:paraId="7CBE6ABC">
            <w:pPr>
              <w:pStyle w:val="33"/>
              <w:spacing w:line="240" w:lineRule="auto"/>
              <w:ind w:firstLine="0" w:firstLineChars="0"/>
              <w:rPr>
                <w:rFonts w:eastAsia="仿宋"/>
                <w:b/>
                <w:bCs/>
                <w:sz w:val="24"/>
                <w:szCs w:val="24"/>
              </w:rPr>
            </w:pPr>
            <w:r>
              <w:rPr>
                <w:rFonts w:eastAsia="仿宋"/>
                <w:b/>
                <w:bCs/>
                <w:sz w:val="24"/>
                <w:szCs w:val="24"/>
              </w:rPr>
              <w:t>处置率</w:t>
            </w:r>
          </w:p>
        </w:tc>
      </w:tr>
      <w:tr w14:paraId="7D53E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4" w:type="pct"/>
            <w:gridSpan w:val="4"/>
            <w:vAlign w:val="center"/>
          </w:tcPr>
          <w:p w14:paraId="00229C23">
            <w:pPr>
              <w:pStyle w:val="33"/>
              <w:spacing w:line="240" w:lineRule="auto"/>
              <w:ind w:firstLine="0" w:firstLineChars="0"/>
              <w:rPr>
                <w:rFonts w:eastAsia="仿宋"/>
                <w:sz w:val="24"/>
                <w:szCs w:val="24"/>
              </w:rPr>
            </w:pPr>
            <w:r>
              <w:rPr>
                <w:rFonts w:eastAsia="仿宋"/>
                <w:sz w:val="24"/>
                <w:szCs w:val="24"/>
              </w:rPr>
              <w:t>农作物秸秆</w:t>
            </w:r>
          </w:p>
        </w:tc>
        <w:tc>
          <w:tcPr>
            <w:tcW w:w="494" w:type="pct"/>
            <w:gridSpan w:val="3"/>
            <w:vAlign w:val="center"/>
          </w:tcPr>
          <w:p w14:paraId="322D4C77">
            <w:pPr>
              <w:pStyle w:val="33"/>
              <w:spacing w:line="240" w:lineRule="auto"/>
              <w:ind w:firstLine="0" w:firstLineChars="0"/>
              <w:rPr>
                <w:rFonts w:eastAsia="仿宋"/>
                <w:sz w:val="24"/>
                <w:szCs w:val="24"/>
              </w:rPr>
            </w:pPr>
            <w:r>
              <w:rPr>
                <w:rFonts w:eastAsia="仿宋"/>
                <w:sz w:val="24"/>
                <w:szCs w:val="24"/>
              </w:rPr>
              <w:t>/</w:t>
            </w:r>
          </w:p>
        </w:tc>
        <w:tc>
          <w:tcPr>
            <w:tcW w:w="494" w:type="pct"/>
            <w:gridSpan w:val="5"/>
            <w:vAlign w:val="center"/>
          </w:tcPr>
          <w:p w14:paraId="047CBE67">
            <w:pPr>
              <w:pStyle w:val="33"/>
              <w:spacing w:line="240" w:lineRule="auto"/>
              <w:ind w:firstLine="0" w:firstLineChars="0"/>
              <w:rPr>
                <w:rFonts w:eastAsia="仿宋"/>
                <w:sz w:val="24"/>
                <w:szCs w:val="24"/>
              </w:rPr>
            </w:pPr>
            <w:r>
              <w:rPr>
                <w:rFonts w:hint="eastAsia" w:eastAsia="仿宋"/>
                <w:sz w:val="24"/>
                <w:szCs w:val="24"/>
              </w:rPr>
              <w:t>/</w:t>
            </w:r>
          </w:p>
        </w:tc>
        <w:tc>
          <w:tcPr>
            <w:tcW w:w="494" w:type="pct"/>
            <w:gridSpan w:val="4"/>
            <w:vAlign w:val="center"/>
          </w:tcPr>
          <w:p w14:paraId="14E37AB8">
            <w:pPr>
              <w:pStyle w:val="33"/>
              <w:spacing w:line="240" w:lineRule="auto"/>
              <w:ind w:firstLine="0" w:firstLineChars="0"/>
              <w:rPr>
                <w:rFonts w:eastAsia="仿宋"/>
                <w:sz w:val="24"/>
                <w:szCs w:val="24"/>
              </w:rPr>
            </w:pPr>
            <w:r>
              <w:rPr>
                <w:rFonts w:eastAsia="仿宋"/>
                <w:sz w:val="24"/>
                <w:szCs w:val="24"/>
              </w:rPr>
              <w:t>/</w:t>
            </w:r>
          </w:p>
        </w:tc>
        <w:tc>
          <w:tcPr>
            <w:tcW w:w="494" w:type="pct"/>
            <w:gridSpan w:val="3"/>
            <w:vAlign w:val="center"/>
          </w:tcPr>
          <w:p w14:paraId="05AA816E">
            <w:pPr>
              <w:pStyle w:val="33"/>
              <w:spacing w:line="240" w:lineRule="auto"/>
              <w:ind w:firstLine="0" w:firstLineChars="0"/>
              <w:rPr>
                <w:rFonts w:eastAsia="仿宋"/>
                <w:sz w:val="24"/>
                <w:szCs w:val="24"/>
              </w:rPr>
            </w:pPr>
            <w:r>
              <w:rPr>
                <w:rFonts w:eastAsia="仿宋"/>
                <w:sz w:val="24"/>
                <w:szCs w:val="24"/>
              </w:rPr>
              <w:t>/</w:t>
            </w:r>
          </w:p>
        </w:tc>
        <w:tc>
          <w:tcPr>
            <w:tcW w:w="494" w:type="pct"/>
            <w:gridSpan w:val="4"/>
            <w:vAlign w:val="center"/>
          </w:tcPr>
          <w:p w14:paraId="286D6F79">
            <w:pPr>
              <w:pStyle w:val="33"/>
              <w:spacing w:line="240" w:lineRule="auto"/>
              <w:ind w:firstLine="0" w:firstLineChars="0"/>
              <w:rPr>
                <w:rFonts w:eastAsia="仿宋"/>
                <w:sz w:val="24"/>
                <w:szCs w:val="24"/>
              </w:rPr>
            </w:pPr>
            <w:r>
              <w:rPr>
                <w:rFonts w:hint="eastAsia" w:eastAsia="仿宋"/>
                <w:sz w:val="24"/>
                <w:szCs w:val="24"/>
              </w:rPr>
              <w:t>2147.81</w:t>
            </w:r>
          </w:p>
        </w:tc>
        <w:tc>
          <w:tcPr>
            <w:tcW w:w="494" w:type="pct"/>
            <w:gridSpan w:val="3"/>
            <w:vAlign w:val="center"/>
          </w:tcPr>
          <w:p w14:paraId="169B6A39">
            <w:pPr>
              <w:pStyle w:val="33"/>
              <w:spacing w:line="240" w:lineRule="auto"/>
              <w:ind w:firstLine="0" w:firstLineChars="0"/>
              <w:rPr>
                <w:rFonts w:eastAsia="仿宋"/>
                <w:sz w:val="24"/>
                <w:szCs w:val="24"/>
              </w:rPr>
            </w:pPr>
            <w:r>
              <w:rPr>
                <w:rFonts w:hint="eastAsia" w:eastAsia="仿宋"/>
                <w:sz w:val="24"/>
                <w:szCs w:val="24"/>
              </w:rPr>
              <w:t>98%</w:t>
            </w:r>
          </w:p>
        </w:tc>
        <w:tc>
          <w:tcPr>
            <w:tcW w:w="494" w:type="pct"/>
            <w:gridSpan w:val="5"/>
            <w:vAlign w:val="center"/>
          </w:tcPr>
          <w:p w14:paraId="2EE634B5">
            <w:pPr>
              <w:pStyle w:val="33"/>
              <w:spacing w:line="240" w:lineRule="auto"/>
              <w:ind w:firstLine="0" w:firstLineChars="0"/>
              <w:rPr>
                <w:rFonts w:eastAsia="仿宋"/>
                <w:sz w:val="24"/>
                <w:szCs w:val="24"/>
              </w:rPr>
            </w:pPr>
            <w:r>
              <w:rPr>
                <w:rFonts w:eastAsia="仿宋"/>
                <w:sz w:val="24"/>
                <w:szCs w:val="24"/>
              </w:rPr>
              <w:t>/</w:t>
            </w:r>
          </w:p>
        </w:tc>
        <w:tc>
          <w:tcPr>
            <w:tcW w:w="494" w:type="pct"/>
            <w:gridSpan w:val="2"/>
            <w:vAlign w:val="center"/>
          </w:tcPr>
          <w:p w14:paraId="11D05CD4">
            <w:pPr>
              <w:pStyle w:val="33"/>
              <w:spacing w:line="240" w:lineRule="auto"/>
              <w:ind w:firstLine="0" w:firstLineChars="0"/>
              <w:rPr>
                <w:rFonts w:eastAsia="仿宋"/>
                <w:sz w:val="24"/>
                <w:szCs w:val="24"/>
              </w:rPr>
            </w:pPr>
            <w:r>
              <w:rPr>
                <w:rFonts w:eastAsia="仿宋"/>
                <w:sz w:val="24"/>
                <w:szCs w:val="24"/>
              </w:rPr>
              <w:t>/</w:t>
            </w:r>
          </w:p>
        </w:tc>
      </w:tr>
      <w:tr w14:paraId="54786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4" w:type="pct"/>
            <w:gridSpan w:val="4"/>
            <w:vAlign w:val="center"/>
          </w:tcPr>
          <w:p w14:paraId="44912BAD">
            <w:pPr>
              <w:pStyle w:val="33"/>
              <w:spacing w:line="240" w:lineRule="auto"/>
              <w:ind w:firstLine="0" w:firstLineChars="0"/>
              <w:rPr>
                <w:rFonts w:eastAsia="仿宋"/>
                <w:sz w:val="24"/>
                <w:szCs w:val="24"/>
              </w:rPr>
            </w:pPr>
            <w:r>
              <w:rPr>
                <w:rFonts w:eastAsia="仿宋"/>
                <w:sz w:val="24"/>
                <w:szCs w:val="24"/>
              </w:rPr>
              <w:t>农药包装废弃物</w:t>
            </w:r>
          </w:p>
        </w:tc>
        <w:tc>
          <w:tcPr>
            <w:tcW w:w="494" w:type="pct"/>
            <w:gridSpan w:val="3"/>
            <w:vAlign w:val="center"/>
          </w:tcPr>
          <w:p w14:paraId="2D668292">
            <w:pPr>
              <w:pStyle w:val="33"/>
              <w:spacing w:line="240" w:lineRule="auto"/>
              <w:ind w:firstLine="0" w:firstLineChars="0"/>
              <w:rPr>
                <w:rFonts w:eastAsia="仿宋"/>
                <w:sz w:val="24"/>
                <w:szCs w:val="24"/>
              </w:rPr>
            </w:pPr>
            <w:r>
              <w:rPr>
                <w:rFonts w:eastAsia="仿宋"/>
                <w:sz w:val="24"/>
                <w:szCs w:val="24"/>
              </w:rPr>
              <w:t>/</w:t>
            </w:r>
          </w:p>
        </w:tc>
        <w:tc>
          <w:tcPr>
            <w:tcW w:w="494" w:type="pct"/>
            <w:gridSpan w:val="5"/>
            <w:vAlign w:val="center"/>
          </w:tcPr>
          <w:p w14:paraId="44056661">
            <w:pPr>
              <w:pStyle w:val="33"/>
              <w:spacing w:line="240" w:lineRule="auto"/>
              <w:ind w:firstLine="0" w:firstLineChars="0"/>
              <w:rPr>
                <w:rFonts w:eastAsia="仿宋"/>
                <w:sz w:val="24"/>
                <w:szCs w:val="24"/>
              </w:rPr>
            </w:pPr>
            <w:r>
              <w:rPr>
                <w:rFonts w:eastAsia="仿宋"/>
                <w:sz w:val="24"/>
                <w:szCs w:val="24"/>
              </w:rPr>
              <w:t>/</w:t>
            </w:r>
          </w:p>
        </w:tc>
        <w:tc>
          <w:tcPr>
            <w:tcW w:w="494" w:type="pct"/>
            <w:gridSpan w:val="4"/>
            <w:vAlign w:val="center"/>
          </w:tcPr>
          <w:p w14:paraId="7C06CA3B">
            <w:pPr>
              <w:pStyle w:val="33"/>
              <w:spacing w:line="240" w:lineRule="auto"/>
              <w:ind w:firstLine="0" w:firstLineChars="0"/>
              <w:rPr>
                <w:rFonts w:eastAsia="仿宋"/>
                <w:sz w:val="24"/>
                <w:szCs w:val="24"/>
              </w:rPr>
            </w:pPr>
            <w:r>
              <w:rPr>
                <w:rFonts w:hint="eastAsia" w:eastAsia="仿宋"/>
                <w:sz w:val="24"/>
                <w:szCs w:val="24"/>
              </w:rPr>
              <w:t>/</w:t>
            </w:r>
          </w:p>
        </w:tc>
        <w:tc>
          <w:tcPr>
            <w:tcW w:w="494" w:type="pct"/>
            <w:gridSpan w:val="3"/>
            <w:vAlign w:val="center"/>
          </w:tcPr>
          <w:p w14:paraId="38329DD5">
            <w:pPr>
              <w:pStyle w:val="33"/>
              <w:spacing w:line="240" w:lineRule="auto"/>
              <w:ind w:firstLine="0" w:firstLineChars="0"/>
              <w:rPr>
                <w:rFonts w:eastAsia="仿宋"/>
                <w:sz w:val="24"/>
                <w:szCs w:val="24"/>
              </w:rPr>
            </w:pPr>
            <w:r>
              <w:rPr>
                <w:rFonts w:eastAsia="仿宋"/>
                <w:sz w:val="24"/>
                <w:szCs w:val="24"/>
              </w:rPr>
              <w:t>/</w:t>
            </w:r>
          </w:p>
        </w:tc>
        <w:tc>
          <w:tcPr>
            <w:tcW w:w="494" w:type="pct"/>
            <w:gridSpan w:val="4"/>
            <w:vAlign w:val="center"/>
          </w:tcPr>
          <w:p w14:paraId="60A52796">
            <w:pPr>
              <w:pStyle w:val="33"/>
              <w:spacing w:line="240" w:lineRule="auto"/>
              <w:ind w:firstLine="0" w:firstLineChars="0"/>
              <w:rPr>
                <w:rFonts w:eastAsia="仿宋"/>
                <w:sz w:val="24"/>
                <w:szCs w:val="24"/>
              </w:rPr>
            </w:pPr>
            <w:r>
              <w:rPr>
                <w:rFonts w:eastAsia="仿宋"/>
                <w:sz w:val="24"/>
                <w:szCs w:val="24"/>
              </w:rPr>
              <w:t>/</w:t>
            </w:r>
          </w:p>
        </w:tc>
        <w:tc>
          <w:tcPr>
            <w:tcW w:w="494" w:type="pct"/>
            <w:gridSpan w:val="3"/>
            <w:vAlign w:val="center"/>
          </w:tcPr>
          <w:p w14:paraId="4A37C3CC">
            <w:pPr>
              <w:pStyle w:val="33"/>
              <w:spacing w:line="240" w:lineRule="auto"/>
              <w:ind w:firstLine="0" w:firstLineChars="0"/>
              <w:rPr>
                <w:rFonts w:eastAsia="仿宋"/>
                <w:sz w:val="24"/>
                <w:szCs w:val="24"/>
              </w:rPr>
            </w:pPr>
            <w:r>
              <w:rPr>
                <w:rFonts w:eastAsia="仿宋"/>
                <w:sz w:val="24"/>
                <w:szCs w:val="24"/>
              </w:rPr>
              <w:t>/</w:t>
            </w:r>
          </w:p>
        </w:tc>
        <w:tc>
          <w:tcPr>
            <w:tcW w:w="494" w:type="pct"/>
            <w:gridSpan w:val="5"/>
            <w:vAlign w:val="center"/>
          </w:tcPr>
          <w:p w14:paraId="040F6A97">
            <w:pPr>
              <w:pStyle w:val="33"/>
              <w:spacing w:line="240" w:lineRule="auto"/>
              <w:ind w:firstLine="0" w:firstLineChars="0"/>
              <w:rPr>
                <w:rFonts w:eastAsia="仿宋"/>
                <w:sz w:val="24"/>
                <w:szCs w:val="24"/>
              </w:rPr>
            </w:pPr>
            <w:r>
              <w:rPr>
                <w:rFonts w:hint="eastAsia" w:eastAsia="仿宋"/>
                <w:sz w:val="24"/>
                <w:szCs w:val="24"/>
              </w:rPr>
              <w:t>/</w:t>
            </w:r>
          </w:p>
        </w:tc>
        <w:tc>
          <w:tcPr>
            <w:tcW w:w="494" w:type="pct"/>
            <w:gridSpan w:val="2"/>
            <w:vAlign w:val="center"/>
          </w:tcPr>
          <w:p w14:paraId="4184FBAF">
            <w:pPr>
              <w:pStyle w:val="33"/>
              <w:spacing w:line="240" w:lineRule="auto"/>
              <w:ind w:firstLine="0" w:firstLineChars="0"/>
              <w:rPr>
                <w:rFonts w:eastAsia="仿宋"/>
                <w:sz w:val="24"/>
                <w:szCs w:val="24"/>
              </w:rPr>
            </w:pPr>
            <w:r>
              <w:rPr>
                <w:rFonts w:hint="eastAsia" w:eastAsia="仿宋"/>
                <w:sz w:val="24"/>
                <w:szCs w:val="24"/>
              </w:rPr>
              <w:t>/</w:t>
            </w:r>
          </w:p>
        </w:tc>
      </w:tr>
      <w:tr w14:paraId="0736A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3"/>
            <w:vAlign w:val="center"/>
          </w:tcPr>
          <w:p w14:paraId="0B3CF5E5">
            <w:pPr>
              <w:pStyle w:val="33"/>
              <w:spacing w:line="240" w:lineRule="auto"/>
              <w:ind w:firstLine="0" w:firstLineChars="0"/>
              <w:jc w:val="both"/>
              <w:rPr>
                <w:rFonts w:eastAsia="仿宋"/>
                <w:b/>
                <w:bCs/>
                <w:sz w:val="24"/>
                <w:szCs w:val="24"/>
              </w:rPr>
            </w:pPr>
            <w:r>
              <w:rPr>
                <w:rFonts w:eastAsia="仿宋"/>
                <w:b/>
                <w:bCs/>
                <w:sz w:val="24"/>
                <w:szCs w:val="24"/>
              </w:rPr>
              <w:t>生活源固体废物</w:t>
            </w:r>
          </w:p>
        </w:tc>
      </w:tr>
      <w:tr w14:paraId="54D20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 w:type="pct"/>
            <w:gridSpan w:val="3"/>
            <w:vAlign w:val="center"/>
          </w:tcPr>
          <w:p w14:paraId="0EDB1F6A">
            <w:pPr>
              <w:pStyle w:val="33"/>
              <w:spacing w:line="240" w:lineRule="auto"/>
              <w:ind w:firstLine="0" w:firstLineChars="0"/>
              <w:rPr>
                <w:rFonts w:eastAsia="仿宋"/>
                <w:b/>
                <w:bCs/>
                <w:sz w:val="24"/>
                <w:szCs w:val="24"/>
              </w:rPr>
            </w:pPr>
            <w:r>
              <w:rPr>
                <w:rFonts w:eastAsia="仿宋"/>
                <w:b/>
                <w:bCs/>
                <w:sz w:val="24"/>
                <w:szCs w:val="24"/>
              </w:rPr>
              <w:t>类别</w:t>
            </w:r>
          </w:p>
        </w:tc>
        <w:tc>
          <w:tcPr>
            <w:tcW w:w="954" w:type="pct"/>
            <w:gridSpan w:val="5"/>
            <w:vAlign w:val="center"/>
          </w:tcPr>
          <w:p w14:paraId="322C4685">
            <w:pPr>
              <w:pStyle w:val="33"/>
              <w:spacing w:line="240" w:lineRule="auto"/>
              <w:ind w:firstLine="0" w:firstLineChars="0"/>
              <w:rPr>
                <w:rFonts w:eastAsia="仿宋"/>
                <w:b/>
                <w:bCs/>
                <w:sz w:val="24"/>
                <w:szCs w:val="24"/>
              </w:rPr>
            </w:pPr>
            <w:r>
              <w:rPr>
                <w:rFonts w:eastAsia="仿宋"/>
                <w:b/>
                <w:bCs/>
                <w:sz w:val="24"/>
                <w:szCs w:val="24"/>
              </w:rPr>
              <w:t>清运/回收总量</w:t>
            </w:r>
          </w:p>
        </w:tc>
        <w:tc>
          <w:tcPr>
            <w:tcW w:w="639" w:type="pct"/>
            <w:gridSpan w:val="6"/>
            <w:vAlign w:val="center"/>
          </w:tcPr>
          <w:p w14:paraId="5FA9EC66">
            <w:pPr>
              <w:pStyle w:val="33"/>
              <w:spacing w:line="240" w:lineRule="auto"/>
              <w:ind w:firstLine="0" w:firstLineChars="0"/>
              <w:rPr>
                <w:rFonts w:eastAsia="仿宋"/>
                <w:b/>
                <w:bCs/>
                <w:sz w:val="24"/>
                <w:szCs w:val="24"/>
              </w:rPr>
            </w:pPr>
            <w:r>
              <w:rPr>
                <w:rFonts w:eastAsia="仿宋"/>
                <w:b/>
                <w:bCs/>
                <w:sz w:val="24"/>
                <w:szCs w:val="24"/>
              </w:rPr>
              <w:t>分类覆盖率</w:t>
            </w:r>
          </w:p>
        </w:tc>
        <w:tc>
          <w:tcPr>
            <w:tcW w:w="791" w:type="pct"/>
            <w:gridSpan w:val="6"/>
            <w:vAlign w:val="center"/>
          </w:tcPr>
          <w:p w14:paraId="5E00E9DA">
            <w:pPr>
              <w:pStyle w:val="33"/>
              <w:spacing w:line="240" w:lineRule="auto"/>
              <w:ind w:firstLine="0" w:firstLineChars="0"/>
              <w:rPr>
                <w:rFonts w:eastAsia="仿宋"/>
                <w:b/>
                <w:bCs/>
                <w:sz w:val="24"/>
                <w:szCs w:val="24"/>
              </w:rPr>
            </w:pPr>
            <w:r>
              <w:rPr>
                <w:rFonts w:eastAsia="仿宋"/>
                <w:b/>
                <w:bCs/>
                <w:sz w:val="24"/>
                <w:szCs w:val="24"/>
              </w:rPr>
              <w:t>综合利用量</w:t>
            </w:r>
          </w:p>
        </w:tc>
        <w:tc>
          <w:tcPr>
            <w:tcW w:w="582" w:type="pct"/>
            <w:gridSpan w:val="4"/>
            <w:vAlign w:val="center"/>
          </w:tcPr>
          <w:p w14:paraId="10FF23C2">
            <w:pPr>
              <w:pStyle w:val="33"/>
              <w:spacing w:line="240" w:lineRule="auto"/>
              <w:ind w:firstLine="0" w:firstLineChars="0"/>
              <w:rPr>
                <w:rFonts w:eastAsia="仿宋"/>
                <w:b/>
                <w:bCs/>
                <w:sz w:val="24"/>
                <w:szCs w:val="24"/>
              </w:rPr>
            </w:pPr>
            <w:r>
              <w:rPr>
                <w:rFonts w:eastAsia="仿宋"/>
                <w:b/>
                <w:bCs/>
                <w:sz w:val="24"/>
                <w:szCs w:val="24"/>
              </w:rPr>
              <w:t>综合利用率</w:t>
            </w:r>
          </w:p>
        </w:tc>
        <w:tc>
          <w:tcPr>
            <w:tcW w:w="739" w:type="pct"/>
            <w:gridSpan w:val="6"/>
            <w:vAlign w:val="center"/>
          </w:tcPr>
          <w:p w14:paraId="7F5D1505">
            <w:pPr>
              <w:pStyle w:val="33"/>
              <w:spacing w:line="240" w:lineRule="auto"/>
              <w:ind w:firstLine="0" w:firstLineChars="0"/>
              <w:rPr>
                <w:rFonts w:eastAsia="仿宋"/>
                <w:b/>
                <w:bCs/>
                <w:sz w:val="24"/>
                <w:szCs w:val="24"/>
              </w:rPr>
            </w:pPr>
            <w:r>
              <w:rPr>
                <w:rFonts w:eastAsia="仿宋"/>
                <w:b/>
                <w:bCs/>
                <w:sz w:val="24"/>
                <w:szCs w:val="24"/>
              </w:rPr>
              <w:t>处置量</w:t>
            </w:r>
          </w:p>
        </w:tc>
        <w:tc>
          <w:tcPr>
            <w:tcW w:w="563" w:type="pct"/>
            <w:gridSpan w:val="3"/>
            <w:vAlign w:val="center"/>
          </w:tcPr>
          <w:p w14:paraId="0BD51313">
            <w:pPr>
              <w:pStyle w:val="33"/>
              <w:spacing w:line="240" w:lineRule="auto"/>
              <w:ind w:firstLine="0" w:firstLineChars="0"/>
              <w:rPr>
                <w:rFonts w:eastAsia="仿宋"/>
                <w:b/>
                <w:bCs/>
                <w:sz w:val="24"/>
                <w:szCs w:val="24"/>
              </w:rPr>
            </w:pPr>
            <w:r>
              <w:rPr>
                <w:rFonts w:eastAsia="仿宋"/>
                <w:b/>
                <w:bCs/>
                <w:sz w:val="24"/>
                <w:szCs w:val="24"/>
              </w:rPr>
              <w:t>处置率</w:t>
            </w:r>
          </w:p>
        </w:tc>
      </w:tr>
      <w:tr w14:paraId="055CB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 w:type="pct"/>
            <w:vMerge w:val="restart"/>
            <w:vAlign w:val="center"/>
          </w:tcPr>
          <w:p w14:paraId="5E812592">
            <w:pPr>
              <w:pStyle w:val="33"/>
              <w:spacing w:line="240" w:lineRule="auto"/>
              <w:ind w:firstLine="0" w:firstLineChars="0"/>
              <w:rPr>
                <w:rFonts w:eastAsia="仿宋"/>
                <w:sz w:val="24"/>
                <w:szCs w:val="24"/>
              </w:rPr>
            </w:pPr>
            <w:r>
              <w:rPr>
                <w:rFonts w:eastAsia="仿宋"/>
                <w:sz w:val="24"/>
                <w:szCs w:val="24"/>
              </w:rPr>
              <w:t>生活垃圾</w:t>
            </w:r>
          </w:p>
        </w:tc>
        <w:tc>
          <w:tcPr>
            <w:tcW w:w="540" w:type="pct"/>
            <w:gridSpan w:val="2"/>
            <w:vAlign w:val="center"/>
          </w:tcPr>
          <w:p w14:paraId="3734BDFC">
            <w:pPr>
              <w:pStyle w:val="33"/>
              <w:spacing w:line="240" w:lineRule="auto"/>
              <w:ind w:firstLine="0" w:firstLineChars="0"/>
              <w:rPr>
                <w:rFonts w:eastAsia="仿宋"/>
                <w:sz w:val="24"/>
                <w:szCs w:val="24"/>
              </w:rPr>
            </w:pPr>
            <w:r>
              <w:rPr>
                <w:rFonts w:eastAsia="仿宋"/>
                <w:sz w:val="24"/>
                <w:szCs w:val="24"/>
              </w:rPr>
              <w:t>其他垃圾</w:t>
            </w:r>
          </w:p>
        </w:tc>
        <w:tc>
          <w:tcPr>
            <w:tcW w:w="954" w:type="pct"/>
            <w:gridSpan w:val="5"/>
            <w:vMerge w:val="restart"/>
            <w:vAlign w:val="center"/>
          </w:tcPr>
          <w:p w14:paraId="58B54F70">
            <w:pPr>
              <w:pStyle w:val="33"/>
              <w:spacing w:line="240" w:lineRule="auto"/>
              <w:ind w:firstLine="0" w:firstLineChars="0"/>
              <w:rPr>
                <w:rFonts w:eastAsia="仿宋"/>
                <w:sz w:val="24"/>
                <w:szCs w:val="24"/>
              </w:rPr>
            </w:pPr>
            <w:r>
              <w:rPr>
                <w:rFonts w:hint="eastAsia" w:eastAsia="仿宋"/>
                <w:sz w:val="24"/>
                <w:szCs w:val="24"/>
              </w:rPr>
              <w:t>66414.54吨</w:t>
            </w:r>
          </w:p>
        </w:tc>
        <w:tc>
          <w:tcPr>
            <w:tcW w:w="639" w:type="pct"/>
            <w:gridSpan w:val="6"/>
            <w:vMerge w:val="restart"/>
            <w:vAlign w:val="center"/>
          </w:tcPr>
          <w:p w14:paraId="66CAE574">
            <w:pPr>
              <w:pStyle w:val="33"/>
              <w:spacing w:line="240" w:lineRule="auto"/>
              <w:ind w:firstLine="0" w:firstLineChars="0"/>
              <w:rPr>
                <w:sz w:val="24"/>
                <w:szCs w:val="24"/>
              </w:rPr>
            </w:pPr>
            <w:r>
              <w:rPr>
                <w:sz w:val="24"/>
                <w:szCs w:val="24"/>
              </w:rPr>
              <w:t>城市居民小区生活垃圾分类覆盖率</w:t>
            </w:r>
            <w:r>
              <w:rPr>
                <w:rFonts w:hint="eastAsia"/>
                <w:sz w:val="24"/>
                <w:szCs w:val="24"/>
              </w:rPr>
              <w:t>95.6%；</w:t>
            </w:r>
            <w:r>
              <w:rPr>
                <w:sz w:val="24"/>
                <w:szCs w:val="24"/>
              </w:rPr>
              <w:t>农村地区生活垃圾分类覆盖率</w:t>
            </w:r>
            <w:r>
              <w:rPr>
                <w:rFonts w:hint="eastAsia"/>
                <w:sz w:val="24"/>
                <w:szCs w:val="24"/>
              </w:rPr>
              <w:t>100%</w:t>
            </w:r>
          </w:p>
        </w:tc>
        <w:tc>
          <w:tcPr>
            <w:tcW w:w="791" w:type="pct"/>
            <w:gridSpan w:val="6"/>
            <w:vMerge w:val="restart"/>
            <w:vAlign w:val="center"/>
          </w:tcPr>
          <w:p w14:paraId="39B51430">
            <w:pPr>
              <w:pStyle w:val="33"/>
              <w:spacing w:line="240" w:lineRule="auto"/>
              <w:ind w:firstLine="0" w:firstLineChars="0"/>
              <w:rPr>
                <w:rFonts w:eastAsia="仿宋"/>
                <w:sz w:val="24"/>
                <w:szCs w:val="24"/>
              </w:rPr>
            </w:pPr>
            <w:r>
              <w:rPr>
                <w:rFonts w:hint="eastAsia" w:eastAsia="仿宋"/>
                <w:sz w:val="24"/>
                <w:szCs w:val="24"/>
              </w:rPr>
              <w:t>/</w:t>
            </w:r>
          </w:p>
        </w:tc>
        <w:tc>
          <w:tcPr>
            <w:tcW w:w="582" w:type="pct"/>
            <w:gridSpan w:val="4"/>
            <w:vMerge w:val="restart"/>
            <w:vAlign w:val="center"/>
          </w:tcPr>
          <w:p w14:paraId="1241E36E">
            <w:pPr>
              <w:pStyle w:val="33"/>
              <w:spacing w:line="240" w:lineRule="auto"/>
              <w:ind w:firstLine="0" w:firstLineChars="0"/>
              <w:rPr>
                <w:rFonts w:eastAsia="仿宋"/>
                <w:sz w:val="24"/>
                <w:szCs w:val="24"/>
              </w:rPr>
            </w:pPr>
            <w:r>
              <w:rPr>
                <w:rFonts w:hint="eastAsia" w:eastAsia="仿宋"/>
                <w:sz w:val="24"/>
                <w:szCs w:val="24"/>
              </w:rPr>
              <w:t>/</w:t>
            </w:r>
          </w:p>
        </w:tc>
        <w:tc>
          <w:tcPr>
            <w:tcW w:w="739" w:type="pct"/>
            <w:gridSpan w:val="6"/>
            <w:vMerge w:val="restart"/>
            <w:vAlign w:val="center"/>
          </w:tcPr>
          <w:p w14:paraId="3E1F1801">
            <w:pPr>
              <w:pStyle w:val="33"/>
              <w:spacing w:line="240" w:lineRule="auto"/>
              <w:ind w:firstLine="0" w:firstLineChars="0"/>
              <w:rPr>
                <w:rFonts w:eastAsia="仿宋"/>
                <w:sz w:val="24"/>
                <w:szCs w:val="24"/>
              </w:rPr>
            </w:pPr>
            <w:r>
              <w:rPr>
                <w:rFonts w:hint="eastAsia" w:eastAsia="仿宋"/>
                <w:sz w:val="24"/>
                <w:szCs w:val="24"/>
              </w:rPr>
              <w:t>66414.54</w:t>
            </w:r>
          </w:p>
        </w:tc>
        <w:tc>
          <w:tcPr>
            <w:tcW w:w="563" w:type="pct"/>
            <w:gridSpan w:val="3"/>
            <w:vMerge w:val="restart"/>
            <w:vAlign w:val="center"/>
          </w:tcPr>
          <w:p w14:paraId="3B68B09E">
            <w:pPr>
              <w:pStyle w:val="33"/>
              <w:spacing w:line="240" w:lineRule="auto"/>
              <w:ind w:firstLine="0" w:firstLineChars="0"/>
              <w:rPr>
                <w:rFonts w:eastAsia="仿宋"/>
                <w:sz w:val="24"/>
                <w:szCs w:val="24"/>
              </w:rPr>
            </w:pPr>
            <w:r>
              <w:rPr>
                <w:rFonts w:hint="eastAsia" w:eastAsia="仿宋"/>
                <w:sz w:val="24"/>
                <w:szCs w:val="24"/>
              </w:rPr>
              <w:t>100%</w:t>
            </w:r>
          </w:p>
        </w:tc>
      </w:tr>
      <w:tr w14:paraId="2262D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 w:type="pct"/>
            <w:vMerge w:val="continue"/>
            <w:vAlign w:val="center"/>
          </w:tcPr>
          <w:p w14:paraId="7A3700E6">
            <w:pPr>
              <w:pStyle w:val="33"/>
              <w:spacing w:line="240" w:lineRule="auto"/>
              <w:ind w:firstLine="0" w:firstLineChars="0"/>
              <w:rPr>
                <w:rFonts w:eastAsia="仿宋"/>
                <w:sz w:val="24"/>
                <w:szCs w:val="24"/>
              </w:rPr>
            </w:pPr>
          </w:p>
        </w:tc>
        <w:tc>
          <w:tcPr>
            <w:tcW w:w="540" w:type="pct"/>
            <w:gridSpan w:val="2"/>
            <w:vAlign w:val="center"/>
          </w:tcPr>
          <w:p w14:paraId="29A8752F">
            <w:pPr>
              <w:pStyle w:val="33"/>
              <w:spacing w:line="240" w:lineRule="auto"/>
              <w:ind w:firstLine="0" w:firstLineChars="0"/>
              <w:rPr>
                <w:rFonts w:eastAsia="仿宋"/>
                <w:sz w:val="24"/>
                <w:szCs w:val="24"/>
              </w:rPr>
            </w:pPr>
            <w:r>
              <w:rPr>
                <w:rFonts w:eastAsia="仿宋"/>
                <w:sz w:val="24"/>
                <w:szCs w:val="24"/>
              </w:rPr>
              <w:t>厨余垃圾</w:t>
            </w:r>
          </w:p>
        </w:tc>
        <w:tc>
          <w:tcPr>
            <w:tcW w:w="954" w:type="pct"/>
            <w:gridSpan w:val="5"/>
            <w:vMerge w:val="continue"/>
            <w:vAlign w:val="center"/>
          </w:tcPr>
          <w:p w14:paraId="52F8F05F">
            <w:pPr>
              <w:pStyle w:val="33"/>
              <w:spacing w:line="240" w:lineRule="auto"/>
              <w:ind w:firstLine="0" w:firstLineChars="0"/>
              <w:rPr>
                <w:rFonts w:eastAsia="仿宋"/>
                <w:sz w:val="24"/>
                <w:szCs w:val="24"/>
              </w:rPr>
            </w:pPr>
          </w:p>
        </w:tc>
        <w:tc>
          <w:tcPr>
            <w:tcW w:w="639" w:type="pct"/>
            <w:gridSpan w:val="6"/>
            <w:vMerge w:val="continue"/>
            <w:vAlign w:val="center"/>
          </w:tcPr>
          <w:p w14:paraId="383945C9">
            <w:pPr>
              <w:pStyle w:val="33"/>
              <w:spacing w:line="240" w:lineRule="auto"/>
              <w:ind w:firstLine="0" w:firstLineChars="0"/>
              <w:rPr>
                <w:rFonts w:eastAsia="仿宋"/>
                <w:sz w:val="24"/>
                <w:szCs w:val="24"/>
              </w:rPr>
            </w:pPr>
          </w:p>
        </w:tc>
        <w:tc>
          <w:tcPr>
            <w:tcW w:w="791" w:type="pct"/>
            <w:gridSpan w:val="6"/>
            <w:vMerge w:val="continue"/>
            <w:vAlign w:val="center"/>
          </w:tcPr>
          <w:p w14:paraId="5ADA552C">
            <w:pPr>
              <w:pStyle w:val="33"/>
              <w:spacing w:line="240" w:lineRule="auto"/>
              <w:ind w:firstLine="0" w:firstLineChars="0"/>
              <w:rPr>
                <w:rFonts w:eastAsia="仿宋"/>
                <w:sz w:val="24"/>
                <w:szCs w:val="24"/>
              </w:rPr>
            </w:pPr>
          </w:p>
        </w:tc>
        <w:tc>
          <w:tcPr>
            <w:tcW w:w="582" w:type="pct"/>
            <w:gridSpan w:val="4"/>
            <w:vMerge w:val="continue"/>
            <w:vAlign w:val="center"/>
          </w:tcPr>
          <w:p w14:paraId="5D6F25B2">
            <w:pPr>
              <w:pStyle w:val="33"/>
              <w:spacing w:line="240" w:lineRule="auto"/>
              <w:ind w:firstLine="0" w:firstLineChars="0"/>
              <w:rPr>
                <w:rFonts w:eastAsia="仿宋"/>
                <w:sz w:val="24"/>
                <w:szCs w:val="24"/>
              </w:rPr>
            </w:pPr>
          </w:p>
        </w:tc>
        <w:tc>
          <w:tcPr>
            <w:tcW w:w="739" w:type="pct"/>
            <w:gridSpan w:val="6"/>
            <w:vMerge w:val="continue"/>
            <w:vAlign w:val="center"/>
          </w:tcPr>
          <w:p w14:paraId="485217CC">
            <w:pPr>
              <w:pStyle w:val="33"/>
              <w:spacing w:line="240" w:lineRule="auto"/>
              <w:ind w:firstLine="0" w:firstLineChars="0"/>
              <w:rPr>
                <w:rFonts w:eastAsia="仿宋"/>
                <w:sz w:val="24"/>
                <w:szCs w:val="24"/>
              </w:rPr>
            </w:pPr>
          </w:p>
        </w:tc>
        <w:tc>
          <w:tcPr>
            <w:tcW w:w="563" w:type="pct"/>
            <w:gridSpan w:val="3"/>
            <w:vMerge w:val="continue"/>
            <w:vAlign w:val="center"/>
          </w:tcPr>
          <w:p w14:paraId="51285BA2">
            <w:pPr>
              <w:pStyle w:val="33"/>
              <w:spacing w:line="240" w:lineRule="auto"/>
              <w:ind w:firstLine="0" w:firstLineChars="0"/>
              <w:rPr>
                <w:rFonts w:eastAsia="仿宋"/>
                <w:sz w:val="24"/>
                <w:szCs w:val="24"/>
              </w:rPr>
            </w:pPr>
          </w:p>
        </w:tc>
      </w:tr>
      <w:tr w14:paraId="00675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 w:type="pct"/>
            <w:vMerge w:val="continue"/>
            <w:vAlign w:val="center"/>
          </w:tcPr>
          <w:p w14:paraId="2E091103">
            <w:pPr>
              <w:pStyle w:val="33"/>
              <w:spacing w:line="240" w:lineRule="auto"/>
              <w:ind w:firstLine="0" w:firstLineChars="0"/>
              <w:rPr>
                <w:rFonts w:eastAsia="仿宋"/>
                <w:sz w:val="24"/>
                <w:szCs w:val="24"/>
              </w:rPr>
            </w:pPr>
          </w:p>
        </w:tc>
        <w:tc>
          <w:tcPr>
            <w:tcW w:w="540" w:type="pct"/>
            <w:gridSpan w:val="2"/>
            <w:vAlign w:val="center"/>
          </w:tcPr>
          <w:p w14:paraId="6D3F4834">
            <w:pPr>
              <w:pStyle w:val="33"/>
              <w:spacing w:line="240" w:lineRule="auto"/>
              <w:ind w:firstLine="0" w:firstLineChars="0"/>
              <w:rPr>
                <w:rFonts w:eastAsia="仿宋"/>
                <w:sz w:val="24"/>
                <w:szCs w:val="24"/>
              </w:rPr>
            </w:pPr>
            <w:r>
              <w:rPr>
                <w:rFonts w:eastAsia="仿宋"/>
                <w:sz w:val="24"/>
                <w:szCs w:val="24"/>
              </w:rPr>
              <w:t>可回收物</w:t>
            </w:r>
          </w:p>
        </w:tc>
        <w:tc>
          <w:tcPr>
            <w:tcW w:w="954" w:type="pct"/>
            <w:gridSpan w:val="5"/>
            <w:vAlign w:val="center"/>
          </w:tcPr>
          <w:p w14:paraId="02762CD5">
            <w:pPr>
              <w:pStyle w:val="33"/>
              <w:spacing w:line="240" w:lineRule="auto"/>
              <w:ind w:firstLine="0" w:firstLineChars="0"/>
              <w:rPr>
                <w:rFonts w:eastAsia="仿宋"/>
                <w:sz w:val="24"/>
                <w:szCs w:val="24"/>
              </w:rPr>
            </w:pPr>
            <w:r>
              <w:rPr>
                <w:rFonts w:hint="eastAsia" w:eastAsia="仿宋"/>
                <w:sz w:val="24"/>
                <w:szCs w:val="24"/>
              </w:rPr>
              <w:t>125吨</w:t>
            </w:r>
          </w:p>
        </w:tc>
        <w:tc>
          <w:tcPr>
            <w:tcW w:w="639" w:type="pct"/>
            <w:gridSpan w:val="6"/>
            <w:vMerge w:val="continue"/>
            <w:vAlign w:val="center"/>
          </w:tcPr>
          <w:p w14:paraId="34ED77C9">
            <w:pPr>
              <w:pStyle w:val="33"/>
              <w:spacing w:line="240" w:lineRule="auto"/>
              <w:ind w:firstLine="0" w:firstLineChars="0"/>
              <w:rPr>
                <w:rFonts w:eastAsia="仿宋"/>
                <w:sz w:val="24"/>
                <w:szCs w:val="24"/>
              </w:rPr>
            </w:pPr>
          </w:p>
        </w:tc>
        <w:tc>
          <w:tcPr>
            <w:tcW w:w="791" w:type="pct"/>
            <w:gridSpan w:val="6"/>
            <w:vAlign w:val="center"/>
          </w:tcPr>
          <w:p w14:paraId="683BDC45">
            <w:pPr>
              <w:pStyle w:val="33"/>
              <w:spacing w:line="240" w:lineRule="auto"/>
              <w:ind w:firstLine="0" w:firstLineChars="0"/>
              <w:rPr>
                <w:rFonts w:eastAsia="仿宋"/>
                <w:sz w:val="24"/>
                <w:szCs w:val="24"/>
              </w:rPr>
            </w:pPr>
            <w:r>
              <w:rPr>
                <w:rFonts w:hint="eastAsia" w:eastAsia="仿宋"/>
                <w:sz w:val="24"/>
                <w:szCs w:val="24"/>
              </w:rPr>
              <w:t>125吨</w:t>
            </w:r>
          </w:p>
        </w:tc>
        <w:tc>
          <w:tcPr>
            <w:tcW w:w="582" w:type="pct"/>
            <w:gridSpan w:val="4"/>
            <w:vAlign w:val="center"/>
          </w:tcPr>
          <w:p w14:paraId="3803E9A6">
            <w:pPr>
              <w:pStyle w:val="33"/>
              <w:spacing w:line="240" w:lineRule="auto"/>
              <w:ind w:firstLine="0" w:firstLineChars="0"/>
              <w:rPr>
                <w:rFonts w:eastAsia="仿宋"/>
                <w:sz w:val="24"/>
                <w:szCs w:val="24"/>
              </w:rPr>
            </w:pPr>
            <w:r>
              <w:rPr>
                <w:rFonts w:hint="eastAsia" w:eastAsia="仿宋"/>
                <w:sz w:val="24"/>
                <w:szCs w:val="24"/>
              </w:rPr>
              <w:t>100%</w:t>
            </w:r>
          </w:p>
        </w:tc>
        <w:tc>
          <w:tcPr>
            <w:tcW w:w="739" w:type="pct"/>
            <w:gridSpan w:val="6"/>
            <w:vAlign w:val="center"/>
          </w:tcPr>
          <w:p w14:paraId="43D832CC">
            <w:pPr>
              <w:pStyle w:val="33"/>
              <w:spacing w:line="240" w:lineRule="auto"/>
              <w:ind w:firstLine="0" w:firstLineChars="0"/>
              <w:rPr>
                <w:rFonts w:eastAsia="仿宋"/>
                <w:sz w:val="24"/>
                <w:szCs w:val="24"/>
              </w:rPr>
            </w:pPr>
            <w:r>
              <w:rPr>
                <w:rFonts w:hint="eastAsia" w:eastAsia="仿宋"/>
                <w:sz w:val="24"/>
                <w:szCs w:val="24"/>
              </w:rPr>
              <w:t>/</w:t>
            </w:r>
          </w:p>
        </w:tc>
        <w:tc>
          <w:tcPr>
            <w:tcW w:w="563" w:type="pct"/>
            <w:gridSpan w:val="3"/>
            <w:vAlign w:val="center"/>
          </w:tcPr>
          <w:p w14:paraId="23E1AE01">
            <w:pPr>
              <w:pStyle w:val="33"/>
              <w:spacing w:line="240" w:lineRule="auto"/>
              <w:ind w:firstLine="0" w:firstLineChars="0"/>
              <w:rPr>
                <w:rFonts w:eastAsia="仿宋"/>
                <w:sz w:val="24"/>
                <w:szCs w:val="24"/>
              </w:rPr>
            </w:pPr>
            <w:r>
              <w:rPr>
                <w:rFonts w:hint="eastAsia" w:eastAsia="仿宋"/>
                <w:sz w:val="24"/>
                <w:szCs w:val="24"/>
              </w:rPr>
              <w:t>/</w:t>
            </w:r>
          </w:p>
        </w:tc>
      </w:tr>
      <w:tr w14:paraId="4DAFB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 w:type="pct"/>
            <w:vMerge w:val="continue"/>
            <w:vAlign w:val="center"/>
          </w:tcPr>
          <w:p w14:paraId="0C65586E">
            <w:pPr>
              <w:pStyle w:val="33"/>
              <w:spacing w:line="240" w:lineRule="auto"/>
              <w:ind w:firstLine="0" w:firstLineChars="0"/>
              <w:rPr>
                <w:rFonts w:eastAsia="仿宋"/>
                <w:sz w:val="24"/>
                <w:szCs w:val="24"/>
              </w:rPr>
            </w:pPr>
          </w:p>
        </w:tc>
        <w:tc>
          <w:tcPr>
            <w:tcW w:w="540" w:type="pct"/>
            <w:gridSpan w:val="2"/>
            <w:vAlign w:val="center"/>
          </w:tcPr>
          <w:p w14:paraId="30456DCC">
            <w:pPr>
              <w:pStyle w:val="33"/>
              <w:spacing w:line="240" w:lineRule="auto"/>
              <w:ind w:firstLine="0" w:firstLineChars="0"/>
              <w:rPr>
                <w:rFonts w:eastAsia="仿宋"/>
                <w:sz w:val="24"/>
                <w:szCs w:val="24"/>
              </w:rPr>
            </w:pPr>
            <w:r>
              <w:rPr>
                <w:rFonts w:eastAsia="仿宋"/>
                <w:sz w:val="24"/>
                <w:szCs w:val="24"/>
              </w:rPr>
              <w:t>有害垃圾</w:t>
            </w:r>
          </w:p>
        </w:tc>
        <w:tc>
          <w:tcPr>
            <w:tcW w:w="954" w:type="pct"/>
            <w:gridSpan w:val="5"/>
            <w:vAlign w:val="center"/>
          </w:tcPr>
          <w:p w14:paraId="4E00E2D3">
            <w:pPr>
              <w:pStyle w:val="33"/>
              <w:spacing w:line="240" w:lineRule="auto"/>
              <w:ind w:firstLine="0" w:firstLineChars="0"/>
              <w:rPr>
                <w:rFonts w:eastAsia="仿宋"/>
                <w:sz w:val="24"/>
                <w:szCs w:val="24"/>
              </w:rPr>
            </w:pPr>
            <w:r>
              <w:rPr>
                <w:rFonts w:hint="eastAsia" w:eastAsia="仿宋"/>
                <w:sz w:val="24"/>
                <w:szCs w:val="24"/>
              </w:rPr>
              <w:t>2022年暂存155.03kg，截至2022年底共暂存1678.78kg</w:t>
            </w:r>
          </w:p>
        </w:tc>
        <w:tc>
          <w:tcPr>
            <w:tcW w:w="639" w:type="pct"/>
            <w:gridSpan w:val="6"/>
            <w:vMerge w:val="continue"/>
            <w:vAlign w:val="center"/>
          </w:tcPr>
          <w:p w14:paraId="2E93C99A">
            <w:pPr>
              <w:pStyle w:val="33"/>
              <w:spacing w:line="240" w:lineRule="auto"/>
              <w:ind w:firstLine="0" w:firstLineChars="0"/>
              <w:rPr>
                <w:rFonts w:eastAsia="仿宋"/>
                <w:sz w:val="24"/>
                <w:szCs w:val="24"/>
              </w:rPr>
            </w:pPr>
          </w:p>
        </w:tc>
        <w:tc>
          <w:tcPr>
            <w:tcW w:w="791" w:type="pct"/>
            <w:gridSpan w:val="6"/>
            <w:vAlign w:val="center"/>
          </w:tcPr>
          <w:p w14:paraId="1375BAFA">
            <w:pPr>
              <w:pStyle w:val="33"/>
              <w:spacing w:line="240" w:lineRule="auto"/>
              <w:ind w:firstLine="0" w:firstLineChars="0"/>
              <w:rPr>
                <w:rFonts w:eastAsia="仿宋"/>
                <w:sz w:val="24"/>
                <w:szCs w:val="24"/>
              </w:rPr>
            </w:pPr>
            <w:r>
              <w:rPr>
                <w:rFonts w:hint="eastAsia" w:eastAsia="仿宋"/>
                <w:sz w:val="24"/>
                <w:szCs w:val="24"/>
              </w:rPr>
              <w:t>/</w:t>
            </w:r>
          </w:p>
        </w:tc>
        <w:tc>
          <w:tcPr>
            <w:tcW w:w="582" w:type="pct"/>
            <w:gridSpan w:val="4"/>
            <w:vAlign w:val="center"/>
          </w:tcPr>
          <w:p w14:paraId="332620D8">
            <w:pPr>
              <w:pStyle w:val="33"/>
              <w:spacing w:line="240" w:lineRule="auto"/>
              <w:ind w:firstLine="0" w:firstLineChars="0"/>
              <w:rPr>
                <w:rFonts w:eastAsia="仿宋"/>
                <w:sz w:val="24"/>
                <w:szCs w:val="24"/>
              </w:rPr>
            </w:pPr>
            <w:r>
              <w:rPr>
                <w:rFonts w:hint="eastAsia" w:eastAsia="仿宋"/>
                <w:sz w:val="24"/>
                <w:szCs w:val="24"/>
              </w:rPr>
              <w:t>/</w:t>
            </w:r>
          </w:p>
        </w:tc>
        <w:tc>
          <w:tcPr>
            <w:tcW w:w="739" w:type="pct"/>
            <w:gridSpan w:val="6"/>
            <w:vAlign w:val="center"/>
          </w:tcPr>
          <w:p w14:paraId="22952804">
            <w:pPr>
              <w:pStyle w:val="33"/>
              <w:spacing w:line="240" w:lineRule="auto"/>
              <w:ind w:firstLine="0" w:firstLineChars="0"/>
              <w:rPr>
                <w:rFonts w:eastAsia="仿宋"/>
                <w:sz w:val="24"/>
                <w:szCs w:val="24"/>
              </w:rPr>
            </w:pPr>
            <w:r>
              <w:rPr>
                <w:rFonts w:hint="eastAsia" w:eastAsia="仿宋"/>
                <w:sz w:val="24"/>
                <w:szCs w:val="24"/>
              </w:rPr>
              <w:t>/</w:t>
            </w:r>
          </w:p>
        </w:tc>
        <w:tc>
          <w:tcPr>
            <w:tcW w:w="563" w:type="pct"/>
            <w:gridSpan w:val="3"/>
            <w:vAlign w:val="center"/>
          </w:tcPr>
          <w:p w14:paraId="0390A7B1">
            <w:pPr>
              <w:pStyle w:val="33"/>
              <w:spacing w:line="240" w:lineRule="auto"/>
              <w:ind w:firstLine="0" w:firstLineChars="0"/>
              <w:rPr>
                <w:rFonts w:eastAsia="仿宋"/>
                <w:sz w:val="24"/>
                <w:szCs w:val="24"/>
              </w:rPr>
            </w:pPr>
            <w:r>
              <w:rPr>
                <w:rFonts w:hint="eastAsia" w:eastAsia="仿宋"/>
                <w:sz w:val="24"/>
                <w:szCs w:val="24"/>
              </w:rPr>
              <w:t>/</w:t>
            </w:r>
          </w:p>
        </w:tc>
      </w:tr>
      <w:tr w14:paraId="5F111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 w:type="pct"/>
            <w:gridSpan w:val="3"/>
            <w:vAlign w:val="center"/>
          </w:tcPr>
          <w:p w14:paraId="6768A255">
            <w:pPr>
              <w:pStyle w:val="33"/>
              <w:spacing w:line="240" w:lineRule="auto"/>
              <w:ind w:firstLine="0" w:firstLineChars="0"/>
              <w:rPr>
                <w:rFonts w:eastAsia="仿宋"/>
                <w:sz w:val="24"/>
                <w:szCs w:val="24"/>
              </w:rPr>
            </w:pPr>
            <w:r>
              <w:rPr>
                <w:rFonts w:hint="eastAsia" w:eastAsia="仿宋"/>
                <w:sz w:val="24"/>
                <w:szCs w:val="24"/>
              </w:rPr>
              <w:t>餐厨垃圾</w:t>
            </w:r>
          </w:p>
        </w:tc>
        <w:tc>
          <w:tcPr>
            <w:tcW w:w="954" w:type="pct"/>
            <w:gridSpan w:val="5"/>
            <w:vAlign w:val="center"/>
          </w:tcPr>
          <w:p w14:paraId="54528B9F">
            <w:pPr>
              <w:pStyle w:val="33"/>
              <w:spacing w:line="240" w:lineRule="auto"/>
              <w:ind w:firstLine="0" w:firstLineChars="0"/>
              <w:rPr>
                <w:rFonts w:eastAsia="仿宋"/>
                <w:sz w:val="24"/>
                <w:szCs w:val="24"/>
              </w:rPr>
            </w:pPr>
            <w:r>
              <w:rPr>
                <w:rFonts w:hint="eastAsia" w:eastAsia="仿宋"/>
                <w:sz w:val="24"/>
                <w:szCs w:val="24"/>
              </w:rPr>
              <w:t>5302.91吨</w:t>
            </w:r>
          </w:p>
        </w:tc>
        <w:tc>
          <w:tcPr>
            <w:tcW w:w="639" w:type="pct"/>
            <w:gridSpan w:val="6"/>
            <w:vAlign w:val="center"/>
          </w:tcPr>
          <w:p w14:paraId="7B6A27BD">
            <w:pPr>
              <w:pStyle w:val="33"/>
              <w:spacing w:line="240" w:lineRule="auto"/>
              <w:ind w:firstLine="0" w:firstLineChars="0"/>
              <w:rPr>
                <w:rFonts w:eastAsia="仿宋"/>
                <w:sz w:val="24"/>
                <w:szCs w:val="24"/>
              </w:rPr>
            </w:pPr>
            <w:r>
              <w:rPr>
                <w:rFonts w:eastAsia="仿宋"/>
                <w:sz w:val="24"/>
                <w:szCs w:val="24"/>
              </w:rPr>
              <w:t>/</w:t>
            </w:r>
          </w:p>
        </w:tc>
        <w:tc>
          <w:tcPr>
            <w:tcW w:w="791" w:type="pct"/>
            <w:gridSpan w:val="6"/>
            <w:vAlign w:val="center"/>
          </w:tcPr>
          <w:p w14:paraId="57BBC5AB">
            <w:pPr>
              <w:pStyle w:val="33"/>
              <w:spacing w:line="240" w:lineRule="auto"/>
              <w:ind w:firstLine="0" w:firstLineChars="0"/>
              <w:rPr>
                <w:rFonts w:eastAsia="仿宋"/>
                <w:sz w:val="24"/>
                <w:szCs w:val="24"/>
              </w:rPr>
            </w:pPr>
            <w:r>
              <w:rPr>
                <w:rFonts w:hint="eastAsia" w:eastAsia="仿宋"/>
                <w:sz w:val="24"/>
                <w:szCs w:val="24"/>
              </w:rPr>
              <w:t>5302.91吨</w:t>
            </w:r>
          </w:p>
        </w:tc>
        <w:tc>
          <w:tcPr>
            <w:tcW w:w="582" w:type="pct"/>
            <w:gridSpan w:val="4"/>
            <w:vAlign w:val="center"/>
          </w:tcPr>
          <w:p w14:paraId="1C134D6B">
            <w:pPr>
              <w:pStyle w:val="33"/>
              <w:spacing w:line="240" w:lineRule="auto"/>
              <w:ind w:firstLine="0" w:firstLineChars="0"/>
              <w:rPr>
                <w:rFonts w:eastAsia="仿宋"/>
                <w:sz w:val="24"/>
                <w:szCs w:val="24"/>
              </w:rPr>
            </w:pPr>
            <w:r>
              <w:rPr>
                <w:rFonts w:hint="eastAsia" w:eastAsia="仿宋"/>
                <w:sz w:val="24"/>
                <w:szCs w:val="24"/>
              </w:rPr>
              <w:t>100%</w:t>
            </w:r>
          </w:p>
        </w:tc>
        <w:tc>
          <w:tcPr>
            <w:tcW w:w="739" w:type="pct"/>
            <w:gridSpan w:val="6"/>
            <w:vAlign w:val="center"/>
          </w:tcPr>
          <w:p w14:paraId="767A8F63">
            <w:pPr>
              <w:pStyle w:val="33"/>
              <w:spacing w:line="240" w:lineRule="auto"/>
              <w:ind w:firstLine="0" w:firstLineChars="0"/>
              <w:rPr>
                <w:rFonts w:eastAsia="仿宋"/>
                <w:sz w:val="24"/>
                <w:szCs w:val="24"/>
              </w:rPr>
            </w:pPr>
            <w:r>
              <w:rPr>
                <w:rFonts w:hint="eastAsia" w:eastAsia="仿宋"/>
                <w:sz w:val="24"/>
                <w:szCs w:val="24"/>
              </w:rPr>
              <w:t>/</w:t>
            </w:r>
          </w:p>
        </w:tc>
        <w:tc>
          <w:tcPr>
            <w:tcW w:w="563" w:type="pct"/>
            <w:gridSpan w:val="3"/>
            <w:vAlign w:val="center"/>
          </w:tcPr>
          <w:p w14:paraId="0BF89223">
            <w:pPr>
              <w:pStyle w:val="33"/>
              <w:spacing w:line="240" w:lineRule="auto"/>
              <w:ind w:firstLine="0" w:firstLineChars="0"/>
              <w:rPr>
                <w:rFonts w:eastAsia="仿宋"/>
                <w:sz w:val="24"/>
                <w:szCs w:val="24"/>
              </w:rPr>
            </w:pPr>
            <w:r>
              <w:rPr>
                <w:rFonts w:hint="eastAsia" w:eastAsia="仿宋"/>
                <w:sz w:val="24"/>
                <w:szCs w:val="24"/>
              </w:rPr>
              <w:t>/</w:t>
            </w:r>
          </w:p>
        </w:tc>
      </w:tr>
      <w:tr w14:paraId="12C94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28" w:type="pct"/>
            <w:gridSpan w:val="3"/>
            <w:vAlign w:val="center"/>
          </w:tcPr>
          <w:p w14:paraId="60DEE573">
            <w:pPr>
              <w:pStyle w:val="33"/>
              <w:spacing w:line="240" w:lineRule="auto"/>
              <w:ind w:firstLine="0" w:firstLineChars="0"/>
              <w:rPr>
                <w:rFonts w:eastAsia="仿宋"/>
                <w:sz w:val="24"/>
                <w:szCs w:val="24"/>
              </w:rPr>
            </w:pPr>
            <w:r>
              <w:rPr>
                <w:rFonts w:hint="eastAsia" w:eastAsia="仿宋"/>
                <w:sz w:val="24"/>
                <w:szCs w:val="24"/>
              </w:rPr>
              <w:t>再生资源</w:t>
            </w:r>
          </w:p>
        </w:tc>
        <w:tc>
          <w:tcPr>
            <w:tcW w:w="4271" w:type="pct"/>
            <w:gridSpan w:val="30"/>
            <w:vAlign w:val="center"/>
          </w:tcPr>
          <w:p w14:paraId="6DEF5299">
            <w:pPr>
              <w:pStyle w:val="33"/>
              <w:spacing w:line="240" w:lineRule="auto"/>
              <w:ind w:firstLine="0" w:firstLineChars="0"/>
              <w:jc w:val="both"/>
              <w:rPr>
                <w:rFonts w:eastAsia="仿宋"/>
                <w:sz w:val="24"/>
                <w:szCs w:val="24"/>
              </w:rPr>
            </w:pPr>
            <w:r>
              <w:rPr>
                <w:rFonts w:hint="eastAsia" w:eastAsia="仿宋"/>
                <w:sz w:val="24"/>
                <w:szCs w:val="24"/>
              </w:rPr>
              <w:t>废纸621吨，废铁5219吨，废有色金属797吨，废玻璃16660吨（由各街道可获知数据或估算得）</w:t>
            </w:r>
          </w:p>
        </w:tc>
      </w:tr>
      <w:tr w14:paraId="051C3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 w:type="pct"/>
            <w:gridSpan w:val="3"/>
            <w:vAlign w:val="center"/>
          </w:tcPr>
          <w:p w14:paraId="399402CB">
            <w:pPr>
              <w:pStyle w:val="33"/>
              <w:spacing w:line="240" w:lineRule="auto"/>
              <w:ind w:firstLine="0" w:firstLineChars="0"/>
              <w:rPr>
                <w:rFonts w:eastAsia="仿宋"/>
                <w:sz w:val="24"/>
                <w:szCs w:val="24"/>
              </w:rPr>
            </w:pPr>
            <w:r>
              <w:rPr>
                <w:rFonts w:eastAsia="仿宋"/>
                <w:sz w:val="24"/>
                <w:szCs w:val="24"/>
              </w:rPr>
              <w:t>市政污泥</w:t>
            </w:r>
          </w:p>
        </w:tc>
        <w:tc>
          <w:tcPr>
            <w:tcW w:w="954" w:type="pct"/>
            <w:gridSpan w:val="5"/>
            <w:vAlign w:val="center"/>
          </w:tcPr>
          <w:p w14:paraId="0A53065B">
            <w:pPr>
              <w:pStyle w:val="33"/>
              <w:spacing w:line="240" w:lineRule="auto"/>
              <w:ind w:firstLine="0" w:firstLineChars="0"/>
              <w:rPr>
                <w:rFonts w:eastAsia="仿宋"/>
                <w:sz w:val="24"/>
                <w:szCs w:val="24"/>
              </w:rPr>
            </w:pPr>
            <w:r>
              <w:rPr>
                <w:rFonts w:hint="eastAsia" w:eastAsia="仿宋"/>
                <w:sz w:val="24"/>
                <w:szCs w:val="24"/>
              </w:rPr>
              <w:t>9020.99吨</w:t>
            </w:r>
            <w:r>
              <w:rPr>
                <w:rFonts w:eastAsia="仿宋"/>
                <w:sz w:val="24"/>
                <w:szCs w:val="24"/>
              </w:rPr>
              <w:t>（</w:t>
            </w:r>
            <w:r>
              <w:rPr>
                <w:rFonts w:hint="eastAsia" w:eastAsia="仿宋"/>
                <w:sz w:val="24"/>
                <w:szCs w:val="24"/>
              </w:rPr>
              <w:t>含水率80%</w:t>
            </w:r>
            <w:r>
              <w:rPr>
                <w:rFonts w:eastAsia="仿宋"/>
                <w:sz w:val="24"/>
                <w:szCs w:val="24"/>
              </w:rPr>
              <w:t>）</w:t>
            </w:r>
          </w:p>
        </w:tc>
        <w:tc>
          <w:tcPr>
            <w:tcW w:w="639" w:type="pct"/>
            <w:gridSpan w:val="6"/>
            <w:vAlign w:val="center"/>
          </w:tcPr>
          <w:p w14:paraId="58B67865">
            <w:pPr>
              <w:pStyle w:val="33"/>
              <w:spacing w:line="240" w:lineRule="auto"/>
              <w:ind w:firstLine="0" w:firstLineChars="0"/>
              <w:rPr>
                <w:rFonts w:eastAsia="仿宋"/>
                <w:sz w:val="24"/>
                <w:szCs w:val="24"/>
              </w:rPr>
            </w:pPr>
            <w:r>
              <w:rPr>
                <w:rFonts w:eastAsia="仿宋"/>
                <w:sz w:val="24"/>
                <w:szCs w:val="24"/>
              </w:rPr>
              <w:t>/</w:t>
            </w:r>
          </w:p>
        </w:tc>
        <w:tc>
          <w:tcPr>
            <w:tcW w:w="791" w:type="pct"/>
            <w:gridSpan w:val="6"/>
            <w:vAlign w:val="center"/>
          </w:tcPr>
          <w:p w14:paraId="104797C2">
            <w:pPr>
              <w:pStyle w:val="33"/>
              <w:spacing w:line="240" w:lineRule="auto"/>
              <w:ind w:firstLine="0" w:firstLineChars="0"/>
              <w:rPr>
                <w:rFonts w:eastAsia="仿宋"/>
                <w:sz w:val="24"/>
                <w:szCs w:val="24"/>
              </w:rPr>
            </w:pPr>
            <w:r>
              <w:rPr>
                <w:rFonts w:hint="eastAsia" w:eastAsia="仿宋"/>
                <w:sz w:val="24"/>
                <w:szCs w:val="24"/>
              </w:rPr>
              <w:t>9020.99吨</w:t>
            </w:r>
          </w:p>
        </w:tc>
        <w:tc>
          <w:tcPr>
            <w:tcW w:w="582" w:type="pct"/>
            <w:gridSpan w:val="4"/>
            <w:vAlign w:val="center"/>
          </w:tcPr>
          <w:p w14:paraId="529D09A9">
            <w:pPr>
              <w:pStyle w:val="33"/>
              <w:spacing w:line="240" w:lineRule="auto"/>
              <w:ind w:firstLine="0" w:firstLineChars="0"/>
              <w:rPr>
                <w:rFonts w:eastAsia="仿宋"/>
                <w:sz w:val="24"/>
                <w:szCs w:val="24"/>
              </w:rPr>
            </w:pPr>
            <w:r>
              <w:rPr>
                <w:rFonts w:hint="eastAsia" w:eastAsia="仿宋"/>
                <w:sz w:val="24"/>
                <w:szCs w:val="24"/>
              </w:rPr>
              <w:t>100%</w:t>
            </w:r>
          </w:p>
        </w:tc>
        <w:tc>
          <w:tcPr>
            <w:tcW w:w="739" w:type="pct"/>
            <w:gridSpan w:val="6"/>
            <w:vAlign w:val="center"/>
          </w:tcPr>
          <w:p w14:paraId="203661CD">
            <w:pPr>
              <w:pStyle w:val="33"/>
              <w:spacing w:line="240" w:lineRule="auto"/>
              <w:ind w:firstLine="0" w:firstLineChars="0"/>
              <w:rPr>
                <w:rFonts w:eastAsia="仿宋"/>
                <w:sz w:val="24"/>
                <w:szCs w:val="24"/>
              </w:rPr>
            </w:pPr>
            <w:r>
              <w:rPr>
                <w:rFonts w:hint="eastAsia" w:eastAsia="仿宋"/>
                <w:sz w:val="24"/>
                <w:szCs w:val="24"/>
              </w:rPr>
              <w:t>/</w:t>
            </w:r>
          </w:p>
        </w:tc>
        <w:tc>
          <w:tcPr>
            <w:tcW w:w="563" w:type="pct"/>
            <w:gridSpan w:val="3"/>
            <w:vAlign w:val="center"/>
          </w:tcPr>
          <w:p w14:paraId="32744D78">
            <w:pPr>
              <w:pStyle w:val="33"/>
              <w:spacing w:line="240" w:lineRule="auto"/>
              <w:ind w:firstLine="0" w:firstLineChars="0"/>
              <w:rPr>
                <w:rFonts w:eastAsia="仿宋"/>
                <w:sz w:val="24"/>
                <w:szCs w:val="24"/>
              </w:rPr>
            </w:pPr>
            <w:r>
              <w:rPr>
                <w:rFonts w:hint="eastAsia" w:eastAsia="仿宋"/>
                <w:sz w:val="24"/>
                <w:szCs w:val="24"/>
              </w:rPr>
              <w:t>/</w:t>
            </w:r>
          </w:p>
        </w:tc>
      </w:tr>
      <w:tr w14:paraId="5AEF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 w:type="pct"/>
            <w:gridSpan w:val="3"/>
            <w:vAlign w:val="center"/>
          </w:tcPr>
          <w:p w14:paraId="6701819A">
            <w:pPr>
              <w:pStyle w:val="33"/>
              <w:spacing w:line="240" w:lineRule="auto"/>
              <w:ind w:firstLine="0" w:firstLineChars="0"/>
              <w:rPr>
                <w:rFonts w:eastAsia="仿宋"/>
                <w:sz w:val="24"/>
                <w:szCs w:val="24"/>
              </w:rPr>
            </w:pPr>
            <w:r>
              <w:rPr>
                <w:rFonts w:eastAsia="仿宋"/>
                <w:sz w:val="24"/>
                <w:szCs w:val="24"/>
              </w:rPr>
              <w:t>废弃快递包装物</w:t>
            </w:r>
          </w:p>
        </w:tc>
        <w:tc>
          <w:tcPr>
            <w:tcW w:w="954" w:type="pct"/>
            <w:gridSpan w:val="5"/>
            <w:vAlign w:val="center"/>
          </w:tcPr>
          <w:p w14:paraId="41B6889A">
            <w:pPr>
              <w:pStyle w:val="33"/>
              <w:spacing w:line="240" w:lineRule="auto"/>
              <w:ind w:firstLine="0" w:firstLineChars="0"/>
              <w:rPr>
                <w:rFonts w:eastAsia="仿宋"/>
                <w:sz w:val="24"/>
                <w:szCs w:val="24"/>
              </w:rPr>
            </w:pPr>
            <w:r>
              <w:rPr>
                <w:rFonts w:eastAsia="仿宋"/>
                <w:sz w:val="24"/>
                <w:szCs w:val="24"/>
              </w:rPr>
              <w:t>/</w:t>
            </w:r>
          </w:p>
        </w:tc>
        <w:tc>
          <w:tcPr>
            <w:tcW w:w="639" w:type="pct"/>
            <w:gridSpan w:val="6"/>
            <w:vAlign w:val="center"/>
          </w:tcPr>
          <w:p w14:paraId="62964424">
            <w:pPr>
              <w:pStyle w:val="33"/>
              <w:spacing w:line="240" w:lineRule="auto"/>
              <w:ind w:firstLine="0" w:firstLineChars="0"/>
              <w:rPr>
                <w:rFonts w:eastAsia="仿宋"/>
                <w:sz w:val="24"/>
                <w:szCs w:val="24"/>
              </w:rPr>
            </w:pPr>
            <w:r>
              <w:rPr>
                <w:rFonts w:eastAsia="仿宋"/>
                <w:sz w:val="24"/>
                <w:szCs w:val="24"/>
              </w:rPr>
              <w:t>/</w:t>
            </w:r>
          </w:p>
        </w:tc>
        <w:tc>
          <w:tcPr>
            <w:tcW w:w="791" w:type="pct"/>
            <w:gridSpan w:val="6"/>
            <w:vAlign w:val="center"/>
          </w:tcPr>
          <w:p w14:paraId="47419688">
            <w:pPr>
              <w:pStyle w:val="33"/>
              <w:spacing w:line="240" w:lineRule="auto"/>
              <w:ind w:firstLine="0" w:firstLineChars="0"/>
              <w:rPr>
                <w:rFonts w:eastAsia="仿宋"/>
                <w:sz w:val="24"/>
                <w:szCs w:val="24"/>
              </w:rPr>
            </w:pPr>
            <w:r>
              <w:rPr>
                <w:rFonts w:eastAsia="仿宋"/>
                <w:sz w:val="24"/>
                <w:szCs w:val="24"/>
              </w:rPr>
              <w:t>/</w:t>
            </w:r>
          </w:p>
        </w:tc>
        <w:tc>
          <w:tcPr>
            <w:tcW w:w="582" w:type="pct"/>
            <w:gridSpan w:val="4"/>
            <w:vAlign w:val="center"/>
          </w:tcPr>
          <w:p w14:paraId="145CBAC8">
            <w:pPr>
              <w:pStyle w:val="33"/>
              <w:spacing w:line="240" w:lineRule="auto"/>
              <w:ind w:firstLine="0" w:firstLineChars="0"/>
              <w:rPr>
                <w:rFonts w:eastAsia="仿宋"/>
                <w:sz w:val="24"/>
                <w:szCs w:val="24"/>
              </w:rPr>
            </w:pPr>
            <w:r>
              <w:rPr>
                <w:rFonts w:eastAsia="仿宋"/>
                <w:sz w:val="24"/>
                <w:szCs w:val="24"/>
              </w:rPr>
              <w:t>/</w:t>
            </w:r>
          </w:p>
        </w:tc>
        <w:tc>
          <w:tcPr>
            <w:tcW w:w="739" w:type="pct"/>
            <w:gridSpan w:val="6"/>
            <w:vAlign w:val="center"/>
          </w:tcPr>
          <w:p w14:paraId="1C6E1CFA">
            <w:pPr>
              <w:pStyle w:val="33"/>
              <w:spacing w:line="240" w:lineRule="auto"/>
              <w:ind w:firstLine="0" w:firstLineChars="0"/>
              <w:rPr>
                <w:rFonts w:eastAsia="仿宋"/>
                <w:sz w:val="24"/>
                <w:szCs w:val="24"/>
              </w:rPr>
            </w:pPr>
            <w:r>
              <w:rPr>
                <w:rFonts w:eastAsia="仿宋"/>
                <w:sz w:val="24"/>
                <w:szCs w:val="24"/>
              </w:rPr>
              <w:t>/</w:t>
            </w:r>
          </w:p>
        </w:tc>
        <w:tc>
          <w:tcPr>
            <w:tcW w:w="563" w:type="pct"/>
            <w:gridSpan w:val="3"/>
            <w:vAlign w:val="center"/>
          </w:tcPr>
          <w:p w14:paraId="0C95D7AE">
            <w:pPr>
              <w:pStyle w:val="33"/>
              <w:spacing w:line="240" w:lineRule="auto"/>
              <w:ind w:firstLine="0" w:firstLineChars="0"/>
              <w:rPr>
                <w:rFonts w:eastAsia="仿宋"/>
                <w:sz w:val="24"/>
                <w:szCs w:val="24"/>
              </w:rPr>
            </w:pPr>
            <w:r>
              <w:rPr>
                <w:rFonts w:eastAsia="仿宋"/>
                <w:sz w:val="24"/>
                <w:szCs w:val="24"/>
              </w:rPr>
              <w:t>/</w:t>
            </w:r>
          </w:p>
        </w:tc>
      </w:tr>
      <w:tr w14:paraId="031A7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 w:type="pct"/>
            <w:gridSpan w:val="3"/>
            <w:vAlign w:val="center"/>
          </w:tcPr>
          <w:p w14:paraId="643A07E9">
            <w:pPr>
              <w:pStyle w:val="33"/>
              <w:spacing w:line="240" w:lineRule="auto"/>
              <w:ind w:firstLine="0" w:firstLineChars="0"/>
              <w:rPr>
                <w:rFonts w:eastAsia="仿宋"/>
                <w:sz w:val="24"/>
                <w:szCs w:val="24"/>
              </w:rPr>
            </w:pPr>
            <w:r>
              <w:rPr>
                <w:rFonts w:eastAsia="仿宋"/>
                <w:sz w:val="24"/>
                <w:szCs w:val="24"/>
              </w:rPr>
              <w:t>园林垃圾</w:t>
            </w:r>
          </w:p>
        </w:tc>
        <w:tc>
          <w:tcPr>
            <w:tcW w:w="954" w:type="pct"/>
            <w:gridSpan w:val="5"/>
            <w:vAlign w:val="center"/>
          </w:tcPr>
          <w:p w14:paraId="087E54BA">
            <w:pPr>
              <w:pStyle w:val="33"/>
              <w:spacing w:line="240" w:lineRule="auto"/>
              <w:ind w:firstLine="0" w:firstLineChars="0"/>
              <w:rPr>
                <w:rFonts w:eastAsia="仿宋"/>
                <w:sz w:val="24"/>
                <w:szCs w:val="24"/>
              </w:rPr>
            </w:pPr>
            <w:r>
              <w:rPr>
                <w:rFonts w:hint="eastAsia" w:eastAsia="仿宋"/>
                <w:sz w:val="24"/>
                <w:szCs w:val="24"/>
              </w:rPr>
              <w:t>1300吨</w:t>
            </w:r>
          </w:p>
        </w:tc>
        <w:tc>
          <w:tcPr>
            <w:tcW w:w="639" w:type="pct"/>
            <w:gridSpan w:val="6"/>
            <w:vAlign w:val="center"/>
          </w:tcPr>
          <w:p w14:paraId="29EBAD30">
            <w:pPr>
              <w:pStyle w:val="33"/>
              <w:spacing w:line="240" w:lineRule="auto"/>
              <w:ind w:firstLine="0" w:firstLineChars="0"/>
              <w:rPr>
                <w:rFonts w:eastAsia="仿宋"/>
                <w:sz w:val="24"/>
                <w:szCs w:val="24"/>
              </w:rPr>
            </w:pPr>
            <w:r>
              <w:rPr>
                <w:rFonts w:eastAsia="仿宋"/>
                <w:sz w:val="24"/>
                <w:szCs w:val="24"/>
              </w:rPr>
              <w:t>/</w:t>
            </w:r>
          </w:p>
        </w:tc>
        <w:tc>
          <w:tcPr>
            <w:tcW w:w="791" w:type="pct"/>
            <w:gridSpan w:val="6"/>
            <w:vAlign w:val="center"/>
          </w:tcPr>
          <w:p w14:paraId="4B9DD816">
            <w:pPr>
              <w:pStyle w:val="33"/>
              <w:spacing w:line="240" w:lineRule="auto"/>
              <w:ind w:firstLine="0" w:firstLineChars="0"/>
              <w:rPr>
                <w:rFonts w:eastAsia="仿宋"/>
                <w:sz w:val="24"/>
                <w:szCs w:val="24"/>
              </w:rPr>
            </w:pPr>
            <w:r>
              <w:rPr>
                <w:rFonts w:hint="eastAsia" w:eastAsia="仿宋"/>
                <w:sz w:val="24"/>
                <w:szCs w:val="24"/>
              </w:rPr>
              <w:t>1100吨</w:t>
            </w:r>
          </w:p>
        </w:tc>
        <w:tc>
          <w:tcPr>
            <w:tcW w:w="582" w:type="pct"/>
            <w:gridSpan w:val="4"/>
            <w:vAlign w:val="center"/>
          </w:tcPr>
          <w:p w14:paraId="1D1C65FC">
            <w:pPr>
              <w:pStyle w:val="33"/>
              <w:spacing w:line="240" w:lineRule="auto"/>
              <w:ind w:firstLine="0" w:firstLineChars="0"/>
              <w:rPr>
                <w:rFonts w:eastAsia="仿宋"/>
                <w:sz w:val="24"/>
                <w:szCs w:val="24"/>
              </w:rPr>
            </w:pPr>
            <w:r>
              <w:rPr>
                <w:rFonts w:eastAsia="仿宋"/>
                <w:sz w:val="24"/>
                <w:szCs w:val="24"/>
              </w:rPr>
              <w:t>/</w:t>
            </w:r>
          </w:p>
        </w:tc>
        <w:tc>
          <w:tcPr>
            <w:tcW w:w="739" w:type="pct"/>
            <w:gridSpan w:val="6"/>
            <w:vAlign w:val="center"/>
          </w:tcPr>
          <w:p w14:paraId="79E6D11D">
            <w:pPr>
              <w:pStyle w:val="33"/>
              <w:spacing w:line="240" w:lineRule="auto"/>
              <w:ind w:firstLine="0" w:firstLineChars="0"/>
              <w:rPr>
                <w:rFonts w:eastAsia="仿宋"/>
                <w:sz w:val="24"/>
                <w:szCs w:val="24"/>
              </w:rPr>
            </w:pPr>
            <w:r>
              <w:rPr>
                <w:rFonts w:hint="eastAsia" w:eastAsia="仿宋"/>
                <w:sz w:val="24"/>
                <w:szCs w:val="24"/>
              </w:rPr>
              <w:t>200吨</w:t>
            </w:r>
          </w:p>
        </w:tc>
        <w:tc>
          <w:tcPr>
            <w:tcW w:w="563" w:type="pct"/>
            <w:gridSpan w:val="3"/>
            <w:vAlign w:val="center"/>
          </w:tcPr>
          <w:p w14:paraId="62A27E14">
            <w:pPr>
              <w:pStyle w:val="33"/>
              <w:spacing w:line="240" w:lineRule="auto"/>
              <w:ind w:firstLine="0" w:firstLineChars="0"/>
              <w:rPr>
                <w:rFonts w:eastAsia="仿宋"/>
                <w:sz w:val="24"/>
                <w:szCs w:val="24"/>
              </w:rPr>
            </w:pPr>
            <w:r>
              <w:rPr>
                <w:rFonts w:eastAsia="仿宋"/>
                <w:sz w:val="24"/>
                <w:szCs w:val="24"/>
              </w:rPr>
              <w:t>/</w:t>
            </w:r>
          </w:p>
        </w:tc>
      </w:tr>
      <w:tr w14:paraId="7ABC8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3"/>
            <w:vAlign w:val="center"/>
          </w:tcPr>
          <w:p w14:paraId="6F633295">
            <w:pPr>
              <w:pStyle w:val="33"/>
              <w:spacing w:line="240" w:lineRule="auto"/>
              <w:ind w:firstLine="0" w:firstLineChars="0"/>
              <w:jc w:val="both"/>
              <w:rPr>
                <w:rFonts w:eastAsia="仿宋"/>
                <w:b/>
                <w:bCs/>
                <w:sz w:val="24"/>
                <w:szCs w:val="24"/>
              </w:rPr>
            </w:pPr>
            <w:r>
              <w:rPr>
                <w:rFonts w:eastAsia="仿宋"/>
                <w:b/>
                <w:bCs/>
                <w:sz w:val="24"/>
                <w:szCs w:val="24"/>
              </w:rPr>
              <w:t>建筑垃圾</w:t>
            </w:r>
          </w:p>
        </w:tc>
      </w:tr>
      <w:tr w14:paraId="2F117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 w:type="pct"/>
            <w:gridSpan w:val="3"/>
            <w:vAlign w:val="center"/>
          </w:tcPr>
          <w:p w14:paraId="1618990C">
            <w:pPr>
              <w:pStyle w:val="33"/>
              <w:spacing w:line="240" w:lineRule="auto"/>
              <w:ind w:firstLine="0" w:firstLineChars="0"/>
              <w:rPr>
                <w:rFonts w:eastAsia="仿宋"/>
                <w:b/>
                <w:bCs/>
                <w:sz w:val="24"/>
                <w:szCs w:val="24"/>
              </w:rPr>
            </w:pPr>
            <w:r>
              <w:rPr>
                <w:rFonts w:eastAsia="仿宋"/>
                <w:b/>
                <w:bCs/>
                <w:sz w:val="24"/>
                <w:szCs w:val="24"/>
              </w:rPr>
              <w:t>类别</w:t>
            </w:r>
          </w:p>
        </w:tc>
        <w:tc>
          <w:tcPr>
            <w:tcW w:w="1258" w:type="pct"/>
            <w:gridSpan w:val="8"/>
            <w:vAlign w:val="center"/>
          </w:tcPr>
          <w:p w14:paraId="72B186B8">
            <w:pPr>
              <w:pStyle w:val="33"/>
              <w:spacing w:line="240" w:lineRule="auto"/>
              <w:ind w:firstLine="0" w:firstLineChars="0"/>
              <w:rPr>
                <w:rFonts w:eastAsia="仿宋"/>
                <w:b/>
                <w:bCs/>
                <w:sz w:val="24"/>
                <w:szCs w:val="24"/>
              </w:rPr>
            </w:pPr>
            <w:r>
              <w:rPr>
                <w:rFonts w:eastAsia="仿宋"/>
                <w:b/>
                <w:bCs/>
                <w:sz w:val="24"/>
                <w:szCs w:val="24"/>
              </w:rPr>
              <w:t>清运量</w:t>
            </w:r>
          </w:p>
        </w:tc>
        <w:tc>
          <w:tcPr>
            <w:tcW w:w="1527" w:type="pct"/>
            <w:gridSpan w:val="12"/>
            <w:vAlign w:val="center"/>
          </w:tcPr>
          <w:p w14:paraId="5FF43D4E">
            <w:pPr>
              <w:pStyle w:val="33"/>
              <w:spacing w:line="240" w:lineRule="auto"/>
              <w:ind w:firstLine="0" w:firstLineChars="0"/>
              <w:rPr>
                <w:rFonts w:eastAsia="仿宋"/>
                <w:b/>
                <w:bCs/>
                <w:sz w:val="24"/>
                <w:szCs w:val="24"/>
              </w:rPr>
            </w:pPr>
            <w:r>
              <w:rPr>
                <w:rFonts w:eastAsia="仿宋"/>
                <w:b/>
                <w:bCs/>
                <w:sz w:val="24"/>
                <w:szCs w:val="24"/>
              </w:rPr>
              <w:t>综合利用量</w:t>
            </w:r>
          </w:p>
        </w:tc>
        <w:tc>
          <w:tcPr>
            <w:tcW w:w="1485" w:type="pct"/>
            <w:gridSpan w:val="10"/>
            <w:vAlign w:val="center"/>
          </w:tcPr>
          <w:p w14:paraId="76A7F781">
            <w:pPr>
              <w:pStyle w:val="33"/>
              <w:spacing w:line="240" w:lineRule="auto"/>
              <w:ind w:firstLine="0" w:firstLineChars="0"/>
              <w:rPr>
                <w:rFonts w:eastAsia="仿宋"/>
                <w:b/>
                <w:bCs/>
                <w:sz w:val="24"/>
                <w:szCs w:val="24"/>
              </w:rPr>
            </w:pPr>
            <w:r>
              <w:rPr>
                <w:rFonts w:eastAsia="仿宋"/>
                <w:b/>
                <w:bCs/>
                <w:sz w:val="24"/>
                <w:szCs w:val="24"/>
              </w:rPr>
              <w:t>综合利用率</w:t>
            </w:r>
          </w:p>
        </w:tc>
      </w:tr>
      <w:tr w14:paraId="40610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 w:type="pct"/>
            <w:gridSpan w:val="3"/>
            <w:vAlign w:val="center"/>
          </w:tcPr>
          <w:p w14:paraId="73A1996C">
            <w:pPr>
              <w:pStyle w:val="33"/>
              <w:spacing w:line="240" w:lineRule="auto"/>
              <w:ind w:firstLine="0" w:firstLineChars="0"/>
              <w:rPr>
                <w:rFonts w:eastAsia="仿宋"/>
                <w:sz w:val="24"/>
                <w:szCs w:val="24"/>
              </w:rPr>
            </w:pPr>
            <w:r>
              <w:rPr>
                <w:rFonts w:eastAsia="仿宋"/>
                <w:sz w:val="24"/>
                <w:szCs w:val="24"/>
              </w:rPr>
              <w:t>工程渣土</w:t>
            </w:r>
          </w:p>
        </w:tc>
        <w:tc>
          <w:tcPr>
            <w:tcW w:w="1258" w:type="pct"/>
            <w:gridSpan w:val="8"/>
            <w:vAlign w:val="center"/>
          </w:tcPr>
          <w:p w14:paraId="5A81A413">
            <w:pPr>
              <w:pStyle w:val="33"/>
              <w:spacing w:line="240" w:lineRule="auto"/>
              <w:ind w:firstLine="0" w:firstLineChars="0"/>
              <w:rPr>
                <w:rFonts w:eastAsia="仿宋"/>
                <w:sz w:val="24"/>
                <w:szCs w:val="24"/>
              </w:rPr>
            </w:pPr>
            <w:r>
              <w:rPr>
                <w:rFonts w:hint="eastAsia" w:eastAsia="仿宋"/>
                <w:sz w:val="24"/>
                <w:szCs w:val="24"/>
              </w:rPr>
              <w:t>21.80万吨</w:t>
            </w:r>
          </w:p>
        </w:tc>
        <w:tc>
          <w:tcPr>
            <w:tcW w:w="1527" w:type="pct"/>
            <w:gridSpan w:val="12"/>
            <w:vAlign w:val="center"/>
          </w:tcPr>
          <w:p w14:paraId="463947B2">
            <w:pPr>
              <w:pStyle w:val="33"/>
              <w:spacing w:line="240" w:lineRule="auto"/>
              <w:ind w:firstLine="0" w:firstLineChars="0"/>
              <w:rPr>
                <w:rFonts w:eastAsia="仿宋"/>
                <w:sz w:val="24"/>
                <w:szCs w:val="24"/>
              </w:rPr>
            </w:pPr>
            <w:r>
              <w:rPr>
                <w:rFonts w:eastAsia="仿宋"/>
                <w:sz w:val="24"/>
                <w:szCs w:val="24"/>
              </w:rPr>
              <w:t>/</w:t>
            </w:r>
          </w:p>
        </w:tc>
        <w:tc>
          <w:tcPr>
            <w:tcW w:w="1485" w:type="pct"/>
            <w:gridSpan w:val="10"/>
            <w:vAlign w:val="center"/>
          </w:tcPr>
          <w:p w14:paraId="442678CE">
            <w:pPr>
              <w:pStyle w:val="33"/>
              <w:spacing w:line="240" w:lineRule="auto"/>
              <w:ind w:firstLine="0" w:firstLineChars="0"/>
              <w:rPr>
                <w:rFonts w:eastAsia="仿宋"/>
                <w:sz w:val="24"/>
                <w:szCs w:val="24"/>
              </w:rPr>
            </w:pPr>
            <w:r>
              <w:rPr>
                <w:rFonts w:eastAsia="仿宋"/>
                <w:sz w:val="24"/>
                <w:szCs w:val="24"/>
              </w:rPr>
              <w:t>/</w:t>
            </w:r>
          </w:p>
        </w:tc>
      </w:tr>
      <w:tr w14:paraId="2C525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 w:type="pct"/>
            <w:gridSpan w:val="3"/>
            <w:vAlign w:val="center"/>
          </w:tcPr>
          <w:p w14:paraId="0D91CB1B">
            <w:pPr>
              <w:pStyle w:val="33"/>
              <w:spacing w:line="240" w:lineRule="auto"/>
              <w:ind w:firstLine="0" w:firstLineChars="0"/>
              <w:rPr>
                <w:rFonts w:eastAsia="仿宋"/>
                <w:sz w:val="24"/>
                <w:szCs w:val="24"/>
              </w:rPr>
            </w:pPr>
            <w:r>
              <w:rPr>
                <w:rFonts w:eastAsia="仿宋"/>
                <w:sz w:val="24"/>
                <w:szCs w:val="24"/>
              </w:rPr>
              <w:t>工程泥浆</w:t>
            </w:r>
          </w:p>
        </w:tc>
        <w:tc>
          <w:tcPr>
            <w:tcW w:w="4271" w:type="pct"/>
            <w:gridSpan w:val="30"/>
            <w:vAlign w:val="center"/>
          </w:tcPr>
          <w:p w14:paraId="641E111F">
            <w:pPr>
              <w:pStyle w:val="33"/>
              <w:spacing w:line="240" w:lineRule="auto"/>
              <w:ind w:firstLine="0" w:firstLineChars="0"/>
              <w:rPr>
                <w:rFonts w:eastAsia="仿宋"/>
                <w:sz w:val="24"/>
                <w:szCs w:val="24"/>
              </w:rPr>
            </w:pPr>
            <w:r>
              <w:rPr>
                <w:rFonts w:eastAsia="仿宋"/>
                <w:sz w:val="24"/>
                <w:szCs w:val="24"/>
              </w:rPr>
              <w:t>就地干化后参照工程渣土</w:t>
            </w:r>
          </w:p>
        </w:tc>
      </w:tr>
      <w:tr w14:paraId="2002A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 w:type="pct"/>
            <w:gridSpan w:val="3"/>
            <w:vAlign w:val="center"/>
          </w:tcPr>
          <w:p w14:paraId="105B6F72">
            <w:pPr>
              <w:pStyle w:val="33"/>
              <w:spacing w:line="240" w:lineRule="auto"/>
              <w:ind w:firstLine="0" w:firstLineChars="0"/>
              <w:rPr>
                <w:rFonts w:eastAsia="仿宋"/>
                <w:sz w:val="24"/>
                <w:szCs w:val="24"/>
              </w:rPr>
            </w:pPr>
            <w:r>
              <w:rPr>
                <w:rFonts w:hint="eastAsia" w:eastAsia="仿宋"/>
                <w:sz w:val="24"/>
                <w:szCs w:val="24"/>
              </w:rPr>
              <w:t>拆迁</w:t>
            </w:r>
            <w:r>
              <w:rPr>
                <w:rFonts w:eastAsia="仿宋"/>
                <w:sz w:val="24"/>
                <w:szCs w:val="24"/>
              </w:rPr>
              <w:t>垃圾</w:t>
            </w:r>
          </w:p>
        </w:tc>
        <w:tc>
          <w:tcPr>
            <w:tcW w:w="1258" w:type="pct"/>
            <w:gridSpan w:val="8"/>
            <w:vAlign w:val="center"/>
          </w:tcPr>
          <w:p w14:paraId="2EF5BDBE">
            <w:pPr>
              <w:pStyle w:val="33"/>
              <w:spacing w:line="240" w:lineRule="auto"/>
              <w:ind w:firstLine="0" w:firstLineChars="0"/>
              <w:rPr>
                <w:rFonts w:eastAsia="仿宋"/>
                <w:sz w:val="24"/>
                <w:szCs w:val="24"/>
              </w:rPr>
            </w:pPr>
            <w:r>
              <w:rPr>
                <w:rFonts w:hint="eastAsia" w:eastAsia="仿宋"/>
                <w:sz w:val="24"/>
                <w:szCs w:val="24"/>
              </w:rPr>
              <w:t>2.7万吨</w:t>
            </w:r>
          </w:p>
        </w:tc>
        <w:tc>
          <w:tcPr>
            <w:tcW w:w="1527" w:type="pct"/>
            <w:gridSpan w:val="12"/>
            <w:vAlign w:val="center"/>
          </w:tcPr>
          <w:p w14:paraId="683F95B9">
            <w:pPr>
              <w:pStyle w:val="33"/>
              <w:spacing w:line="240" w:lineRule="auto"/>
              <w:ind w:firstLine="0" w:firstLineChars="0"/>
              <w:rPr>
                <w:rFonts w:eastAsia="仿宋"/>
                <w:sz w:val="24"/>
                <w:szCs w:val="24"/>
              </w:rPr>
            </w:pPr>
            <w:r>
              <w:rPr>
                <w:rFonts w:hint="eastAsia" w:eastAsia="仿宋"/>
                <w:sz w:val="24"/>
                <w:szCs w:val="24"/>
              </w:rPr>
              <w:t>2.7万吨</w:t>
            </w:r>
          </w:p>
        </w:tc>
        <w:tc>
          <w:tcPr>
            <w:tcW w:w="1485" w:type="pct"/>
            <w:gridSpan w:val="10"/>
            <w:vAlign w:val="center"/>
          </w:tcPr>
          <w:p w14:paraId="504E1DB6">
            <w:pPr>
              <w:pStyle w:val="33"/>
              <w:spacing w:line="240" w:lineRule="auto"/>
              <w:ind w:firstLine="0" w:firstLineChars="0"/>
              <w:rPr>
                <w:rFonts w:eastAsia="仿宋"/>
                <w:sz w:val="24"/>
                <w:szCs w:val="24"/>
              </w:rPr>
            </w:pPr>
            <w:r>
              <w:rPr>
                <w:rFonts w:hint="eastAsia" w:eastAsia="仿宋"/>
                <w:sz w:val="24"/>
                <w:szCs w:val="24"/>
              </w:rPr>
              <w:t>100%</w:t>
            </w:r>
          </w:p>
        </w:tc>
      </w:tr>
      <w:tr w14:paraId="560D6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 w:type="pct"/>
            <w:gridSpan w:val="3"/>
            <w:vAlign w:val="center"/>
          </w:tcPr>
          <w:p w14:paraId="73814923">
            <w:pPr>
              <w:pStyle w:val="33"/>
              <w:spacing w:line="240" w:lineRule="auto"/>
              <w:ind w:firstLine="0" w:firstLineChars="0"/>
              <w:rPr>
                <w:rFonts w:eastAsia="仿宋"/>
                <w:sz w:val="24"/>
                <w:szCs w:val="24"/>
              </w:rPr>
            </w:pPr>
            <w:r>
              <w:rPr>
                <w:rFonts w:eastAsia="仿宋"/>
                <w:sz w:val="24"/>
                <w:szCs w:val="24"/>
              </w:rPr>
              <w:t>装修垃圾</w:t>
            </w:r>
          </w:p>
        </w:tc>
        <w:tc>
          <w:tcPr>
            <w:tcW w:w="1258" w:type="pct"/>
            <w:gridSpan w:val="8"/>
            <w:vAlign w:val="center"/>
          </w:tcPr>
          <w:p w14:paraId="128FAC89">
            <w:pPr>
              <w:pStyle w:val="33"/>
              <w:spacing w:line="240" w:lineRule="auto"/>
              <w:ind w:firstLine="0" w:firstLineChars="0"/>
              <w:rPr>
                <w:rFonts w:eastAsia="仿宋"/>
                <w:sz w:val="24"/>
                <w:szCs w:val="24"/>
              </w:rPr>
            </w:pPr>
            <w:r>
              <w:rPr>
                <w:rFonts w:hint="eastAsia" w:eastAsia="仿宋"/>
                <w:sz w:val="24"/>
                <w:szCs w:val="24"/>
              </w:rPr>
              <w:t>0.11万吨</w:t>
            </w:r>
          </w:p>
        </w:tc>
        <w:tc>
          <w:tcPr>
            <w:tcW w:w="1527" w:type="pct"/>
            <w:gridSpan w:val="12"/>
            <w:vAlign w:val="center"/>
          </w:tcPr>
          <w:p w14:paraId="52873FBB">
            <w:pPr>
              <w:pStyle w:val="33"/>
              <w:spacing w:line="240" w:lineRule="auto"/>
              <w:ind w:firstLine="0" w:firstLineChars="0"/>
              <w:rPr>
                <w:rFonts w:eastAsia="仿宋"/>
                <w:sz w:val="24"/>
                <w:szCs w:val="24"/>
              </w:rPr>
            </w:pPr>
            <w:r>
              <w:rPr>
                <w:rFonts w:hint="eastAsia" w:eastAsia="仿宋"/>
                <w:sz w:val="24"/>
                <w:szCs w:val="24"/>
              </w:rPr>
              <w:t>0.11万吨</w:t>
            </w:r>
          </w:p>
        </w:tc>
        <w:tc>
          <w:tcPr>
            <w:tcW w:w="1485" w:type="pct"/>
            <w:gridSpan w:val="10"/>
            <w:vAlign w:val="center"/>
          </w:tcPr>
          <w:p w14:paraId="1FA2AF5C">
            <w:pPr>
              <w:pStyle w:val="33"/>
              <w:spacing w:line="240" w:lineRule="auto"/>
              <w:ind w:firstLine="0" w:firstLineChars="0"/>
              <w:rPr>
                <w:rFonts w:eastAsia="仿宋"/>
                <w:sz w:val="24"/>
                <w:szCs w:val="24"/>
              </w:rPr>
            </w:pPr>
            <w:r>
              <w:rPr>
                <w:rFonts w:hint="eastAsia" w:eastAsia="仿宋"/>
                <w:sz w:val="24"/>
                <w:szCs w:val="24"/>
              </w:rPr>
              <w:t>100%</w:t>
            </w:r>
          </w:p>
        </w:tc>
      </w:tr>
    </w:tbl>
    <w:p w14:paraId="01C3908D">
      <w:pPr>
        <w:ind w:firstLine="0" w:firstLineChars="0"/>
      </w:pPr>
    </w:p>
    <w:p w14:paraId="1A6CD09B">
      <w:pPr>
        <w:pStyle w:val="3"/>
        <w:sectPr>
          <w:pgSz w:w="16838" w:h="11906" w:orient="landscape"/>
          <w:pgMar w:top="1440" w:right="1440" w:bottom="1440" w:left="1440" w:header="851" w:footer="992" w:gutter="0"/>
          <w:cols w:space="425" w:num="1"/>
          <w:docGrid w:type="lines" w:linePitch="312" w:charSpace="0"/>
        </w:sectPr>
      </w:pPr>
    </w:p>
    <w:p w14:paraId="72E35985">
      <w:pPr>
        <w:pStyle w:val="3"/>
      </w:pPr>
      <w:bookmarkStart w:id="102" w:name="_Toc5089"/>
      <w:r>
        <w:rPr>
          <w:rFonts w:hint="eastAsia"/>
        </w:rPr>
        <w:t xml:space="preserve">附件2 </w:t>
      </w:r>
    </w:p>
    <w:p w14:paraId="0AECB0C5">
      <w:pPr>
        <w:pStyle w:val="3"/>
        <w:jc w:val="center"/>
      </w:pPr>
      <w:r>
        <w:rPr>
          <w:rFonts w:hint="eastAsia"/>
        </w:rPr>
        <w:t>连云区“无废城市”建设目标清单</w:t>
      </w:r>
      <w:bookmarkEnd w:id="102"/>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918"/>
        <w:gridCol w:w="1298"/>
        <w:gridCol w:w="3062"/>
        <w:gridCol w:w="1434"/>
        <w:gridCol w:w="1304"/>
        <w:gridCol w:w="1423"/>
        <w:gridCol w:w="1860"/>
        <w:gridCol w:w="2149"/>
      </w:tblGrid>
      <w:tr w14:paraId="624D9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blHeader/>
          <w:jc w:val="center"/>
        </w:trPr>
        <w:tc>
          <w:tcPr>
            <w:tcW w:w="256" w:type="pct"/>
            <w:shd w:val="clear" w:color="auto" w:fill="auto"/>
            <w:vAlign w:val="center"/>
          </w:tcPr>
          <w:p w14:paraId="19D03FB3">
            <w:pPr>
              <w:pStyle w:val="28"/>
              <w:rPr>
                <w:rFonts w:hint="default"/>
                <w:b/>
                <w:bCs/>
              </w:rPr>
            </w:pPr>
            <w:r>
              <w:rPr>
                <w:b/>
                <w:bCs/>
              </w:rPr>
              <w:t>序号</w:t>
            </w:r>
          </w:p>
        </w:tc>
        <w:tc>
          <w:tcPr>
            <w:tcW w:w="324" w:type="pct"/>
            <w:shd w:val="clear" w:color="auto" w:fill="auto"/>
            <w:vAlign w:val="center"/>
          </w:tcPr>
          <w:p w14:paraId="2EFD0058">
            <w:pPr>
              <w:pStyle w:val="28"/>
              <w:rPr>
                <w:rFonts w:hint="default"/>
                <w:b/>
                <w:bCs/>
              </w:rPr>
            </w:pPr>
            <w:r>
              <w:rPr>
                <w:b/>
                <w:bCs/>
              </w:rPr>
              <w:t>一级指标</w:t>
            </w:r>
          </w:p>
        </w:tc>
        <w:tc>
          <w:tcPr>
            <w:tcW w:w="458" w:type="pct"/>
            <w:shd w:val="clear" w:color="auto" w:fill="auto"/>
            <w:vAlign w:val="center"/>
          </w:tcPr>
          <w:p w14:paraId="58B61D32">
            <w:pPr>
              <w:pStyle w:val="28"/>
              <w:rPr>
                <w:rFonts w:hint="default"/>
                <w:b/>
                <w:bCs/>
              </w:rPr>
            </w:pPr>
            <w:r>
              <w:rPr>
                <w:b/>
                <w:bCs/>
              </w:rPr>
              <w:t>二级指标</w:t>
            </w:r>
          </w:p>
        </w:tc>
        <w:tc>
          <w:tcPr>
            <w:tcW w:w="1080" w:type="pct"/>
            <w:shd w:val="clear" w:color="auto" w:fill="auto"/>
            <w:vAlign w:val="center"/>
          </w:tcPr>
          <w:p w14:paraId="11435C8B">
            <w:pPr>
              <w:pStyle w:val="28"/>
              <w:rPr>
                <w:rFonts w:hint="default"/>
                <w:b/>
                <w:bCs/>
              </w:rPr>
            </w:pPr>
            <w:r>
              <w:rPr>
                <w:b/>
                <w:bCs/>
              </w:rPr>
              <w:t>三级指标</w:t>
            </w:r>
          </w:p>
        </w:tc>
        <w:tc>
          <w:tcPr>
            <w:tcW w:w="506" w:type="pct"/>
            <w:shd w:val="clear" w:color="auto" w:fill="auto"/>
            <w:vAlign w:val="center"/>
          </w:tcPr>
          <w:p w14:paraId="23D9567E">
            <w:pPr>
              <w:pStyle w:val="28"/>
              <w:rPr>
                <w:rFonts w:hint="default"/>
                <w:b/>
                <w:bCs/>
              </w:rPr>
            </w:pPr>
            <w:r>
              <w:rPr>
                <w:b/>
                <w:bCs/>
              </w:rPr>
              <w:t>2025连云港市目标值</w:t>
            </w:r>
          </w:p>
        </w:tc>
        <w:tc>
          <w:tcPr>
            <w:tcW w:w="460" w:type="pct"/>
            <w:shd w:val="clear" w:color="auto" w:fill="auto"/>
            <w:vAlign w:val="center"/>
          </w:tcPr>
          <w:p w14:paraId="0068F091">
            <w:pPr>
              <w:pStyle w:val="28"/>
              <w:rPr>
                <w:rFonts w:hint="default"/>
                <w:b/>
                <w:bCs/>
              </w:rPr>
            </w:pPr>
            <w:r>
              <w:rPr>
                <w:b/>
                <w:bCs/>
              </w:rPr>
              <w:t>2022连云区现状值</w:t>
            </w:r>
          </w:p>
        </w:tc>
        <w:tc>
          <w:tcPr>
            <w:tcW w:w="502" w:type="pct"/>
            <w:shd w:val="clear" w:color="auto" w:fill="auto"/>
            <w:vAlign w:val="center"/>
          </w:tcPr>
          <w:p w14:paraId="1DBC6663">
            <w:pPr>
              <w:pStyle w:val="28"/>
              <w:rPr>
                <w:rFonts w:hint="default"/>
                <w:b/>
                <w:bCs/>
              </w:rPr>
            </w:pPr>
            <w:r>
              <w:rPr>
                <w:b/>
                <w:bCs/>
              </w:rPr>
              <w:t>2025连云区目标值</w:t>
            </w:r>
          </w:p>
        </w:tc>
        <w:tc>
          <w:tcPr>
            <w:tcW w:w="656" w:type="pct"/>
            <w:shd w:val="clear" w:color="auto" w:fill="auto"/>
            <w:vAlign w:val="center"/>
          </w:tcPr>
          <w:p w14:paraId="34C3DFF7">
            <w:pPr>
              <w:pStyle w:val="28"/>
              <w:rPr>
                <w:rFonts w:hint="default"/>
                <w:b/>
                <w:bCs/>
              </w:rPr>
            </w:pPr>
            <w:r>
              <w:rPr>
                <w:b/>
                <w:bCs/>
              </w:rPr>
              <w:t>数据来源</w:t>
            </w:r>
          </w:p>
        </w:tc>
        <w:tc>
          <w:tcPr>
            <w:tcW w:w="754" w:type="pct"/>
            <w:shd w:val="clear" w:color="auto" w:fill="auto"/>
            <w:vAlign w:val="center"/>
          </w:tcPr>
          <w:p w14:paraId="0CA58DC7">
            <w:pPr>
              <w:pStyle w:val="28"/>
              <w:rPr>
                <w:rFonts w:hint="default"/>
                <w:b/>
                <w:bCs/>
              </w:rPr>
            </w:pPr>
            <w:r>
              <w:rPr>
                <w:b/>
                <w:bCs/>
              </w:rPr>
              <w:t>责任部门</w:t>
            </w:r>
          </w:p>
        </w:tc>
      </w:tr>
      <w:tr w14:paraId="07B88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119DAE8D">
            <w:pPr>
              <w:pStyle w:val="28"/>
              <w:numPr>
                <w:ilvl w:val="0"/>
                <w:numId w:val="9"/>
              </w:numPr>
              <w:rPr>
                <w:rFonts w:hint="default"/>
              </w:rPr>
            </w:pPr>
          </w:p>
        </w:tc>
        <w:tc>
          <w:tcPr>
            <w:tcW w:w="324" w:type="pct"/>
            <w:vMerge w:val="restart"/>
            <w:shd w:val="clear" w:color="auto" w:fill="auto"/>
            <w:vAlign w:val="center"/>
          </w:tcPr>
          <w:p w14:paraId="2443D2D2">
            <w:pPr>
              <w:pStyle w:val="28"/>
              <w:rPr>
                <w:rFonts w:hint="default"/>
              </w:rPr>
            </w:pPr>
            <w:r>
              <w:t>固体废物源头减量</w:t>
            </w:r>
          </w:p>
        </w:tc>
        <w:tc>
          <w:tcPr>
            <w:tcW w:w="458" w:type="pct"/>
            <w:vMerge w:val="restart"/>
            <w:shd w:val="clear" w:color="auto" w:fill="auto"/>
            <w:vAlign w:val="center"/>
          </w:tcPr>
          <w:p w14:paraId="17587FF6">
            <w:pPr>
              <w:pStyle w:val="28"/>
              <w:rPr>
                <w:rFonts w:hint="default"/>
              </w:rPr>
            </w:pPr>
            <w:r>
              <w:t>工业源头减量</w:t>
            </w:r>
          </w:p>
        </w:tc>
        <w:tc>
          <w:tcPr>
            <w:tcW w:w="1080" w:type="pct"/>
            <w:shd w:val="clear" w:color="auto" w:fill="auto"/>
            <w:vAlign w:val="center"/>
          </w:tcPr>
          <w:p w14:paraId="68DAF996">
            <w:pPr>
              <w:pStyle w:val="28"/>
              <w:rPr>
                <w:rFonts w:hint="default"/>
              </w:rPr>
            </w:pPr>
            <w:r>
              <w:t>通过清洁生产审核评估工业企业占比★</w:t>
            </w:r>
          </w:p>
        </w:tc>
        <w:tc>
          <w:tcPr>
            <w:tcW w:w="506" w:type="pct"/>
            <w:shd w:val="clear" w:color="auto" w:fill="auto"/>
            <w:vAlign w:val="center"/>
          </w:tcPr>
          <w:p w14:paraId="54A81944">
            <w:pPr>
              <w:pStyle w:val="28"/>
              <w:rPr>
                <w:rFonts w:hint="default"/>
              </w:rPr>
            </w:pPr>
            <w:r>
              <w:t>100%</w:t>
            </w:r>
          </w:p>
        </w:tc>
        <w:tc>
          <w:tcPr>
            <w:tcW w:w="460" w:type="pct"/>
            <w:shd w:val="clear" w:color="auto" w:fill="auto"/>
            <w:vAlign w:val="center"/>
          </w:tcPr>
          <w:p w14:paraId="457B862F">
            <w:pPr>
              <w:pStyle w:val="28"/>
              <w:rPr>
                <w:rFonts w:hint="default"/>
              </w:rPr>
            </w:pPr>
            <w:r>
              <w:t>100%</w:t>
            </w:r>
          </w:p>
        </w:tc>
        <w:tc>
          <w:tcPr>
            <w:tcW w:w="502" w:type="pct"/>
            <w:shd w:val="clear" w:color="auto" w:fill="auto"/>
            <w:vAlign w:val="center"/>
          </w:tcPr>
          <w:p w14:paraId="45396346">
            <w:pPr>
              <w:pStyle w:val="28"/>
              <w:rPr>
                <w:rFonts w:hint="default"/>
              </w:rPr>
            </w:pPr>
            <w:r>
              <w:t>100%</w:t>
            </w:r>
          </w:p>
        </w:tc>
        <w:tc>
          <w:tcPr>
            <w:tcW w:w="656" w:type="pct"/>
            <w:shd w:val="clear" w:color="auto" w:fill="auto"/>
            <w:vAlign w:val="center"/>
          </w:tcPr>
          <w:p w14:paraId="45379908">
            <w:pPr>
              <w:pStyle w:val="28"/>
              <w:rPr>
                <w:rFonts w:hint="default"/>
              </w:rPr>
            </w:pPr>
            <w:r>
              <w:t>连云生态环境局、区经发局</w:t>
            </w:r>
          </w:p>
        </w:tc>
        <w:tc>
          <w:tcPr>
            <w:tcW w:w="754" w:type="pct"/>
            <w:shd w:val="clear" w:color="auto" w:fill="auto"/>
            <w:vAlign w:val="center"/>
          </w:tcPr>
          <w:p w14:paraId="2097F423">
            <w:pPr>
              <w:pStyle w:val="28"/>
              <w:rPr>
                <w:rFonts w:hint="default"/>
              </w:rPr>
            </w:pPr>
            <w:r>
              <w:t>连云生态环境局</w:t>
            </w:r>
          </w:p>
        </w:tc>
      </w:tr>
      <w:tr w14:paraId="26A00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3ADDAC5C">
            <w:pPr>
              <w:pStyle w:val="28"/>
              <w:numPr>
                <w:ilvl w:val="0"/>
                <w:numId w:val="9"/>
              </w:numPr>
              <w:rPr>
                <w:rFonts w:hint="default"/>
              </w:rPr>
            </w:pPr>
          </w:p>
        </w:tc>
        <w:tc>
          <w:tcPr>
            <w:tcW w:w="324" w:type="pct"/>
            <w:vMerge w:val="continue"/>
            <w:vAlign w:val="center"/>
          </w:tcPr>
          <w:p w14:paraId="59C28F53">
            <w:pPr>
              <w:pStyle w:val="28"/>
              <w:rPr>
                <w:rFonts w:hint="default"/>
              </w:rPr>
            </w:pPr>
          </w:p>
        </w:tc>
        <w:tc>
          <w:tcPr>
            <w:tcW w:w="458" w:type="pct"/>
            <w:vMerge w:val="continue"/>
            <w:vAlign w:val="center"/>
          </w:tcPr>
          <w:p w14:paraId="24D3B139">
            <w:pPr>
              <w:pStyle w:val="28"/>
              <w:rPr>
                <w:rFonts w:hint="default"/>
              </w:rPr>
            </w:pPr>
          </w:p>
        </w:tc>
        <w:tc>
          <w:tcPr>
            <w:tcW w:w="1080" w:type="pct"/>
            <w:shd w:val="clear" w:color="auto" w:fill="auto"/>
            <w:vAlign w:val="center"/>
          </w:tcPr>
          <w:p w14:paraId="4F10C8E1">
            <w:pPr>
              <w:pStyle w:val="28"/>
              <w:rPr>
                <w:rFonts w:hint="default"/>
              </w:rPr>
            </w:pPr>
            <w:r>
              <w:t>一般工业固体废物产生强度★</w:t>
            </w:r>
          </w:p>
        </w:tc>
        <w:tc>
          <w:tcPr>
            <w:tcW w:w="506" w:type="pct"/>
            <w:shd w:val="clear" w:color="auto" w:fill="auto"/>
            <w:vAlign w:val="center"/>
          </w:tcPr>
          <w:p w14:paraId="542FB611">
            <w:pPr>
              <w:pStyle w:val="28"/>
              <w:rPr>
                <w:rFonts w:hint="default"/>
              </w:rPr>
            </w:pPr>
            <w:r>
              <w:t>0.5吨/万元</w:t>
            </w:r>
          </w:p>
        </w:tc>
        <w:tc>
          <w:tcPr>
            <w:tcW w:w="460" w:type="pct"/>
            <w:shd w:val="clear" w:color="auto" w:fill="auto"/>
            <w:vAlign w:val="center"/>
          </w:tcPr>
          <w:p w14:paraId="67008393">
            <w:pPr>
              <w:pStyle w:val="28"/>
              <w:rPr>
                <w:rFonts w:hint="default"/>
              </w:rPr>
            </w:pPr>
            <w:r>
              <w:t>0.4181吨/万元</w:t>
            </w:r>
          </w:p>
        </w:tc>
        <w:tc>
          <w:tcPr>
            <w:tcW w:w="502" w:type="pct"/>
            <w:shd w:val="clear" w:color="auto" w:fill="auto"/>
            <w:vAlign w:val="center"/>
          </w:tcPr>
          <w:p w14:paraId="456EC5E8">
            <w:pPr>
              <w:pStyle w:val="28"/>
              <w:rPr>
                <w:rFonts w:hint="default"/>
              </w:rPr>
            </w:pPr>
            <w:r>
              <w:t>0.4吨/万元</w:t>
            </w:r>
          </w:p>
        </w:tc>
        <w:tc>
          <w:tcPr>
            <w:tcW w:w="656" w:type="pct"/>
            <w:shd w:val="clear" w:color="auto" w:fill="auto"/>
            <w:vAlign w:val="center"/>
          </w:tcPr>
          <w:p w14:paraId="4ABCE237">
            <w:pPr>
              <w:pStyle w:val="28"/>
              <w:rPr>
                <w:rFonts w:hint="default"/>
              </w:rPr>
            </w:pPr>
            <w:r>
              <w:t>连云生态环境局、区统计局</w:t>
            </w:r>
          </w:p>
        </w:tc>
        <w:tc>
          <w:tcPr>
            <w:tcW w:w="754" w:type="pct"/>
            <w:shd w:val="clear" w:color="auto" w:fill="auto"/>
            <w:vAlign w:val="center"/>
          </w:tcPr>
          <w:p w14:paraId="42B7F1F1">
            <w:pPr>
              <w:pStyle w:val="28"/>
              <w:rPr>
                <w:rFonts w:hint="default"/>
              </w:rPr>
            </w:pPr>
            <w:r>
              <w:t>连云生态环境局</w:t>
            </w:r>
          </w:p>
        </w:tc>
      </w:tr>
      <w:tr w14:paraId="0DB58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38C3D7AF">
            <w:pPr>
              <w:pStyle w:val="28"/>
              <w:numPr>
                <w:ilvl w:val="0"/>
                <w:numId w:val="9"/>
              </w:numPr>
              <w:rPr>
                <w:rFonts w:hint="default"/>
              </w:rPr>
            </w:pPr>
          </w:p>
        </w:tc>
        <w:tc>
          <w:tcPr>
            <w:tcW w:w="324" w:type="pct"/>
            <w:vMerge w:val="continue"/>
            <w:vAlign w:val="center"/>
          </w:tcPr>
          <w:p w14:paraId="10637C5B">
            <w:pPr>
              <w:pStyle w:val="28"/>
              <w:rPr>
                <w:rFonts w:hint="default"/>
              </w:rPr>
            </w:pPr>
          </w:p>
        </w:tc>
        <w:tc>
          <w:tcPr>
            <w:tcW w:w="458" w:type="pct"/>
            <w:vMerge w:val="continue"/>
            <w:vAlign w:val="center"/>
          </w:tcPr>
          <w:p w14:paraId="68C8F000">
            <w:pPr>
              <w:pStyle w:val="28"/>
              <w:rPr>
                <w:rFonts w:hint="default"/>
              </w:rPr>
            </w:pPr>
          </w:p>
        </w:tc>
        <w:tc>
          <w:tcPr>
            <w:tcW w:w="1080" w:type="pct"/>
            <w:shd w:val="clear" w:color="auto" w:fill="auto"/>
            <w:vAlign w:val="center"/>
          </w:tcPr>
          <w:p w14:paraId="28255A00">
            <w:pPr>
              <w:pStyle w:val="28"/>
              <w:rPr>
                <w:rFonts w:hint="default"/>
              </w:rPr>
            </w:pPr>
            <w:r>
              <w:t>工业危险废物产生强度★</w:t>
            </w:r>
          </w:p>
        </w:tc>
        <w:tc>
          <w:tcPr>
            <w:tcW w:w="506" w:type="pct"/>
            <w:shd w:val="clear" w:color="auto" w:fill="auto"/>
            <w:vAlign w:val="center"/>
          </w:tcPr>
          <w:p w14:paraId="5064D285">
            <w:pPr>
              <w:pStyle w:val="28"/>
              <w:rPr>
                <w:rFonts w:hint="default"/>
              </w:rPr>
            </w:pPr>
            <w:r>
              <w:t>0.013吨/万元</w:t>
            </w:r>
          </w:p>
        </w:tc>
        <w:tc>
          <w:tcPr>
            <w:tcW w:w="460" w:type="pct"/>
            <w:shd w:val="clear" w:color="auto" w:fill="auto"/>
            <w:vAlign w:val="center"/>
          </w:tcPr>
          <w:p w14:paraId="0EF47D96">
            <w:pPr>
              <w:pStyle w:val="28"/>
              <w:rPr>
                <w:rFonts w:hint="default"/>
              </w:rPr>
            </w:pPr>
            <w:r>
              <w:t>0.0181吨/万元</w:t>
            </w:r>
          </w:p>
        </w:tc>
        <w:tc>
          <w:tcPr>
            <w:tcW w:w="502" w:type="pct"/>
            <w:shd w:val="clear" w:color="auto" w:fill="auto"/>
            <w:vAlign w:val="center"/>
          </w:tcPr>
          <w:p w14:paraId="04CF389E">
            <w:pPr>
              <w:pStyle w:val="28"/>
              <w:rPr>
                <w:rFonts w:hint="default"/>
              </w:rPr>
            </w:pPr>
            <w:r>
              <w:t>0.013吨/万元</w:t>
            </w:r>
          </w:p>
        </w:tc>
        <w:tc>
          <w:tcPr>
            <w:tcW w:w="656" w:type="pct"/>
            <w:shd w:val="clear" w:color="auto" w:fill="auto"/>
            <w:vAlign w:val="center"/>
          </w:tcPr>
          <w:p w14:paraId="24E3CDDC">
            <w:pPr>
              <w:pStyle w:val="28"/>
              <w:rPr>
                <w:rFonts w:hint="default"/>
              </w:rPr>
            </w:pPr>
            <w:r>
              <w:t>连云生态环境局、区统计局</w:t>
            </w:r>
          </w:p>
        </w:tc>
        <w:tc>
          <w:tcPr>
            <w:tcW w:w="754" w:type="pct"/>
            <w:shd w:val="clear" w:color="auto" w:fill="auto"/>
            <w:vAlign w:val="center"/>
          </w:tcPr>
          <w:p w14:paraId="147663A7">
            <w:pPr>
              <w:pStyle w:val="28"/>
              <w:rPr>
                <w:rFonts w:hint="default"/>
              </w:rPr>
            </w:pPr>
            <w:r>
              <w:t>连云生态环境局</w:t>
            </w:r>
          </w:p>
        </w:tc>
      </w:tr>
      <w:tr w14:paraId="1530C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51F171CB">
            <w:pPr>
              <w:pStyle w:val="28"/>
              <w:numPr>
                <w:ilvl w:val="0"/>
                <w:numId w:val="9"/>
              </w:numPr>
              <w:rPr>
                <w:rFonts w:hint="default"/>
              </w:rPr>
            </w:pPr>
          </w:p>
        </w:tc>
        <w:tc>
          <w:tcPr>
            <w:tcW w:w="324" w:type="pct"/>
            <w:vMerge w:val="continue"/>
            <w:vAlign w:val="center"/>
          </w:tcPr>
          <w:p w14:paraId="402A5FB4">
            <w:pPr>
              <w:pStyle w:val="28"/>
              <w:rPr>
                <w:rFonts w:hint="default"/>
              </w:rPr>
            </w:pPr>
          </w:p>
        </w:tc>
        <w:tc>
          <w:tcPr>
            <w:tcW w:w="458" w:type="pct"/>
            <w:vMerge w:val="continue"/>
            <w:vAlign w:val="center"/>
          </w:tcPr>
          <w:p w14:paraId="1B9E76D4">
            <w:pPr>
              <w:pStyle w:val="28"/>
              <w:rPr>
                <w:rFonts w:hint="default"/>
              </w:rPr>
            </w:pPr>
          </w:p>
        </w:tc>
        <w:tc>
          <w:tcPr>
            <w:tcW w:w="1080" w:type="pct"/>
            <w:shd w:val="clear" w:color="auto" w:fill="auto"/>
            <w:vAlign w:val="center"/>
          </w:tcPr>
          <w:p w14:paraId="1D900500">
            <w:pPr>
              <w:pStyle w:val="28"/>
              <w:rPr>
                <w:rFonts w:hint="default"/>
              </w:rPr>
            </w:pPr>
            <w:r>
              <w:t>评为省级及以上绿色工厂的企业数量※</w:t>
            </w:r>
          </w:p>
        </w:tc>
        <w:tc>
          <w:tcPr>
            <w:tcW w:w="506" w:type="pct"/>
            <w:shd w:val="clear" w:color="auto" w:fill="auto"/>
            <w:vAlign w:val="center"/>
          </w:tcPr>
          <w:p w14:paraId="666329B6">
            <w:pPr>
              <w:pStyle w:val="28"/>
              <w:rPr>
                <w:rFonts w:hint="default"/>
              </w:rPr>
            </w:pPr>
            <w:r>
              <w:t>25家</w:t>
            </w:r>
          </w:p>
        </w:tc>
        <w:tc>
          <w:tcPr>
            <w:tcW w:w="460" w:type="pct"/>
            <w:shd w:val="clear" w:color="auto" w:fill="auto"/>
            <w:vAlign w:val="center"/>
          </w:tcPr>
          <w:p w14:paraId="45CA6C08">
            <w:pPr>
              <w:pStyle w:val="28"/>
              <w:rPr>
                <w:rFonts w:hint="default"/>
              </w:rPr>
            </w:pPr>
            <w:r>
              <w:t>5家</w:t>
            </w:r>
          </w:p>
        </w:tc>
        <w:tc>
          <w:tcPr>
            <w:tcW w:w="502" w:type="pct"/>
            <w:shd w:val="clear" w:color="auto" w:fill="auto"/>
            <w:vAlign w:val="center"/>
          </w:tcPr>
          <w:p w14:paraId="5D70005F">
            <w:pPr>
              <w:pStyle w:val="28"/>
              <w:rPr>
                <w:rFonts w:hint="default"/>
              </w:rPr>
            </w:pPr>
            <w:r>
              <w:t>8家</w:t>
            </w:r>
          </w:p>
        </w:tc>
        <w:tc>
          <w:tcPr>
            <w:tcW w:w="656" w:type="pct"/>
            <w:shd w:val="clear" w:color="auto" w:fill="auto"/>
            <w:vAlign w:val="center"/>
          </w:tcPr>
          <w:p w14:paraId="5856EDD8">
            <w:pPr>
              <w:pStyle w:val="28"/>
              <w:rPr>
                <w:rFonts w:hint="default"/>
              </w:rPr>
            </w:pPr>
            <w:r>
              <w:t>区经发局</w:t>
            </w:r>
          </w:p>
        </w:tc>
        <w:tc>
          <w:tcPr>
            <w:tcW w:w="754" w:type="pct"/>
            <w:shd w:val="clear" w:color="auto" w:fill="auto"/>
            <w:vAlign w:val="center"/>
          </w:tcPr>
          <w:p w14:paraId="573B2661">
            <w:pPr>
              <w:pStyle w:val="28"/>
              <w:rPr>
                <w:rFonts w:hint="default"/>
              </w:rPr>
            </w:pPr>
            <w:r>
              <w:t>区经发局</w:t>
            </w:r>
          </w:p>
        </w:tc>
      </w:tr>
      <w:tr w14:paraId="11364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21665E86">
            <w:pPr>
              <w:pStyle w:val="28"/>
              <w:numPr>
                <w:ilvl w:val="0"/>
                <w:numId w:val="9"/>
              </w:numPr>
              <w:rPr>
                <w:rFonts w:hint="default"/>
              </w:rPr>
            </w:pPr>
          </w:p>
        </w:tc>
        <w:tc>
          <w:tcPr>
            <w:tcW w:w="324" w:type="pct"/>
            <w:vMerge w:val="continue"/>
            <w:vAlign w:val="center"/>
          </w:tcPr>
          <w:p w14:paraId="17B3AA9F">
            <w:pPr>
              <w:pStyle w:val="28"/>
              <w:rPr>
                <w:rFonts w:hint="default"/>
              </w:rPr>
            </w:pPr>
          </w:p>
        </w:tc>
        <w:tc>
          <w:tcPr>
            <w:tcW w:w="458" w:type="pct"/>
            <w:vMerge w:val="restart"/>
            <w:shd w:val="clear" w:color="auto" w:fill="auto"/>
            <w:vAlign w:val="center"/>
          </w:tcPr>
          <w:p w14:paraId="68707B97">
            <w:pPr>
              <w:pStyle w:val="28"/>
              <w:rPr>
                <w:rFonts w:hint="default"/>
              </w:rPr>
            </w:pPr>
            <w:r>
              <w:t>农业源头减量</w:t>
            </w:r>
          </w:p>
        </w:tc>
        <w:tc>
          <w:tcPr>
            <w:tcW w:w="1080" w:type="pct"/>
            <w:shd w:val="clear" w:color="auto" w:fill="auto"/>
            <w:vAlign w:val="center"/>
          </w:tcPr>
          <w:p w14:paraId="32D2BE17">
            <w:pPr>
              <w:pStyle w:val="28"/>
              <w:rPr>
                <w:rFonts w:hint="default"/>
              </w:rPr>
            </w:pPr>
            <w:r>
              <w:t>绿色优质农产品比重☆</w:t>
            </w:r>
          </w:p>
        </w:tc>
        <w:tc>
          <w:tcPr>
            <w:tcW w:w="506" w:type="pct"/>
            <w:shd w:val="clear" w:color="auto" w:fill="auto"/>
            <w:vAlign w:val="center"/>
          </w:tcPr>
          <w:p w14:paraId="7E24555E">
            <w:pPr>
              <w:pStyle w:val="28"/>
              <w:rPr>
                <w:rFonts w:hint="default"/>
              </w:rPr>
            </w:pPr>
            <w:r>
              <w:t>80%</w:t>
            </w:r>
          </w:p>
        </w:tc>
        <w:tc>
          <w:tcPr>
            <w:tcW w:w="460" w:type="pct"/>
            <w:shd w:val="clear" w:color="auto" w:fill="auto"/>
            <w:vAlign w:val="center"/>
          </w:tcPr>
          <w:p w14:paraId="29A6267B">
            <w:pPr>
              <w:pStyle w:val="28"/>
              <w:rPr>
                <w:rFonts w:hint="default"/>
              </w:rPr>
            </w:pPr>
            <w:r>
              <w:t>68.65%</w:t>
            </w:r>
          </w:p>
        </w:tc>
        <w:tc>
          <w:tcPr>
            <w:tcW w:w="502" w:type="pct"/>
            <w:shd w:val="clear" w:color="auto" w:fill="auto"/>
            <w:vAlign w:val="center"/>
          </w:tcPr>
          <w:p w14:paraId="70BD7E09">
            <w:pPr>
              <w:pStyle w:val="28"/>
              <w:rPr>
                <w:rFonts w:hint="default"/>
              </w:rPr>
            </w:pPr>
            <w:r>
              <w:t>75%</w:t>
            </w:r>
          </w:p>
        </w:tc>
        <w:tc>
          <w:tcPr>
            <w:tcW w:w="656" w:type="pct"/>
            <w:shd w:val="clear" w:color="auto" w:fill="auto"/>
            <w:vAlign w:val="center"/>
          </w:tcPr>
          <w:p w14:paraId="74B70765">
            <w:pPr>
              <w:pStyle w:val="28"/>
              <w:rPr>
                <w:rFonts w:hint="default"/>
              </w:rPr>
            </w:pPr>
            <w:r>
              <w:t>区农业农村局</w:t>
            </w:r>
          </w:p>
        </w:tc>
        <w:tc>
          <w:tcPr>
            <w:tcW w:w="754" w:type="pct"/>
            <w:shd w:val="clear" w:color="auto" w:fill="auto"/>
            <w:vAlign w:val="center"/>
          </w:tcPr>
          <w:p w14:paraId="26E13ACC">
            <w:pPr>
              <w:pStyle w:val="28"/>
              <w:rPr>
                <w:rFonts w:hint="default"/>
              </w:rPr>
            </w:pPr>
            <w:r>
              <w:t>区农业农村局</w:t>
            </w:r>
          </w:p>
        </w:tc>
      </w:tr>
      <w:tr w14:paraId="13C85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60BCD675">
            <w:pPr>
              <w:pStyle w:val="28"/>
              <w:numPr>
                <w:ilvl w:val="0"/>
                <w:numId w:val="9"/>
              </w:numPr>
              <w:rPr>
                <w:rFonts w:hint="default"/>
              </w:rPr>
            </w:pPr>
          </w:p>
        </w:tc>
        <w:tc>
          <w:tcPr>
            <w:tcW w:w="324" w:type="pct"/>
            <w:vMerge w:val="continue"/>
            <w:vAlign w:val="center"/>
          </w:tcPr>
          <w:p w14:paraId="2A2EFF3E">
            <w:pPr>
              <w:pStyle w:val="28"/>
              <w:rPr>
                <w:rFonts w:hint="default"/>
              </w:rPr>
            </w:pPr>
          </w:p>
        </w:tc>
        <w:tc>
          <w:tcPr>
            <w:tcW w:w="458" w:type="pct"/>
            <w:vMerge w:val="continue"/>
            <w:shd w:val="clear" w:color="auto" w:fill="auto"/>
            <w:vAlign w:val="center"/>
          </w:tcPr>
          <w:p w14:paraId="46E753D1">
            <w:pPr>
              <w:pStyle w:val="28"/>
              <w:rPr>
                <w:rFonts w:hint="default"/>
              </w:rPr>
            </w:pPr>
          </w:p>
        </w:tc>
        <w:tc>
          <w:tcPr>
            <w:tcW w:w="1080" w:type="pct"/>
            <w:shd w:val="clear" w:color="auto" w:fill="auto"/>
            <w:vAlign w:val="center"/>
          </w:tcPr>
          <w:p w14:paraId="30174505">
            <w:pPr>
              <w:pStyle w:val="28"/>
              <w:rPr>
                <w:rFonts w:hint="default"/>
              </w:rPr>
            </w:pPr>
            <w:r>
              <w:t>国家级海洋牧场数量</w:t>
            </w:r>
            <w:r>
              <w:rPr>
                <w:kern w:val="0"/>
              </w:rPr>
              <w:t>▲</w:t>
            </w:r>
          </w:p>
        </w:tc>
        <w:tc>
          <w:tcPr>
            <w:tcW w:w="506" w:type="pct"/>
            <w:shd w:val="clear" w:color="auto" w:fill="auto"/>
            <w:vAlign w:val="center"/>
          </w:tcPr>
          <w:p w14:paraId="13D87A2C">
            <w:pPr>
              <w:pStyle w:val="28"/>
              <w:rPr>
                <w:rFonts w:hint="default"/>
              </w:rPr>
            </w:pPr>
            <w:r>
              <w:t>/</w:t>
            </w:r>
          </w:p>
        </w:tc>
        <w:tc>
          <w:tcPr>
            <w:tcW w:w="460" w:type="pct"/>
            <w:shd w:val="clear" w:color="auto" w:fill="auto"/>
            <w:vAlign w:val="center"/>
          </w:tcPr>
          <w:p w14:paraId="1E8D630C">
            <w:pPr>
              <w:pStyle w:val="28"/>
              <w:rPr>
                <w:rFonts w:hint="default"/>
              </w:rPr>
            </w:pPr>
            <w:r>
              <w:t>0</w:t>
            </w:r>
          </w:p>
        </w:tc>
        <w:tc>
          <w:tcPr>
            <w:tcW w:w="502" w:type="pct"/>
            <w:shd w:val="clear" w:color="auto" w:fill="auto"/>
            <w:vAlign w:val="center"/>
          </w:tcPr>
          <w:p w14:paraId="4EE03CFA">
            <w:pPr>
              <w:pStyle w:val="28"/>
              <w:rPr>
                <w:rFonts w:hint="default"/>
              </w:rPr>
            </w:pPr>
            <w:r>
              <w:t>1</w:t>
            </w:r>
          </w:p>
        </w:tc>
        <w:tc>
          <w:tcPr>
            <w:tcW w:w="656" w:type="pct"/>
            <w:shd w:val="clear" w:color="auto" w:fill="auto"/>
            <w:vAlign w:val="center"/>
          </w:tcPr>
          <w:p w14:paraId="68BB35B0">
            <w:pPr>
              <w:pStyle w:val="28"/>
              <w:rPr>
                <w:rFonts w:hint="default"/>
              </w:rPr>
            </w:pPr>
            <w:r>
              <w:t>区林业和海洋局</w:t>
            </w:r>
          </w:p>
        </w:tc>
        <w:tc>
          <w:tcPr>
            <w:tcW w:w="754" w:type="pct"/>
            <w:shd w:val="clear" w:color="auto" w:fill="auto"/>
            <w:vAlign w:val="center"/>
          </w:tcPr>
          <w:p w14:paraId="3A16C5C3">
            <w:pPr>
              <w:pStyle w:val="28"/>
              <w:rPr>
                <w:rFonts w:hint="default"/>
              </w:rPr>
            </w:pPr>
            <w:r>
              <w:t>区林业和海洋局</w:t>
            </w:r>
          </w:p>
        </w:tc>
      </w:tr>
      <w:tr w14:paraId="26A61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2FA210EC">
            <w:pPr>
              <w:pStyle w:val="28"/>
              <w:numPr>
                <w:ilvl w:val="0"/>
                <w:numId w:val="9"/>
              </w:numPr>
              <w:rPr>
                <w:rFonts w:hint="default"/>
              </w:rPr>
            </w:pPr>
          </w:p>
        </w:tc>
        <w:tc>
          <w:tcPr>
            <w:tcW w:w="324" w:type="pct"/>
            <w:vMerge w:val="continue"/>
            <w:vAlign w:val="center"/>
          </w:tcPr>
          <w:p w14:paraId="1856793D">
            <w:pPr>
              <w:pStyle w:val="28"/>
              <w:rPr>
                <w:rFonts w:hint="default"/>
              </w:rPr>
            </w:pPr>
          </w:p>
        </w:tc>
        <w:tc>
          <w:tcPr>
            <w:tcW w:w="458" w:type="pct"/>
            <w:vMerge w:val="restart"/>
            <w:shd w:val="clear" w:color="auto" w:fill="auto"/>
            <w:vAlign w:val="center"/>
          </w:tcPr>
          <w:p w14:paraId="48FB0CF9">
            <w:pPr>
              <w:pStyle w:val="28"/>
              <w:rPr>
                <w:rFonts w:hint="default"/>
              </w:rPr>
            </w:pPr>
            <w:r>
              <w:t>建筑业源头减量</w:t>
            </w:r>
          </w:p>
        </w:tc>
        <w:tc>
          <w:tcPr>
            <w:tcW w:w="1080" w:type="pct"/>
            <w:shd w:val="clear" w:color="auto" w:fill="auto"/>
            <w:vAlign w:val="center"/>
          </w:tcPr>
          <w:p w14:paraId="7E28102A">
            <w:pPr>
              <w:pStyle w:val="28"/>
              <w:rPr>
                <w:rFonts w:hint="default"/>
              </w:rPr>
            </w:pPr>
            <w:r>
              <w:t>绿色建筑占新建建筑的比例★</w:t>
            </w:r>
          </w:p>
        </w:tc>
        <w:tc>
          <w:tcPr>
            <w:tcW w:w="506" w:type="pct"/>
            <w:shd w:val="clear" w:color="auto" w:fill="auto"/>
            <w:vAlign w:val="center"/>
          </w:tcPr>
          <w:p w14:paraId="52D279A6">
            <w:pPr>
              <w:pStyle w:val="28"/>
              <w:rPr>
                <w:rFonts w:hint="default"/>
              </w:rPr>
            </w:pPr>
            <w:r>
              <w:t>100%</w:t>
            </w:r>
          </w:p>
        </w:tc>
        <w:tc>
          <w:tcPr>
            <w:tcW w:w="460" w:type="pct"/>
            <w:shd w:val="clear" w:color="auto" w:fill="auto"/>
            <w:vAlign w:val="center"/>
          </w:tcPr>
          <w:p w14:paraId="2309C583">
            <w:pPr>
              <w:pStyle w:val="28"/>
              <w:rPr>
                <w:rFonts w:hint="default"/>
              </w:rPr>
            </w:pPr>
            <w:r>
              <w:t>76.47%</w:t>
            </w:r>
          </w:p>
        </w:tc>
        <w:tc>
          <w:tcPr>
            <w:tcW w:w="502" w:type="pct"/>
            <w:shd w:val="clear" w:color="auto" w:fill="auto"/>
            <w:vAlign w:val="center"/>
          </w:tcPr>
          <w:p w14:paraId="38BD36CE">
            <w:pPr>
              <w:pStyle w:val="28"/>
              <w:rPr>
                <w:rFonts w:hint="default"/>
              </w:rPr>
            </w:pPr>
            <w:r>
              <w:t>100%</w:t>
            </w:r>
          </w:p>
        </w:tc>
        <w:tc>
          <w:tcPr>
            <w:tcW w:w="656" w:type="pct"/>
            <w:shd w:val="clear" w:color="auto" w:fill="auto"/>
            <w:vAlign w:val="center"/>
          </w:tcPr>
          <w:p w14:paraId="76A34AD9">
            <w:pPr>
              <w:pStyle w:val="28"/>
              <w:rPr>
                <w:rFonts w:hint="default"/>
              </w:rPr>
            </w:pPr>
            <w:r>
              <w:t>区住建局</w:t>
            </w:r>
          </w:p>
        </w:tc>
        <w:tc>
          <w:tcPr>
            <w:tcW w:w="754" w:type="pct"/>
            <w:shd w:val="clear" w:color="auto" w:fill="auto"/>
            <w:vAlign w:val="center"/>
          </w:tcPr>
          <w:p w14:paraId="08A31AF4">
            <w:pPr>
              <w:pStyle w:val="28"/>
              <w:rPr>
                <w:rFonts w:hint="default"/>
              </w:rPr>
            </w:pPr>
            <w:r>
              <w:t>区住建局</w:t>
            </w:r>
          </w:p>
        </w:tc>
      </w:tr>
      <w:tr w14:paraId="404E3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172CEC24">
            <w:pPr>
              <w:pStyle w:val="28"/>
              <w:numPr>
                <w:ilvl w:val="0"/>
                <w:numId w:val="9"/>
              </w:numPr>
              <w:rPr>
                <w:rFonts w:hint="default"/>
              </w:rPr>
            </w:pPr>
          </w:p>
        </w:tc>
        <w:tc>
          <w:tcPr>
            <w:tcW w:w="324" w:type="pct"/>
            <w:vMerge w:val="continue"/>
            <w:vAlign w:val="center"/>
          </w:tcPr>
          <w:p w14:paraId="41A02F2B">
            <w:pPr>
              <w:pStyle w:val="28"/>
              <w:rPr>
                <w:rFonts w:hint="default"/>
              </w:rPr>
            </w:pPr>
          </w:p>
        </w:tc>
        <w:tc>
          <w:tcPr>
            <w:tcW w:w="458" w:type="pct"/>
            <w:vMerge w:val="continue"/>
            <w:vAlign w:val="center"/>
          </w:tcPr>
          <w:p w14:paraId="54D66498">
            <w:pPr>
              <w:pStyle w:val="28"/>
              <w:rPr>
                <w:rFonts w:hint="default"/>
              </w:rPr>
            </w:pPr>
          </w:p>
        </w:tc>
        <w:tc>
          <w:tcPr>
            <w:tcW w:w="1080" w:type="pct"/>
            <w:shd w:val="clear" w:color="auto" w:fill="auto"/>
            <w:vAlign w:val="center"/>
          </w:tcPr>
          <w:p w14:paraId="25423A01">
            <w:pPr>
              <w:pStyle w:val="28"/>
              <w:rPr>
                <w:rFonts w:hint="default"/>
              </w:rPr>
            </w:pPr>
            <w:r>
              <w:t>装配式建筑占新建建筑的比例★</w:t>
            </w:r>
          </w:p>
        </w:tc>
        <w:tc>
          <w:tcPr>
            <w:tcW w:w="506" w:type="pct"/>
            <w:shd w:val="clear" w:color="auto" w:fill="auto"/>
            <w:vAlign w:val="center"/>
          </w:tcPr>
          <w:p w14:paraId="7B20FCF8">
            <w:pPr>
              <w:pStyle w:val="28"/>
              <w:rPr>
                <w:rFonts w:hint="default"/>
              </w:rPr>
            </w:pPr>
            <w:r>
              <w:t>50%</w:t>
            </w:r>
          </w:p>
        </w:tc>
        <w:tc>
          <w:tcPr>
            <w:tcW w:w="460" w:type="pct"/>
            <w:shd w:val="clear" w:color="auto" w:fill="auto"/>
            <w:vAlign w:val="center"/>
          </w:tcPr>
          <w:p w14:paraId="7DBE5C8E">
            <w:pPr>
              <w:pStyle w:val="28"/>
              <w:rPr>
                <w:rFonts w:hint="default"/>
              </w:rPr>
            </w:pPr>
            <w:r>
              <w:t>0%</w:t>
            </w:r>
          </w:p>
        </w:tc>
        <w:tc>
          <w:tcPr>
            <w:tcW w:w="502" w:type="pct"/>
            <w:shd w:val="clear" w:color="auto" w:fill="auto"/>
            <w:vAlign w:val="center"/>
          </w:tcPr>
          <w:p w14:paraId="15721428">
            <w:pPr>
              <w:pStyle w:val="28"/>
              <w:rPr>
                <w:rFonts w:hint="default"/>
              </w:rPr>
            </w:pPr>
            <w:r>
              <w:t>/</w:t>
            </w:r>
          </w:p>
        </w:tc>
        <w:tc>
          <w:tcPr>
            <w:tcW w:w="656" w:type="pct"/>
            <w:shd w:val="clear" w:color="auto" w:fill="auto"/>
            <w:vAlign w:val="center"/>
          </w:tcPr>
          <w:p w14:paraId="79BF9AD7">
            <w:pPr>
              <w:pStyle w:val="28"/>
              <w:rPr>
                <w:rFonts w:hint="default"/>
              </w:rPr>
            </w:pPr>
            <w:r>
              <w:t>区住建局</w:t>
            </w:r>
          </w:p>
        </w:tc>
        <w:tc>
          <w:tcPr>
            <w:tcW w:w="754" w:type="pct"/>
            <w:shd w:val="clear" w:color="auto" w:fill="auto"/>
            <w:vAlign w:val="center"/>
          </w:tcPr>
          <w:p w14:paraId="2D37946E">
            <w:pPr>
              <w:pStyle w:val="28"/>
              <w:rPr>
                <w:rFonts w:hint="default"/>
              </w:rPr>
            </w:pPr>
            <w:r>
              <w:t>区住建局</w:t>
            </w:r>
          </w:p>
        </w:tc>
      </w:tr>
      <w:tr w14:paraId="5F923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2279A5DA">
            <w:pPr>
              <w:pStyle w:val="28"/>
              <w:numPr>
                <w:ilvl w:val="0"/>
                <w:numId w:val="9"/>
              </w:numPr>
              <w:rPr>
                <w:rFonts w:hint="default"/>
              </w:rPr>
            </w:pPr>
          </w:p>
        </w:tc>
        <w:tc>
          <w:tcPr>
            <w:tcW w:w="324" w:type="pct"/>
            <w:vMerge w:val="continue"/>
            <w:vAlign w:val="center"/>
          </w:tcPr>
          <w:p w14:paraId="2F633644">
            <w:pPr>
              <w:pStyle w:val="28"/>
              <w:rPr>
                <w:rFonts w:hint="default"/>
              </w:rPr>
            </w:pPr>
          </w:p>
        </w:tc>
        <w:tc>
          <w:tcPr>
            <w:tcW w:w="458" w:type="pct"/>
            <w:vMerge w:val="restart"/>
            <w:shd w:val="clear" w:color="auto" w:fill="auto"/>
            <w:vAlign w:val="center"/>
          </w:tcPr>
          <w:p w14:paraId="7C52DA01">
            <w:pPr>
              <w:pStyle w:val="28"/>
              <w:rPr>
                <w:rFonts w:hint="default"/>
              </w:rPr>
            </w:pPr>
            <w:r>
              <w:t>生活领域源头减量</w:t>
            </w:r>
          </w:p>
          <w:p w14:paraId="6A221CC6">
            <w:pPr>
              <w:pStyle w:val="28"/>
              <w:rPr>
                <w:rFonts w:hint="default"/>
              </w:rPr>
            </w:pPr>
            <w:r>
              <w:t>生活领域源头减量</w:t>
            </w:r>
          </w:p>
        </w:tc>
        <w:tc>
          <w:tcPr>
            <w:tcW w:w="1080" w:type="pct"/>
            <w:shd w:val="clear" w:color="auto" w:fill="auto"/>
            <w:vAlign w:val="center"/>
          </w:tcPr>
          <w:p w14:paraId="59E02E55">
            <w:pPr>
              <w:pStyle w:val="28"/>
              <w:rPr>
                <w:rFonts w:hint="default"/>
              </w:rPr>
            </w:pPr>
            <w:r>
              <w:t>生活垃圾清运量★</w:t>
            </w:r>
          </w:p>
        </w:tc>
        <w:tc>
          <w:tcPr>
            <w:tcW w:w="506" w:type="pct"/>
            <w:shd w:val="clear" w:color="auto" w:fill="auto"/>
            <w:vAlign w:val="center"/>
          </w:tcPr>
          <w:p w14:paraId="0FEA5766">
            <w:pPr>
              <w:pStyle w:val="28"/>
              <w:rPr>
                <w:rFonts w:hint="default"/>
              </w:rPr>
            </w:pPr>
            <w:r>
              <w:t>人均产生量下降，保障及时清运</w:t>
            </w:r>
          </w:p>
        </w:tc>
        <w:tc>
          <w:tcPr>
            <w:tcW w:w="460" w:type="pct"/>
            <w:shd w:val="clear" w:color="auto" w:fill="auto"/>
            <w:vAlign w:val="center"/>
          </w:tcPr>
          <w:p w14:paraId="37E981D1">
            <w:pPr>
              <w:pStyle w:val="28"/>
              <w:rPr>
                <w:rFonts w:hint="default"/>
              </w:rPr>
            </w:pPr>
            <w:r>
              <w:t>93.66吨/日</w:t>
            </w:r>
          </w:p>
        </w:tc>
        <w:tc>
          <w:tcPr>
            <w:tcW w:w="502" w:type="pct"/>
            <w:shd w:val="clear" w:color="auto" w:fill="auto"/>
            <w:vAlign w:val="center"/>
          </w:tcPr>
          <w:p w14:paraId="5DC38C0E">
            <w:pPr>
              <w:pStyle w:val="28"/>
              <w:rPr>
                <w:rFonts w:hint="default"/>
              </w:rPr>
            </w:pPr>
            <w:r>
              <w:t>日产日清</w:t>
            </w:r>
          </w:p>
        </w:tc>
        <w:tc>
          <w:tcPr>
            <w:tcW w:w="656" w:type="pct"/>
            <w:shd w:val="clear" w:color="auto" w:fill="auto"/>
            <w:vAlign w:val="center"/>
          </w:tcPr>
          <w:p w14:paraId="20C15E5C">
            <w:pPr>
              <w:pStyle w:val="28"/>
              <w:rPr>
                <w:rFonts w:hint="default"/>
              </w:rPr>
            </w:pPr>
            <w:r>
              <w:t>区城管局</w:t>
            </w:r>
          </w:p>
        </w:tc>
        <w:tc>
          <w:tcPr>
            <w:tcW w:w="754" w:type="pct"/>
            <w:shd w:val="clear" w:color="auto" w:fill="auto"/>
            <w:vAlign w:val="center"/>
          </w:tcPr>
          <w:p w14:paraId="544DE0F5">
            <w:pPr>
              <w:pStyle w:val="28"/>
              <w:rPr>
                <w:rFonts w:hint="default"/>
              </w:rPr>
            </w:pPr>
            <w:r>
              <w:t>区城管局</w:t>
            </w:r>
          </w:p>
        </w:tc>
      </w:tr>
      <w:tr w14:paraId="16441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021F24E3">
            <w:pPr>
              <w:pStyle w:val="28"/>
              <w:numPr>
                <w:ilvl w:val="0"/>
                <w:numId w:val="9"/>
              </w:numPr>
              <w:rPr>
                <w:rFonts w:hint="default"/>
              </w:rPr>
            </w:pPr>
          </w:p>
        </w:tc>
        <w:tc>
          <w:tcPr>
            <w:tcW w:w="324" w:type="pct"/>
            <w:vMerge w:val="continue"/>
            <w:vAlign w:val="center"/>
          </w:tcPr>
          <w:p w14:paraId="7D2A5EFE">
            <w:pPr>
              <w:pStyle w:val="28"/>
              <w:rPr>
                <w:rFonts w:hint="default"/>
              </w:rPr>
            </w:pPr>
          </w:p>
        </w:tc>
        <w:tc>
          <w:tcPr>
            <w:tcW w:w="458" w:type="pct"/>
            <w:vMerge w:val="continue"/>
            <w:vAlign w:val="center"/>
          </w:tcPr>
          <w:p w14:paraId="08D6B7C1">
            <w:pPr>
              <w:pStyle w:val="28"/>
              <w:rPr>
                <w:rFonts w:hint="default"/>
              </w:rPr>
            </w:pPr>
          </w:p>
        </w:tc>
        <w:tc>
          <w:tcPr>
            <w:tcW w:w="1080" w:type="pct"/>
            <w:shd w:val="clear" w:color="auto" w:fill="auto"/>
            <w:vAlign w:val="center"/>
          </w:tcPr>
          <w:p w14:paraId="2617D748">
            <w:pPr>
              <w:pStyle w:val="28"/>
              <w:rPr>
                <w:rFonts w:hint="default"/>
              </w:rPr>
            </w:pPr>
            <w:r>
              <w:t>城市居民小区生活垃圾分类覆盖率★</w:t>
            </w:r>
          </w:p>
        </w:tc>
        <w:tc>
          <w:tcPr>
            <w:tcW w:w="506" w:type="pct"/>
            <w:shd w:val="clear" w:color="auto" w:fill="auto"/>
            <w:vAlign w:val="center"/>
          </w:tcPr>
          <w:p w14:paraId="2C260B24">
            <w:pPr>
              <w:pStyle w:val="28"/>
              <w:rPr>
                <w:rFonts w:hint="default"/>
              </w:rPr>
            </w:pPr>
            <w:r>
              <w:t>100%</w:t>
            </w:r>
          </w:p>
        </w:tc>
        <w:tc>
          <w:tcPr>
            <w:tcW w:w="460" w:type="pct"/>
            <w:shd w:val="clear" w:color="auto" w:fill="auto"/>
            <w:vAlign w:val="center"/>
          </w:tcPr>
          <w:p w14:paraId="76F58BBA">
            <w:pPr>
              <w:pStyle w:val="28"/>
              <w:rPr>
                <w:rFonts w:hint="default"/>
              </w:rPr>
            </w:pPr>
            <w:r>
              <w:t>95.6%</w:t>
            </w:r>
          </w:p>
        </w:tc>
        <w:tc>
          <w:tcPr>
            <w:tcW w:w="502" w:type="pct"/>
            <w:shd w:val="clear" w:color="auto" w:fill="auto"/>
            <w:vAlign w:val="center"/>
          </w:tcPr>
          <w:p w14:paraId="435BA4A4">
            <w:pPr>
              <w:pStyle w:val="28"/>
              <w:rPr>
                <w:rFonts w:hint="default"/>
              </w:rPr>
            </w:pPr>
            <w:r>
              <w:t>100%</w:t>
            </w:r>
          </w:p>
        </w:tc>
        <w:tc>
          <w:tcPr>
            <w:tcW w:w="656" w:type="pct"/>
            <w:shd w:val="clear" w:color="auto" w:fill="auto"/>
            <w:vAlign w:val="center"/>
          </w:tcPr>
          <w:p w14:paraId="1CF0222E">
            <w:pPr>
              <w:pStyle w:val="28"/>
              <w:rPr>
                <w:rFonts w:hint="default"/>
              </w:rPr>
            </w:pPr>
            <w:r>
              <w:t>区城管局</w:t>
            </w:r>
          </w:p>
        </w:tc>
        <w:tc>
          <w:tcPr>
            <w:tcW w:w="754" w:type="pct"/>
            <w:shd w:val="clear" w:color="auto" w:fill="auto"/>
            <w:vAlign w:val="center"/>
          </w:tcPr>
          <w:p w14:paraId="1BC33F08">
            <w:pPr>
              <w:pStyle w:val="28"/>
              <w:rPr>
                <w:rFonts w:hint="default"/>
              </w:rPr>
            </w:pPr>
            <w:r>
              <w:t>区城管局</w:t>
            </w:r>
          </w:p>
        </w:tc>
      </w:tr>
      <w:tr w14:paraId="6141E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03312F10">
            <w:pPr>
              <w:pStyle w:val="28"/>
              <w:numPr>
                <w:ilvl w:val="0"/>
                <w:numId w:val="9"/>
              </w:numPr>
              <w:rPr>
                <w:rFonts w:hint="default"/>
              </w:rPr>
            </w:pPr>
          </w:p>
        </w:tc>
        <w:tc>
          <w:tcPr>
            <w:tcW w:w="324" w:type="pct"/>
            <w:vMerge w:val="continue"/>
            <w:vAlign w:val="center"/>
          </w:tcPr>
          <w:p w14:paraId="531B9E35">
            <w:pPr>
              <w:pStyle w:val="28"/>
              <w:rPr>
                <w:rFonts w:hint="default"/>
              </w:rPr>
            </w:pPr>
          </w:p>
        </w:tc>
        <w:tc>
          <w:tcPr>
            <w:tcW w:w="458" w:type="pct"/>
            <w:vMerge w:val="continue"/>
            <w:vAlign w:val="center"/>
          </w:tcPr>
          <w:p w14:paraId="150A4DAE">
            <w:pPr>
              <w:pStyle w:val="28"/>
              <w:rPr>
                <w:rFonts w:hint="default"/>
              </w:rPr>
            </w:pPr>
          </w:p>
        </w:tc>
        <w:tc>
          <w:tcPr>
            <w:tcW w:w="1080" w:type="pct"/>
            <w:shd w:val="clear" w:color="auto" w:fill="auto"/>
            <w:vAlign w:val="center"/>
          </w:tcPr>
          <w:p w14:paraId="6E21F694">
            <w:pPr>
              <w:pStyle w:val="28"/>
              <w:rPr>
                <w:rFonts w:hint="default"/>
              </w:rPr>
            </w:pPr>
            <w:r>
              <w:t>农村地区生活垃圾分类覆盖率★</w:t>
            </w:r>
          </w:p>
        </w:tc>
        <w:tc>
          <w:tcPr>
            <w:tcW w:w="506" w:type="pct"/>
            <w:shd w:val="clear" w:color="auto" w:fill="auto"/>
            <w:vAlign w:val="center"/>
          </w:tcPr>
          <w:p w14:paraId="73FE0DD0">
            <w:pPr>
              <w:pStyle w:val="28"/>
              <w:rPr>
                <w:rFonts w:hint="default"/>
              </w:rPr>
            </w:pPr>
            <w:r>
              <w:t>40%</w:t>
            </w:r>
          </w:p>
        </w:tc>
        <w:tc>
          <w:tcPr>
            <w:tcW w:w="460" w:type="pct"/>
            <w:shd w:val="clear" w:color="auto" w:fill="auto"/>
            <w:vAlign w:val="center"/>
          </w:tcPr>
          <w:p w14:paraId="02B27B66">
            <w:pPr>
              <w:pStyle w:val="28"/>
              <w:rPr>
                <w:rFonts w:hint="default"/>
              </w:rPr>
            </w:pPr>
            <w:r>
              <w:t>100%</w:t>
            </w:r>
          </w:p>
        </w:tc>
        <w:tc>
          <w:tcPr>
            <w:tcW w:w="502" w:type="pct"/>
            <w:shd w:val="clear" w:color="auto" w:fill="auto"/>
            <w:vAlign w:val="center"/>
          </w:tcPr>
          <w:p w14:paraId="373BBF28">
            <w:pPr>
              <w:pStyle w:val="28"/>
              <w:rPr>
                <w:rFonts w:hint="default"/>
              </w:rPr>
            </w:pPr>
            <w:r>
              <w:t>100%</w:t>
            </w:r>
          </w:p>
        </w:tc>
        <w:tc>
          <w:tcPr>
            <w:tcW w:w="656" w:type="pct"/>
            <w:shd w:val="clear" w:color="auto" w:fill="auto"/>
            <w:vAlign w:val="center"/>
          </w:tcPr>
          <w:p w14:paraId="36E9D6FC">
            <w:pPr>
              <w:pStyle w:val="28"/>
              <w:rPr>
                <w:rFonts w:hint="default"/>
              </w:rPr>
            </w:pPr>
            <w:r>
              <w:t>区城管局</w:t>
            </w:r>
          </w:p>
        </w:tc>
        <w:tc>
          <w:tcPr>
            <w:tcW w:w="754" w:type="pct"/>
            <w:shd w:val="clear" w:color="auto" w:fill="auto"/>
            <w:vAlign w:val="center"/>
          </w:tcPr>
          <w:p w14:paraId="41EF20FB">
            <w:pPr>
              <w:pStyle w:val="28"/>
              <w:rPr>
                <w:rFonts w:hint="default"/>
              </w:rPr>
            </w:pPr>
            <w:r>
              <w:t>区城管局</w:t>
            </w:r>
          </w:p>
        </w:tc>
      </w:tr>
      <w:tr w14:paraId="2B676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0829C104">
            <w:pPr>
              <w:pStyle w:val="28"/>
              <w:numPr>
                <w:ilvl w:val="0"/>
                <w:numId w:val="9"/>
              </w:numPr>
              <w:rPr>
                <w:rFonts w:hint="default"/>
              </w:rPr>
            </w:pPr>
          </w:p>
        </w:tc>
        <w:tc>
          <w:tcPr>
            <w:tcW w:w="324" w:type="pct"/>
            <w:vMerge w:val="continue"/>
            <w:vAlign w:val="center"/>
          </w:tcPr>
          <w:p w14:paraId="7EC55ED1">
            <w:pPr>
              <w:pStyle w:val="28"/>
              <w:rPr>
                <w:rFonts w:hint="default"/>
              </w:rPr>
            </w:pPr>
          </w:p>
        </w:tc>
        <w:tc>
          <w:tcPr>
            <w:tcW w:w="458" w:type="pct"/>
            <w:vMerge w:val="continue"/>
            <w:shd w:val="clear" w:color="auto" w:fill="auto"/>
            <w:vAlign w:val="center"/>
          </w:tcPr>
          <w:p w14:paraId="093EA52E">
            <w:pPr>
              <w:pStyle w:val="28"/>
              <w:rPr>
                <w:rFonts w:hint="default"/>
              </w:rPr>
            </w:pPr>
          </w:p>
        </w:tc>
        <w:tc>
          <w:tcPr>
            <w:tcW w:w="1080" w:type="pct"/>
            <w:shd w:val="clear" w:color="auto" w:fill="auto"/>
            <w:vAlign w:val="center"/>
          </w:tcPr>
          <w:p w14:paraId="4DB804A2">
            <w:pPr>
              <w:pStyle w:val="28"/>
              <w:rPr>
                <w:rFonts w:hint="default"/>
              </w:rPr>
            </w:pPr>
            <w:r>
              <w:t>快递绿色包装使用率★</w:t>
            </w:r>
          </w:p>
        </w:tc>
        <w:tc>
          <w:tcPr>
            <w:tcW w:w="506" w:type="pct"/>
            <w:shd w:val="clear" w:color="auto" w:fill="auto"/>
            <w:vAlign w:val="center"/>
          </w:tcPr>
          <w:p w14:paraId="6DD10BAB">
            <w:pPr>
              <w:pStyle w:val="28"/>
              <w:rPr>
                <w:rFonts w:hint="default"/>
              </w:rPr>
            </w:pPr>
            <w:r>
              <w:t>60%</w:t>
            </w:r>
          </w:p>
        </w:tc>
        <w:tc>
          <w:tcPr>
            <w:tcW w:w="460" w:type="pct"/>
            <w:shd w:val="clear" w:color="auto" w:fill="auto"/>
            <w:vAlign w:val="center"/>
          </w:tcPr>
          <w:p w14:paraId="0E851BE3">
            <w:pPr>
              <w:pStyle w:val="28"/>
              <w:rPr>
                <w:rFonts w:hint="default"/>
              </w:rPr>
            </w:pPr>
            <w:r>
              <w:t>30%~40%</w:t>
            </w:r>
          </w:p>
        </w:tc>
        <w:tc>
          <w:tcPr>
            <w:tcW w:w="502" w:type="pct"/>
            <w:shd w:val="clear" w:color="auto" w:fill="auto"/>
            <w:vAlign w:val="center"/>
          </w:tcPr>
          <w:p w14:paraId="7FF40259">
            <w:pPr>
              <w:pStyle w:val="28"/>
              <w:rPr>
                <w:rFonts w:hint="default"/>
              </w:rPr>
            </w:pPr>
            <w:r>
              <w:t>60%</w:t>
            </w:r>
          </w:p>
        </w:tc>
        <w:tc>
          <w:tcPr>
            <w:tcW w:w="656" w:type="pct"/>
            <w:shd w:val="clear" w:color="auto" w:fill="auto"/>
            <w:vAlign w:val="center"/>
          </w:tcPr>
          <w:p w14:paraId="66AA4451">
            <w:pPr>
              <w:pStyle w:val="28"/>
              <w:rPr>
                <w:rFonts w:hint="default"/>
              </w:rPr>
            </w:pPr>
            <w:r>
              <w:t>连云邮政管理局</w:t>
            </w:r>
          </w:p>
        </w:tc>
        <w:tc>
          <w:tcPr>
            <w:tcW w:w="754" w:type="pct"/>
            <w:shd w:val="clear" w:color="auto" w:fill="auto"/>
            <w:vAlign w:val="center"/>
          </w:tcPr>
          <w:p w14:paraId="0875D5E0">
            <w:pPr>
              <w:pStyle w:val="28"/>
              <w:rPr>
                <w:rFonts w:hint="default"/>
              </w:rPr>
            </w:pPr>
            <w:r>
              <w:t>连云邮政管理局</w:t>
            </w:r>
          </w:p>
        </w:tc>
      </w:tr>
      <w:tr w14:paraId="43309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7CC47E9F">
            <w:pPr>
              <w:pStyle w:val="28"/>
              <w:numPr>
                <w:ilvl w:val="0"/>
                <w:numId w:val="9"/>
              </w:numPr>
              <w:rPr>
                <w:rFonts w:hint="default"/>
              </w:rPr>
            </w:pPr>
          </w:p>
        </w:tc>
        <w:tc>
          <w:tcPr>
            <w:tcW w:w="324" w:type="pct"/>
            <w:vMerge w:val="restart"/>
            <w:shd w:val="clear" w:color="auto" w:fill="auto"/>
            <w:vAlign w:val="center"/>
          </w:tcPr>
          <w:p w14:paraId="55A0AEED">
            <w:pPr>
              <w:pStyle w:val="28"/>
              <w:rPr>
                <w:rFonts w:hint="default"/>
              </w:rPr>
            </w:pPr>
            <w:r>
              <w:t>固体废物资源化利用</w:t>
            </w:r>
          </w:p>
        </w:tc>
        <w:tc>
          <w:tcPr>
            <w:tcW w:w="458" w:type="pct"/>
            <w:vMerge w:val="restart"/>
            <w:shd w:val="clear" w:color="auto" w:fill="auto"/>
            <w:vAlign w:val="center"/>
          </w:tcPr>
          <w:p w14:paraId="1849A758">
            <w:pPr>
              <w:pStyle w:val="28"/>
              <w:rPr>
                <w:rFonts w:hint="default"/>
              </w:rPr>
            </w:pPr>
            <w:r>
              <w:t>工业固体废物资源化利用</w:t>
            </w:r>
          </w:p>
        </w:tc>
        <w:tc>
          <w:tcPr>
            <w:tcW w:w="1080" w:type="pct"/>
            <w:shd w:val="clear" w:color="auto" w:fill="auto"/>
            <w:vAlign w:val="center"/>
          </w:tcPr>
          <w:p w14:paraId="4F0E6AE6">
            <w:pPr>
              <w:pStyle w:val="28"/>
              <w:rPr>
                <w:rFonts w:hint="default"/>
              </w:rPr>
            </w:pPr>
            <w:r>
              <w:t>一般工业固体废物综合利用率★</w:t>
            </w:r>
          </w:p>
        </w:tc>
        <w:tc>
          <w:tcPr>
            <w:tcW w:w="506" w:type="pct"/>
            <w:shd w:val="clear" w:color="auto" w:fill="auto"/>
            <w:vAlign w:val="center"/>
          </w:tcPr>
          <w:p w14:paraId="21CCF0CA">
            <w:pPr>
              <w:pStyle w:val="28"/>
              <w:rPr>
                <w:rFonts w:hint="default"/>
              </w:rPr>
            </w:pPr>
            <w:r>
              <w:t>93%</w:t>
            </w:r>
          </w:p>
        </w:tc>
        <w:tc>
          <w:tcPr>
            <w:tcW w:w="460" w:type="pct"/>
            <w:shd w:val="clear" w:color="auto" w:fill="auto"/>
            <w:vAlign w:val="center"/>
          </w:tcPr>
          <w:p w14:paraId="7DD35F76">
            <w:pPr>
              <w:pStyle w:val="28"/>
              <w:rPr>
                <w:rFonts w:hint="default"/>
              </w:rPr>
            </w:pPr>
            <w:r>
              <w:t>96.6%</w:t>
            </w:r>
          </w:p>
        </w:tc>
        <w:tc>
          <w:tcPr>
            <w:tcW w:w="502" w:type="pct"/>
            <w:shd w:val="clear" w:color="auto" w:fill="auto"/>
            <w:vAlign w:val="center"/>
          </w:tcPr>
          <w:p w14:paraId="5F89D974">
            <w:pPr>
              <w:pStyle w:val="28"/>
              <w:rPr>
                <w:rFonts w:hint="default"/>
              </w:rPr>
            </w:pPr>
            <w:r>
              <w:t>97%</w:t>
            </w:r>
          </w:p>
        </w:tc>
        <w:tc>
          <w:tcPr>
            <w:tcW w:w="656" w:type="pct"/>
            <w:shd w:val="clear" w:color="auto" w:fill="auto"/>
            <w:vAlign w:val="center"/>
          </w:tcPr>
          <w:p w14:paraId="008B9DA2">
            <w:pPr>
              <w:pStyle w:val="28"/>
              <w:rPr>
                <w:rFonts w:hint="default"/>
              </w:rPr>
            </w:pPr>
            <w:r>
              <w:t>连云生态环境局</w:t>
            </w:r>
          </w:p>
        </w:tc>
        <w:tc>
          <w:tcPr>
            <w:tcW w:w="754" w:type="pct"/>
            <w:shd w:val="clear" w:color="auto" w:fill="auto"/>
            <w:vAlign w:val="center"/>
          </w:tcPr>
          <w:p w14:paraId="4A649718">
            <w:pPr>
              <w:pStyle w:val="28"/>
              <w:rPr>
                <w:rFonts w:hint="default"/>
              </w:rPr>
            </w:pPr>
            <w:r>
              <w:t>连云生态环境局、经发局、资源分局</w:t>
            </w:r>
          </w:p>
        </w:tc>
      </w:tr>
      <w:tr w14:paraId="357CD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44220335">
            <w:pPr>
              <w:pStyle w:val="28"/>
              <w:numPr>
                <w:ilvl w:val="0"/>
                <w:numId w:val="9"/>
              </w:numPr>
              <w:rPr>
                <w:rFonts w:hint="default"/>
              </w:rPr>
            </w:pPr>
          </w:p>
        </w:tc>
        <w:tc>
          <w:tcPr>
            <w:tcW w:w="324" w:type="pct"/>
            <w:vMerge w:val="continue"/>
            <w:vAlign w:val="center"/>
          </w:tcPr>
          <w:p w14:paraId="406CF621">
            <w:pPr>
              <w:pStyle w:val="28"/>
              <w:rPr>
                <w:rFonts w:hint="default"/>
              </w:rPr>
            </w:pPr>
          </w:p>
        </w:tc>
        <w:tc>
          <w:tcPr>
            <w:tcW w:w="458" w:type="pct"/>
            <w:vMerge w:val="continue"/>
            <w:vAlign w:val="center"/>
          </w:tcPr>
          <w:p w14:paraId="68AFF73E">
            <w:pPr>
              <w:pStyle w:val="28"/>
              <w:rPr>
                <w:rFonts w:hint="default"/>
              </w:rPr>
            </w:pPr>
          </w:p>
        </w:tc>
        <w:tc>
          <w:tcPr>
            <w:tcW w:w="1080" w:type="pct"/>
            <w:shd w:val="clear" w:color="auto" w:fill="auto"/>
            <w:vAlign w:val="center"/>
          </w:tcPr>
          <w:p w14:paraId="0A86B8D8">
            <w:pPr>
              <w:pStyle w:val="28"/>
              <w:rPr>
                <w:rFonts w:hint="default"/>
              </w:rPr>
            </w:pPr>
            <w:r>
              <w:t>工业危险废物综合利用率★</w:t>
            </w:r>
          </w:p>
        </w:tc>
        <w:tc>
          <w:tcPr>
            <w:tcW w:w="506" w:type="pct"/>
            <w:shd w:val="clear" w:color="auto" w:fill="auto"/>
            <w:vAlign w:val="center"/>
          </w:tcPr>
          <w:p w14:paraId="574DA277">
            <w:pPr>
              <w:pStyle w:val="28"/>
              <w:rPr>
                <w:rFonts w:hint="default"/>
              </w:rPr>
            </w:pPr>
            <w:r>
              <w:t>40%</w:t>
            </w:r>
          </w:p>
        </w:tc>
        <w:tc>
          <w:tcPr>
            <w:tcW w:w="460" w:type="pct"/>
            <w:shd w:val="clear" w:color="auto" w:fill="auto"/>
            <w:vAlign w:val="center"/>
          </w:tcPr>
          <w:p w14:paraId="7D7AB25D">
            <w:pPr>
              <w:pStyle w:val="28"/>
              <w:rPr>
                <w:rFonts w:hint="default"/>
              </w:rPr>
            </w:pPr>
            <w:r>
              <w:t>4.6%</w:t>
            </w:r>
          </w:p>
        </w:tc>
        <w:tc>
          <w:tcPr>
            <w:tcW w:w="502" w:type="pct"/>
            <w:shd w:val="clear" w:color="auto" w:fill="auto"/>
            <w:vAlign w:val="center"/>
          </w:tcPr>
          <w:p w14:paraId="0B6B36D8">
            <w:pPr>
              <w:pStyle w:val="28"/>
              <w:rPr>
                <w:rFonts w:hint="default"/>
              </w:rPr>
            </w:pPr>
            <w:r>
              <w:t>9%</w:t>
            </w:r>
          </w:p>
        </w:tc>
        <w:tc>
          <w:tcPr>
            <w:tcW w:w="656" w:type="pct"/>
            <w:shd w:val="clear" w:color="auto" w:fill="auto"/>
            <w:vAlign w:val="center"/>
          </w:tcPr>
          <w:p w14:paraId="0216ACD2">
            <w:pPr>
              <w:pStyle w:val="28"/>
              <w:rPr>
                <w:rFonts w:hint="default"/>
              </w:rPr>
            </w:pPr>
            <w:r>
              <w:t>连云生态环境局</w:t>
            </w:r>
          </w:p>
        </w:tc>
        <w:tc>
          <w:tcPr>
            <w:tcW w:w="754" w:type="pct"/>
            <w:shd w:val="clear" w:color="auto" w:fill="auto"/>
            <w:vAlign w:val="center"/>
          </w:tcPr>
          <w:p w14:paraId="3E9A5E96">
            <w:pPr>
              <w:pStyle w:val="28"/>
              <w:rPr>
                <w:rFonts w:hint="default"/>
              </w:rPr>
            </w:pPr>
            <w:r>
              <w:t>连云生态环境局</w:t>
            </w:r>
          </w:p>
        </w:tc>
      </w:tr>
      <w:tr w14:paraId="35F3E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6111942B">
            <w:pPr>
              <w:pStyle w:val="28"/>
              <w:numPr>
                <w:ilvl w:val="0"/>
                <w:numId w:val="9"/>
              </w:numPr>
              <w:rPr>
                <w:rFonts w:hint="default"/>
              </w:rPr>
            </w:pPr>
          </w:p>
        </w:tc>
        <w:tc>
          <w:tcPr>
            <w:tcW w:w="324" w:type="pct"/>
            <w:vMerge w:val="continue"/>
            <w:vAlign w:val="center"/>
          </w:tcPr>
          <w:p w14:paraId="5FE192B8">
            <w:pPr>
              <w:pStyle w:val="28"/>
              <w:rPr>
                <w:rFonts w:hint="default"/>
              </w:rPr>
            </w:pPr>
          </w:p>
        </w:tc>
        <w:tc>
          <w:tcPr>
            <w:tcW w:w="458" w:type="pct"/>
            <w:vMerge w:val="continue"/>
            <w:vAlign w:val="center"/>
          </w:tcPr>
          <w:p w14:paraId="3C44347B">
            <w:pPr>
              <w:pStyle w:val="28"/>
              <w:rPr>
                <w:rFonts w:hint="default"/>
              </w:rPr>
            </w:pPr>
          </w:p>
        </w:tc>
        <w:tc>
          <w:tcPr>
            <w:tcW w:w="1080" w:type="pct"/>
            <w:shd w:val="clear" w:color="auto" w:fill="auto"/>
            <w:vAlign w:val="center"/>
          </w:tcPr>
          <w:p w14:paraId="3227B94A">
            <w:pPr>
              <w:pStyle w:val="28"/>
              <w:rPr>
                <w:rFonts w:hint="default"/>
              </w:rPr>
            </w:pPr>
            <w:r>
              <w:t>石膏类废物综合利用率★</w:t>
            </w:r>
          </w:p>
        </w:tc>
        <w:tc>
          <w:tcPr>
            <w:tcW w:w="506" w:type="pct"/>
            <w:shd w:val="clear" w:color="auto" w:fill="auto"/>
            <w:vAlign w:val="center"/>
          </w:tcPr>
          <w:p w14:paraId="34BD6E62">
            <w:pPr>
              <w:pStyle w:val="28"/>
              <w:rPr>
                <w:rFonts w:hint="default"/>
              </w:rPr>
            </w:pPr>
            <w:r>
              <w:t>100%</w:t>
            </w:r>
          </w:p>
        </w:tc>
        <w:tc>
          <w:tcPr>
            <w:tcW w:w="460" w:type="pct"/>
            <w:shd w:val="clear" w:color="auto" w:fill="auto"/>
            <w:vAlign w:val="center"/>
          </w:tcPr>
          <w:p w14:paraId="74E00A22">
            <w:pPr>
              <w:pStyle w:val="28"/>
              <w:rPr>
                <w:rFonts w:hint="default"/>
              </w:rPr>
            </w:pPr>
            <w:r>
              <w:t>100%</w:t>
            </w:r>
          </w:p>
        </w:tc>
        <w:tc>
          <w:tcPr>
            <w:tcW w:w="502" w:type="pct"/>
            <w:shd w:val="clear" w:color="auto" w:fill="auto"/>
            <w:vAlign w:val="center"/>
          </w:tcPr>
          <w:p w14:paraId="2BBAAA9B">
            <w:pPr>
              <w:pStyle w:val="28"/>
              <w:rPr>
                <w:rFonts w:hint="default"/>
              </w:rPr>
            </w:pPr>
            <w:r>
              <w:t>100%</w:t>
            </w:r>
          </w:p>
        </w:tc>
        <w:tc>
          <w:tcPr>
            <w:tcW w:w="656" w:type="pct"/>
            <w:shd w:val="clear" w:color="auto" w:fill="auto"/>
            <w:vAlign w:val="center"/>
          </w:tcPr>
          <w:p w14:paraId="3EAFC101">
            <w:pPr>
              <w:pStyle w:val="28"/>
              <w:rPr>
                <w:rFonts w:hint="default"/>
              </w:rPr>
            </w:pPr>
            <w:r>
              <w:t>连云生态环境局</w:t>
            </w:r>
          </w:p>
        </w:tc>
        <w:tc>
          <w:tcPr>
            <w:tcW w:w="754" w:type="pct"/>
            <w:shd w:val="clear" w:color="auto" w:fill="auto"/>
            <w:vAlign w:val="center"/>
          </w:tcPr>
          <w:p w14:paraId="656C7B44">
            <w:pPr>
              <w:pStyle w:val="28"/>
              <w:rPr>
                <w:rFonts w:hint="default"/>
              </w:rPr>
            </w:pPr>
            <w:r>
              <w:t>连云生态环境局</w:t>
            </w:r>
          </w:p>
        </w:tc>
      </w:tr>
      <w:tr w14:paraId="2235A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1E333909">
            <w:pPr>
              <w:pStyle w:val="28"/>
              <w:numPr>
                <w:ilvl w:val="0"/>
                <w:numId w:val="9"/>
              </w:numPr>
              <w:rPr>
                <w:rFonts w:hint="default"/>
              </w:rPr>
            </w:pPr>
          </w:p>
        </w:tc>
        <w:tc>
          <w:tcPr>
            <w:tcW w:w="324" w:type="pct"/>
            <w:vMerge w:val="continue"/>
            <w:vAlign w:val="center"/>
          </w:tcPr>
          <w:p w14:paraId="44C55B90">
            <w:pPr>
              <w:pStyle w:val="28"/>
              <w:rPr>
                <w:rFonts w:hint="default"/>
              </w:rPr>
            </w:pPr>
          </w:p>
        </w:tc>
        <w:tc>
          <w:tcPr>
            <w:tcW w:w="458" w:type="pct"/>
            <w:vMerge w:val="continue"/>
            <w:vAlign w:val="center"/>
          </w:tcPr>
          <w:p w14:paraId="3E930163">
            <w:pPr>
              <w:pStyle w:val="28"/>
              <w:rPr>
                <w:rFonts w:hint="default"/>
              </w:rPr>
            </w:pPr>
          </w:p>
        </w:tc>
        <w:tc>
          <w:tcPr>
            <w:tcW w:w="1080" w:type="pct"/>
            <w:shd w:val="clear" w:color="auto" w:fill="auto"/>
            <w:vAlign w:val="center"/>
          </w:tcPr>
          <w:p w14:paraId="1CE14535">
            <w:pPr>
              <w:pStyle w:val="28"/>
              <w:rPr>
                <w:rFonts w:hint="default"/>
              </w:rPr>
            </w:pPr>
            <w:r>
              <w:t>建设连云大宗工业固体废物综合利用片区※</w:t>
            </w:r>
          </w:p>
        </w:tc>
        <w:tc>
          <w:tcPr>
            <w:tcW w:w="506" w:type="pct"/>
            <w:shd w:val="clear" w:color="auto" w:fill="auto"/>
            <w:vAlign w:val="center"/>
          </w:tcPr>
          <w:p w14:paraId="1B9DD9DE">
            <w:pPr>
              <w:pStyle w:val="28"/>
              <w:rPr>
                <w:rFonts w:hint="default"/>
              </w:rPr>
            </w:pPr>
            <w:r>
              <w:t>1个</w:t>
            </w:r>
          </w:p>
        </w:tc>
        <w:tc>
          <w:tcPr>
            <w:tcW w:w="460" w:type="pct"/>
            <w:shd w:val="clear" w:color="auto" w:fill="auto"/>
            <w:vAlign w:val="center"/>
          </w:tcPr>
          <w:p w14:paraId="3C774E54">
            <w:pPr>
              <w:pStyle w:val="28"/>
              <w:rPr>
                <w:rFonts w:hint="default"/>
              </w:rPr>
            </w:pPr>
            <w:r>
              <w:t>0个</w:t>
            </w:r>
          </w:p>
        </w:tc>
        <w:tc>
          <w:tcPr>
            <w:tcW w:w="502" w:type="pct"/>
            <w:shd w:val="clear" w:color="auto" w:fill="auto"/>
            <w:vAlign w:val="center"/>
          </w:tcPr>
          <w:p w14:paraId="5C0DDFF9">
            <w:pPr>
              <w:pStyle w:val="28"/>
              <w:rPr>
                <w:rFonts w:hint="default"/>
              </w:rPr>
            </w:pPr>
            <w:r>
              <w:t>1个</w:t>
            </w:r>
          </w:p>
        </w:tc>
        <w:tc>
          <w:tcPr>
            <w:tcW w:w="656" w:type="pct"/>
            <w:shd w:val="clear" w:color="auto" w:fill="auto"/>
            <w:vAlign w:val="center"/>
          </w:tcPr>
          <w:p w14:paraId="166DCF83">
            <w:pPr>
              <w:pStyle w:val="28"/>
              <w:rPr>
                <w:rFonts w:hint="default"/>
              </w:rPr>
            </w:pPr>
            <w:r>
              <w:t>区经发局</w:t>
            </w:r>
          </w:p>
        </w:tc>
        <w:tc>
          <w:tcPr>
            <w:tcW w:w="754" w:type="pct"/>
            <w:shd w:val="clear" w:color="auto" w:fill="auto"/>
            <w:vAlign w:val="center"/>
          </w:tcPr>
          <w:p w14:paraId="1BC38A6F">
            <w:pPr>
              <w:pStyle w:val="28"/>
              <w:rPr>
                <w:rFonts w:hint="default"/>
              </w:rPr>
            </w:pPr>
            <w:r>
              <w:t>区经发局</w:t>
            </w:r>
          </w:p>
        </w:tc>
      </w:tr>
      <w:tr w14:paraId="3D598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4FE117DE">
            <w:pPr>
              <w:pStyle w:val="28"/>
              <w:numPr>
                <w:ilvl w:val="0"/>
                <w:numId w:val="9"/>
              </w:numPr>
              <w:rPr>
                <w:rFonts w:hint="default"/>
              </w:rPr>
            </w:pPr>
          </w:p>
        </w:tc>
        <w:tc>
          <w:tcPr>
            <w:tcW w:w="324" w:type="pct"/>
            <w:vMerge w:val="continue"/>
            <w:vAlign w:val="center"/>
          </w:tcPr>
          <w:p w14:paraId="7811FB81">
            <w:pPr>
              <w:pStyle w:val="28"/>
              <w:rPr>
                <w:rFonts w:hint="default"/>
              </w:rPr>
            </w:pPr>
          </w:p>
        </w:tc>
        <w:tc>
          <w:tcPr>
            <w:tcW w:w="458" w:type="pct"/>
            <w:vMerge w:val="continue"/>
            <w:vAlign w:val="center"/>
          </w:tcPr>
          <w:p w14:paraId="2579CB2D">
            <w:pPr>
              <w:pStyle w:val="28"/>
              <w:rPr>
                <w:rFonts w:hint="default"/>
              </w:rPr>
            </w:pPr>
          </w:p>
        </w:tc>
        <w:tc>
          <w:tcPr>
            <w:tcW w:w="1080" w:type="pct"/>
            <w:shd w:val="clear" w:color="auto" w:fill="auto"/>
            <w:vAlign w:val="center"/>
          </w:tcPr>
          <w:p w14:paraId="50968D9E">
            <w:pPr>
              <w:pStyle w:val="28"/>
              <w:rPr>
                <w:rFonts w:hint="default"/>
              </w:rPr>
            </w:pPr>
            <w:r>
              <w:t>碱渣综合利用量※</w:t>
            </w:r>
          </w:p>
        </w:tc>
        <w:tc>
          <w:tcPr>
            <w:tcW w:w="506" w:type="pct"/>
            <w:shd w:val="clear" w:color="auto" w:fill="auto"/>
            <w:vAlign w:val="center"/>
          </w:tcPr>
          <w:p w14:paraId="5D7385DD">
            <w:pPr>
              <w:pStyle w:val="28"/>
              <w:rPr>
                <w:rFonts w:hint="default"/>
              </w:rPr>
            </w:pPr>
            <w:r>
              <w:t>逐年上升</w:t>
            </w:r>
          </w:p>
        </w:tc>
        <w:tc>
          <w:tcPr>
            <w:tcW w:w="460" w:type="pct"/>
            <w:shd w:val="clear" w:color="auto" w:fill="auto"/>
            <w:vAlign w:val="center"/>
          </w:tcPr>
          <w:p w14:paraId="31BC10B2">
            <w:pPr>
              <w:pStyle w:val="28"/>
              <w:rPr>
                <w:rFonts w:hint="default"/>
              </w:rPr>
            </w:pPr>
            <w:r>
              <w:t>2022年4月5日完成碱渣治理规模试验，累计处理5.2万方碱渣</w:t>
            </w:r>
          </w:p>
        </w:tc>
        <w:tc>
          <w:tcPr>
            <w:tcW w:w="502" w:type="pct"/>
            <w:shd w:val="clear" w:color="auto" w:fill="auto"/>
            <w:vAlign w:val="center"/>
          </w:tcPr>
          <w:p w14:paraId="296625E2">
            <w:pPr>
              <w:pStyle w:val="28"/>
              <w:rPr>
                <w:rFonts w:hint="default"/>
              </w:rPr>
            </w:pPr>
            <w:r>
              <w:t>逐年上升</w:t>
            </w:r>
          </w:p>
        </w:tc>
        <w:tc>
          <w:tcPr>
            <w:tcW w:w="656" w:type="pct"/>
            <w:shd w:val="clear" w:color="auto" w:fill="auto"/>
            <w:vAlign w:val="center"/>
          </w:tcPr>
          <w:p w14:paraId="0E066EFC">
            <w:pPr>
              <w:pStyle w:val="28"/>
              <w:rPr>
                <w:rFonts w:hint="default"/>
              </w:rPr>
            </w:pPr>
            <w:r>
              <w:t>连云生态环境局</w:t>
            </w:r>
          </w:p>
        </w:tc>
        <w:tc>
          <w:tcPr>
            <w:tcW w:w="754" w:type="pct"/>
            <w:shd w:val="clear" w:color="auto" w:fill="auto"/>
            <w:vAlign w:val="center"/>
          </w:tcPr>
          <w:p w14:paraId="523D3245">
            <w:pPr>
              <w:pStyle w:val="28"/>
              <w:rPr>
                <w:rFonts w:hint="default"/>
              </w:rPr>
            </w:pPr>
            <w:r>
              <w:t>连云生态环境局</w:t>
            </w:r>
          </w:p>
        </w:tc>
      </w:tr>
      <w:tr w14:paraId="54844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112C6C10">
            <w:pPr>
              <w:pStyle w:val="28"/>
              <w:numPr>
                <w:ilvl w:val="0"/>
                <w:numId w:val="9"/>
              </w:numPr>
              <w:rPr>
                <w:rFonts w:hint="default"/>
              </w:rPr>
            </w:pPr>
          </w:p>
        </w:tc>
        <w:tc>
          <w:tcPr>
            <w:tcW w:w="324" w:type="pct"/>
            <w:vMerge w:val="continue"/>
            <w:vAlign w:val="center"/>
          </w:tcPr>
          <w:p w14:paraId="1509DE26">
            <w:pPr>
              <w:pStyle w:val="28"/>
              <w:rPr>
                <w:rFonts w:hint="default"/>
              </w:rPr>
            </w:pPr>
          </w:p>
        </w:tc>
        <w:tc>
          <w:tcPr>
            <w:tcW w:w="458" w:type="pct"/>
            <w:vMerge w:val="restart"/>
            <w:shd w:val="clear" w:color="auto" w:fill="auto"/>
            <w:vAlign w:val="center"/>
          </w:tcPr>
          <w:p w14:paraId="4247B2A0">
            <w:pPr>
              <w:pStyle w:val="28"/>
              <w:rPr>
                <w:rFonts w:hint="default"/>
              </w:rPr>
            </w:pPr>
            <w:r>
              <w:t>农业固体废物资源化利用</w:t>
            </w:r>
          </w:p>
        </w:tc>
        <w:tc>
          <w:tcPr>
            <w:tcW w:w="1080" w:type="pct"/>
            <w:shd w:val="clear" w:color="auto" w:fill="auto"/>
            <w:vAlign w:val="center"/>
          </w:tcPr>
          <w:p w14:paraId="34B1911E">
            <w:pPr>
              <w:pStyle w:val="28"/>
              <w:rPr>
                <w:rFonts w:hint="default"/>
              </w:rPr>
            </w:pPr>
            <w:r>
              <w:t>秸秆综合利用率★</w:t>
            </w:r>
          </w:p>
        </w:tc>
        <w:tc>
          <w:tcPr>
            <w:tcW w:w="506" w:type="pct"/>
            <w:shd w:val="clear" w:color="auto" w:fill="auto"/>
            <w:vAlign w:val="center"/>
          </w:tcPr>
          <w:p w14:paraId="53B7892E">
            <w:pPr>
              <w:pStyle w:val="28"/>
              <w:rPr>
                <w:rFonts w:hint="default"/>
              </w:rPr>
            </w:pPr>
            <w:r>
              <w:t>97%</w:t>
            </w:r>
          </w:p>
        </w:tc>
        <w:tc>
          <w:tcPr>
            <w:tcW w:w="460" w:type="pct"/>
            <w:shd w:val="clear" w:color="auto" w:fill="auto"/>
            <w:vAlign w:val="center"/>
          </w:tcPr>
          <w:p w14:paraId="51DC4905">
            <w:pPr>
              <w:pStyle w:val="28"/>
              <w:rPr>
                <w:rFonts w:hint="default"/>
              </w:rPr>
            </w:pPr>
            <w:r>
              <w:t>98.04%</w:t>
            </w:r>
          </w:p>
        </w:tc>
        <w:tc>
          <w:tcPr>
            <w:tcW w:w="502" w:type="pct"/>
            <w:shd w:val="clear" w:color="auto" w:fill="auto"/>
            <w:vAlign w:val="center"/>
          </w:tcPr>
          <w:p w14:paraId="3FF11184">
            <w:pPr>
              <w:pStyle w:val="28"/>
              <w:rPr>
                <w:rFonts w:hint="default"/>
              </w:rPr>
            </w:pPr>
            <w:r>
              <w:t>98.04%</w:t>
            </w:r>
          </w:p>
        </w:tc>
        <w:tc>
          <w:tcPr>
            <w:tcW w:w="656" w:type="pct"/>
            <w:shd w:val="clear" w:color="auto" w:fill="auto"/>
            <w:vAlign w:val="center"/>
          </w:tcPr>
          <w:p w14:paraId="6B9F3365">
            <w:pPr>
              <w:pStyle w:val="28"/>
              <w:rPr>
                <w:rFonts w:hint="default"/>
              </w:rPr>
            </w:pPr>
            <w:r>
              <w:t>区农业农村局</w:t>
            </w:r>
          </w:p>
        </w:tc>
        <w:tc>
          <w:tcPr>
            <w:tcW w:w="754" w:type="pct"/>
            <w:shd w:val="clear" w:color="auto" w:fill="auto"/>
            <w:vAlign w:val="center"/>
          </w:tcPr>
          <w:p w14:paraId="61D0D96E">
            <w:pPr>
              <w:pStyle w:val="28"/>
              <w:rPr>
                <w:rFonts w:hint="default"/>
              </w:rPr>
            </w:pPr>
            <w:r>
              <w:t>区农业农村局</w:t>
            </w:r>
          </w:p>
        </w:tc>
      </w:tr>
      <w:tr w14:paraId="6A356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6BA4D5CD">
            <w:pPr>
              <w:pStyle w:val="28"/>
              <w:numPr>
                <w:ilvl w:val="0"/>
                <w:numId w:val="9"/>
              </w:numPr>
              <w:rPr>
                <w:rFonts w:hint="default"/>
              </w:rPr>
            </w:pPr>
          </w:p>
        </w:tc>
        <w:tc>
          <w:tcPr>
            <w:tcW w:w="324" w:type="pct"/>
            <w:vMerge w:val="continue"/>
            <w:vAlign w:val="center"/>
          </w:tcPr>
          <w:p w14:paraId="161A6617">
            <w:pPr>
              <w:pStyle w:val="28"/>
              <w:rPr>
                <w:rFonts w:hint="default"/>
              </w:rPr>
            </w:pPr>
          </w:p>
        </w:tc>
        <w:tc>
          <w:tcPr>
            <w:tcW w:w="458" w:type="pct"/>
            <w:vMerge w:val="continue"/>
            <w:vAlign w:val="center"/>
          </w:tcPr>
          <w:p w14:paraId="11562516">
            <w:pPr>
              <w:pStyle w:val="28"/>
              <w:rPr>
                <w:rFonts w:hint="default"/>
              </w:rPr>
            </w:pPr>
          </w:p>
        </w:tc>
        <w:tc>
          <w:tcPr>
            <w:tcW w:w="1080" w:type="pct"/>
            <w:shd w:val="clear" w:color="auto" w:fill="auto"/>
            <w:vAlign w:val="center"/>
          </w:tcPr>
          <w:p w14:paraId="14D8C5C4">
            <w:pPr>
              <w:pStyle w:val="28"/>
              <w:rPr>
                <w:rFonts w:hint="default"/>
              </w:rPr>
            </w:pPr>
            <w:r>
              <w:t>农药包装废弃物回收覆盖率★</w:t>
            </w:r>
          </w:p>
        </w:tc>
        <w:tc>
          <w:tcPr>
            <w:tcW w:w="506" w:type="pct"/>
            <w:shd w:val="clear" w:color="auto" w:fill="auto"/>
            <w:vAlign w:val="center"/>
          </w:tcPr>
          <w:p w14:paraId="1CD9392F">
            <w:pPr>
              <w:pStyle w:val="28"/>
              <w:rPr>
                <w:rFonts w:hint="default"/>
              </w:rPr>
            </w:pPr>
            <w:r>
              <w:t>100%</w:t>
            </w:r>
          </w:p>
        </w:tc>
        <w:tc>
          <w:tcPr>
            <w:tcW w:w="460" w:type="pct"/>
            <w:shd w:val="clear" w:color="auto" w:fill="auto"/>
            <w:vAlign w:val="center"/>
          </w:tcPr>
          <w:p w14:paraId="0CA1390F">
            <w:pPr>
              <w:pStyle w:val="28"/>
              <w:rPr>
                <w:rFonts w:hint="default"/>
              </w:rPr>
            </w:pPr>
            <w:r>
              <w:t>0%</w:t>
            </w:r>
          </w:p>
        </w:tc>
        <w:tc>
          <w:tcPr>
            <w:tcW w:w="502" w:type="pct"/>
            <w:shd w:val="clear" w:color="auto" w:fill="auto"/>
            <w:vAlign w:val="center"/>
          </w:tcPr>
          <w:p w14:paraId="33B0BFC6">
            <w:pPr>
              <w:pStyle w:val="28"/>
              <w:rPr>
                <w:rFonts w:hint="default"/>
              </w:rPr>
            </w:pPr>
            <w:r>
              <w:t>100%</w:t>
            </w:r>
          </w:p>
        </w:tc>
        <w:tc>
          <w:tcPr>
            <w:tcW w:w="656" w:type="pct"/>
            <w:shd w:val="clear" w:color="auto" w:fill="auto"/>
            <w:vAlign w:val="center"/>
          </w:tcPr>
          <w:p w14:paraId="0AB17015">
            <w:pPr>
              <w:pStyle w:val="28"/>
              <w:rPr>
                <w:rFonts w:hint="default"/>
              </w:rPr>
            </w:pPr>
            <w:r>
              <w:t>区供销总社</w:t>
            </w:r>
          </w:p>
        </w:tc>
        <w:tc>
          <w:tcPr>
            <w:tcW w:w="754" w:type="pct"/>
            <w:shd w:val="clear" w:color="auto" w:fill="auto"/>
            <w:vAlign w:val="center"/>
          </w:tcPr>
          <w:p w14:paraId="32CA2D3E">
            <w:pPr>
              <w:pStyle w:val="28"/>
              <w:rPr>
                <w:rFonts w:hint="default"/>
              </w:rPr>
            </w:pPr>
            <w:r>
              <w:t>区供销总社</w:t>
            </w:r>
          </w:p>
        </w:tc>
      </w:tr>
      <w:tr w14:paraId="214D8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68D35110">
            <w:pPr>
              <w:pStyle w:val="28"/>
              <w:numPr>
                <w:ilvl w:val="0"/>
                <w:numId w:val="9"/>
              </w:numPr>
              <w:rPr>
                <w:rFonts w:hint="default"/>
              </w:rPr>
            </w:pPr>
          </w:p>
        </w:tc>
        <w:tc>
          <w:tcPr>
            <w:tcW w:w="324" w:type="pct"/>
            <w:vMerge w:val="continue"/>
            <w:vAlign w:val="center"/>
          </w:tcPr>
          <w:p w14:paraId="1AD3F468">
            <w:pPr>
              <w:pStyle w:val="28"/>
              <w:rPr>
                <w:rFonts w:hint="default"/>
              </w:rPr>
            </w:pPr>
          </w:p>
        </w:tc>
        <w:tc>
          <w:tcPr>
            <w:tcW w:w="458" w:type="pct"/>
            <w:shd w:val="clear" w:color="auto" w:fill="auto"/>
            <w:vAlign w:val="center"/>
          </w:tcPr>
          <w:p w14:paraId="1EBECA86">
            <w:pPr>
              <w:pStyle w:val="28"/>
              <w:rPr>
                <w:rFonts w:hint="default"/>
              </w:rPr>
            </w:pPr>
            <w:r>
              <w:t>建筑垃圾资源化利用</w:t>
            </w:r>
          </w:p>
        </w:tc>
        <w:tc>
          <w:tcPr>
            <w:tcW w:w="1080" w:type="pct"/>
            <w:shd w:val="clear" w:color="auto" w:fill="auto"/>
            <w:vAlign w:val="center"/>
          </w:tcPr>
          <w:p w14:paraId="7584CE23">
            <w:pPr>
              <w:pStyle w:val="28"/>
              <w:rPr>
                <w:rFonts w:hint="default"/>
              </w:rPr>
            </w:pPr>
            <w:r>
              <w:t>建筑垃圾资源化利用率★</w:t>
            </w:r>
          </w:p>
        </w:tc>
        <w:tc>
          <w:tcPr>
            <w:tcW w:w="506" w:type="pct"/>
            <w:shd w:val="clear" w:color="auto" w:fill="auto"/>
            <w:vAlign w:val="center"/>
          </w:tcPr>
          <w:p w14:paraId="56AC833C">
            <w:pPr>
              <w:pStyle w:val="28"/>
              <w:rPr>
                <w:rFonts w:hint="default"/>
              </w:rPr>
            </w:pPr>
            <w:r>
              <w:t>70%</w:t>
            </w:r>
          </w:p>
        </w:tc>
        <w:tc>
          <w:tcPr>
            <w:tcW w:w="460" w:type="pct"/>
            <w:shd w:val="clear" w:color="auto" w:fill="auto"/>
            <w:vAlign w:val="center"/>
          </w:tcPr>
          <w:p w14:paraId="4548780C">
            <w:pPr>
              <w:pStyle w:val="28"/>
              <w:rPr>
                <w:rFonts w:hint="default"/>
              </w:rPr>
            </w:pPr>
            <w:r>
              <w:t>100%</w:t>
            </w:r>
          </w:p>
        </w:tc>
        <w:tc>
          <w:tcPr>
            <w:tcW w:w="502" w:type="pct"/>
            <w:shd w:val="clear" w:color="auto" w:fill="auto"/>
            <w:vAlign w:val="center"/>
          </w:tcPr>
          <w:p w14:paraId="51115EB8">
            <w:pPr>
              <w:pStyle w:val="28"/>
              <w:rPr>
                <w:rFonts w:hint="default"/>
              </w:rPr>
            </w:pPr>
            <w:r>
              <w:t>100%</w:t>
            </w:r>
          </w:p>
        </w:tc>
        <w:tc>
          <w:tcPr>
            <w:tcW w:w="656" w:type="pct"/>
            <w:shd w:val="clear" w:color="auto" w:fill="auto"/>
            <w:vAlign w:val="center"/>
          </w:tcPr>
          <w:p w14:paraId="61348F98">
            <w:pPr>
              <w:pStyle w:val="28"/>
              <w:rPr>
                <w:rFonts w:hint="default"/>
              </w:rPr>
            </w:pPr>
            <w:r>
              <w:t>区城管局、区住建局</w:t>
            </w:r>
          </w:p>
        </w:tc>
        <w:tc>
          <w:tcPr>
            <w:tcW w:w="754" w:type="pct"/>
            <w:shd w:val="clear" w:color="auto" w:fill="auto"/>
            <w:vAlign w:val="center"/>
          </w:tcPr>
          <w:p w14:paraId="3D33B740">
            <w:pPr>
              <w:pStyle w:val="28"/>
              <w:rPr>
                <w:rFonts w:hint="default"/>
              </w:rPr>
            </w:pPr>
            <w:r>
              <w:t>区城管局、连云生态环境局、区住建局、区经发局</w:t>
            </w:r>
          </w:p>
        </w:tc>
      </w:tr>
      <w:tr w14:paraId="443DE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1DB502EB">
            <w:pPr>
              <w:pStyle w:val="28"/>
              <w:numPr>
                <w:ilvl w:val="0"/>
                <w:numId w:val="9"/>
              </w:numPr>
              <w:rPr>
                <w:rFonts w:hint="default"/>
              </w:rPr>
            </w:pPr>
          </w:p>
        </w:tc>
        <w:tc>
          <w:tcPr>
            <w:tcW w:w="324" w:type="pct"/>
            <w:vMerge w:val="continue"/>
            <w:vAlign w:val="center"/>
          </w:tcPr>
          <w:p w14:paraId="37B82F6F">
            <w:pPr>
              <w:pStyle w:val="28"/>
              <w:rPr>
                <w:rFonts w:hint="default"/>
              </w:rPr>
            </w:pPr>
          </w:p>
        </w:tc>
        <w:tc>
          <w:tcPr>
            <w:tcW w:w="458" w:type="pct"/>
            <w:vMerge w:val="restart"/>
            <w:shd w:val="clear" w:color="auto" w:fill="auto"/>
            <w:vAlign w:val="center"/>
          </w:tcPr>
          <w:p w14:paraId="4883C11F">
            <w:pPr>
              <w:pStyle w:val="28"/>
              <w:rPr>
                <w:rFonts w:hint="default"/>
              </w:rPr>
            </w:pPr>
            <w:r>
              <w:t>生活领域固体废物资源化利用</w:t>
            </w:r>
          </w:p>
        </w:tc>
        <w:tc>
          <w:tcPr>
            <w:tcW w:w="1080" w:type="pct"/>
            <w:shd w:val="clear" w:color="auto" w:fill="auto"/>
            <w:vAlign w:val="center"/>
          </w:tcPr>
          <w:p w14:paraId="6526EB6D">
            <w:pPr>
              <w:pStyle w:val="28"/>
              <w:rPr>
                <w:rFonts w:hint="default"/>
              </w:rPr>
            </w:pPr>
            <w:r>
              <w:t>生活垃圾回收利用率★</w:t>
            </w:r>
          </w:p>
        </w:tc>
        <w:tc>
          <w:tcPr>
            <w:tcW w:w="506" w:type="pct"/>
            <w:shd w:val="clear" w:color="auto" w:fill="auto"/>
            <w:vAlign w:val="center"/>
          </w:tcPr>
          <w:p w14:paraId="59654C01">
            <w:pPr>
              <w:pStyle w:val="28"/>
              <w:rPr>
                <w:rFonts w:hint="default"/>
              </w:rPr>
            </w:pPr>
            <w:r>
              <w:t>35%</w:t>
            </w:r>
          </w:p>
        </w:tc>
        <w:tc>
          <w:tcPr>
            <w:tcW w:w="460" w:type="pct"/>
            <w:shd w:val="clear" w:color="auto" w:fill="auto"/>
            <w:vAlign w:val="center"/>
          </w:tcPr>
          <w:p w14:paraId="1484EE72">
            <w:pPr>
              <w:pStyle w:val="28"/>
              <w:rPr>
                <w:rFonts w:hint="default"/>
              </w:rPr>
            </w:pPr>
            <w:r>
              <w:t>0.19%</w:t>
            </w:r>
          </w:p>
        </w:tc>
        <w:tc>
          <w:tcPr>
            <w:tcW w:w="502" w:type="pct"/>
            <w:shd w:val="clear" w:color="auto" w:fill="auto"/>
            <w:vAlign w:val="center"/>
          </w:tcPr>
          <w:p w14:paraId="3DF9842F">
            <w:pPr>
              <w:pStyle w:val="28"/>
              <w:rPr>
                <w:rFonts w:hint="default"/>
              </w:rPr>
            </w:pPr>
            <w:r>
              <w:t>35%</w:t>
            </w:r>
          </w:p>
        </w:tc>
        <w:tc>
          <w:tcPr>
            <w:tcW w:w="656" w:type="pct"/>
            <w:shd w:val="clear" w:color="auto" w:fill="auto"/>
            <w:vAlign w:val="center"/>
          </w:tcPr>
          <w:p w14:paraId="1A4746FD">
            <w:pPr>
              <w:pStyle w:val="28"/>
              <w:rPr>
                <w:rFonts w:hint="default"/>
              </w:rPr>
            </w:pPr>
            <w:r>
              <w:t>区城管局</w:t>
            </w:r>
          </w:p>
        </w:tc>
        <w:tc>
          <w:tcPr>
            <w:tcW w:w="754" w:type="pct"/>
            <w:shd w:val="clear" w:color="auto" w:fill="auto"/>
            <w:vAlign w:val="center"/>
          </w:tcPr>
          <w:p w14:paraId="3DF7613C">
            <w:pPr>
              <w:pStyle w:val="28"/>
              <w:rPr>
                <w:rFonts w:hint="default"/>
              </w:rPr>
            </w:pPr>
            <w:r>
              <w:t>区城管局</w:t>
            </w:r>
          </w:p>
        </w:tc>
      </w:tr>
      <w:tr w14:paraId="1DF9E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63084F39">
            <w:pPr>
              <w:pStyle w:val="28"/>
              <w:numPr>
                <w:ilvl w:val="0"/>
                <w:numId w:val="9"/>
              </w:numPr>
              <w:rPr>
                <w:rFonts w:hint="default"/>
              </w:rPr>
            </w:pPr>
          </w:p>
        </w:tc>
        <w:tc>
          <w:tcPr>
            <w:tcW w:w="324" w:type="pct"/>
            <w:vMerge w:val="continue"/>
            <w:vAlign w:val="center"/>
          </w:tcPr>
          <w:p w14:paraId="02608985">
            <w:pPr>
              <w:pStyle w:val="28"/>
              <w:rPr>
                <w:rFonts w:hint="default"/>
              </w:rPr>
            </w:pPr>
          </w:p>
        </w:tc>
        <w:tc>
          <w:tcPr>
            <w:tcW w:w="458" w:type="pct"/>
            <w:vMerge w:val="continue"/>
            <w:vAlign w:val="center"/>
          </w:tcPr>
          <w:p w14:paraId="5EEEBFF7">
            <w:pPr>
              <w:pStyle w:val="28"/>
              <w:rPr>
                <w:rFonts w:hint="default"/>
              </w:rPr>
            </w:pPr>
          </w:p>
        </w:tc>
        <w:tc>
          <w:tcPr>
            <w:tcW w:w="1080" w:type="pct"/>
            <w:shd w:val="clear" w:color="auto" w:fill="auto"/>
            <w:vAlign w:val="center"/>
          </w:tcPr>
          <w:p w14:paraId="64BC90DF">
            <w:pPr>
              <w:pStyle w:val="28"/>
              <w:rPr>
                <w:rFonts w:hint="default"/>
              </w:rPr>
            </w:pPr>
            <w:r>
              <w:t>医疗卫生机构可回收物回收率★</w:t>
            </w:r>
          </w:p>
        </w:tc>
        <w:tc>
          <w:tcPr>
            <w:tcW w:w="506" w:type="pct"/>
            <w:shd w:val="clear" w:color="auto" w:fill="auto"/>
            <w:vAlign w:val="center"/>
          </w:tcPr>
          <w:p w14:paraId="33891F8A">
            <w:pPr>
              <w:pStyle w:val="28"/>
              <w:rPr>
                <w:rFonts w:hint="default"/>
              </w:rPr>
            </w:pPr>
            <w:r>
              <w:t>100%</w:t>
            </w:r>
          </w:p>
        </w:tc>
        <w:tc>
          <w:tcPr>
            <w:tcW w:w="460" w:type="pct"/>
            <w:shd w:val="clear" w:color="auto" w:fill="auto"/>
            <w:vAlign w:val="center"/>
          </w:tcPr>
          <w:p w14:paraId="71AA503E">
            <w:pPr>
              <w:pStyle w:val="28"/>
              <w:rPr>
                <w:rFonts w:hint="default"/>
              </w:rPr>
            </w:pPr>
            <w:r>
              <w:t>100%</w:t>
            </w:r>
          </w:p>
        </w:tc>
        <w:tc>
          <w:tcPr>
            <w:tcW w:w="502" w:type="pct"/>
            <w:shd w:val="clear" w:color="auto" w:fill="auto"/>
            <w:vAlign w:val="center"/>
          </w:tcPr>
          <w:p w14:paraId="29926CD4">
            <w:pPr>
              <w:pStyle w:val="28"/>
              <w:rPr>
                <w:rFonts w:hint="default"/>
              </w:rPr>
            </w:pPr>
            <w:r>
              <w:t>100%</w:t>
            </w:r>
          </w:p>
        </w:tc>
        <w:tc>
          <w:tcPr>
            <w:tcW w:w="656" w:type="pct"/>
            <w:shd w:val="clear" w:color="auto" w:fill="auto"/>
            <w:vAlign w:val="center"/>
          </w:tcPr>
          <w:p w14:paraId="6BE81246">
            <w:pPr>
              <w:pStyle w:val="28"/>
              <w:rPr>
                <w:rFonts w:hint="default"/>
              </w:rPr>
            </w:pPr>
            <w:r>
              <w:t>区卫健委</w:t>
            </w:r>
          </w:p>
        </w:tc>
        <w:tc>
          <w:tcPr>
            <w:tcW w:w="754" w:type="pct"/>
            <w:shd w:val="clear" w:color="auto" w:fill="auto"/>
            <w:vAlign w:val="center"/>
          </w:tcPr>
          <w:p w14:paraId="4B9D8815">
            <w:pPr>
              <w:pStyle w:val="28"/>
              <w:rPr>
                <w:rFonts w:hint="default"/>
              </w:rPr>
            </w:pPr>
            <w:r>
              <w:t>区卫健委</w:t>
            </w:r>
          </w:p>
        </w:tc>
      </w:tr>
      <w:tr w14:paraId="0DEF9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0CCEC7A6">
            <w:pPr>
              <w:pStyle w:val="28"/>
              <w:numPr>
                <w:ilvl w:val="0"/>
                <w:numId w:val="9"/>
              </w:numPr>
              <w:rPr>
                <w:rFonts w:hint="default"/>
              </w:rPr>
            </w:pPr>
          </w:p>
        </w:tc>
        <w:tc>
          <w:tcPr>
            <w:tcW w:w="324" w:type="pct"/>
            <w:vMerge w:val="restart"/>
            <w:shd w:val="clear" w:color="auto" w:fill="auto"/>
            <w:vAlign w:val="center"/>
          </w:tcPr>
          <w:p w14:paraId="32E58B40">
            <w:pPr>
              <w:pStyle w:val="28"/>
              <w:rPr>
                <w:rFonts w:hint="default"/>
              </w:rPr>
            </w:pPr>
            <w:r>
              <w:t>固体废物最终处置</w:t>
            </w:r>
          </w:p>
        </w:tc>
        <w:tc>
          <w:tcPr>
            <w:tcW w:w="458" w:type="pct"/>
            <w:vMerge w:val="restart"/>
            <w:shd w:val="clear" w:color="auto" w:fill="auto"/>
            <w:vAlign w:val="center"/>
          </w:tcPr>
          <w:p w14:paraId="048375B0">
            <w:pPr>
              <w:pStyle w:val="28"/>
              <w:rPr>
                <w:rFonts w:hint="default"/>
              </w:rPr>
            </w:pPr>
            <w:r>
              <w:t>危险废物处置</w:t>
            </w:r>
          </w:p>
        </w:tc>
        <w:tc>
          <w:tcPr>
            <w:tcW w:w="1080" w:type="pct"/>
            <w:shd w:val="clear" w:color="auto" w:fill="auto"/>
            <w:vAlign w:val="center"/>
          </w:tcPr>
          <w:p w14:paraId="47AE194F">
            <w:pPr>
              <w:pStyle w:val="28"/>
              <w:rPr>
                <w:rFonts w:hint="default"/>
              </w:rPr>
            </w:pPr>
            <w:r>
              <w:t>医疗废物收集处置体系覆盖率★</w:t>
            </w:r>
          </w:p>
        </w:tc>
        <w:tc>
          <w:tcPr>
            <w:tcW w:w="506" w:type="pct"/>
            <w:shd w:val="clear" w:color="auto" w:fill="auto"/>
            <w:vAlign w:val="center"/>
          </w:tcPr>
          <w:p w14:paraId="1924DCB0">
            <w:pPr>
              <w:pStyle w:val="28"/>
              <w:rPr>
                <w:rFonts w:hint="default"/>
              </w:rPr>
            </w:pPr>
            <w:r>
              <w:t>100%</w:t>
            </w:r>
          </w:p>
        </w:tc>
        <w:tc>
          <w:tcPr>
            <w:tcW w:w="460" w:type="pct"/>
            <w:shd w:val="clear" w:color="auto" w:fill="auto"/>
            <w:vAlign w:val="center"/>
          </w:tcPr>
          <w:p w14:paraId="65BD6766">
            <w:pPr>
              <w:pStyle w:val="28"/>
              <w:rPr>
                <w:rFonts w:hint="default"/>
              </w:rPr>
            </w:pPr>
            <w:r>
              <w:t>100%</w:t>
            </w:r>
          </w:p>
        </w:tc>
        <w:tc>
          <w:tcPr>
            <w:tcW w:w="502" w:type="pct"/>
            <w:shd w:val="clear" w:color="auto" w:fill="auto"/>
            <w:vAlign w:val="center"/>
          </w:tcPr>
          <w:p w14:paraId="1ACC7CE0">
            <w:pPr>
              <w:pStyle w:val="28"/>
              <w:rPr>
                <w:rFonts w:hint="default"/>
              </w:rPr>
            </w:pPr>
            <w:r>
              <w:t>100%</w:t>
            </w:r>
          </w:p>
        </w:tc>
        <w:tc>
          <w:tcPr>
            <w:tcW w:w="656" w:type="pct"/>
            <w:shd w:val="clear" w:color="auto" w:fill="auto"/>
            <w:vAlign w:val="center"/>
          </w:tcPr>
          <w:p w14:paraId="2F87760C">
            <w:pPr>
              <w:pStyle w:val="28"/>
              <w:rPr>
                <w:rFonts w:hint="default"/>
              </w:rPr>
            </w:pPr>
            <w:r>
              <w:t>区卫健委</w:t>
            </w:r>
          </w:p>
        </w:tc>
        <w:tc>
          <w:tcPr>
            <w:tcW w:w="754" w:type="pct"/>
            <w:shd w:val="clear" w:color="auto" w:fill="auto"/>
            <w:vAlign w:val="center"/>
          </w:tcPr>
          <w:p w14:paraId="07B95893">
            <w:pPr>
              <w:pStyle w:val="28"/>
              <w:rPr>
                <w:rFonts w:hint="default"/>
              </w:rPr>
            </w:pPr>
            <w:r>
              <w:t>区卫健委、连云生态环境局</w:t>
            </w:r>
          </w:p>
        </w:tc>
      </w:tr>
      <w:tr w14:paraId="17E54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3488EF32">
            <w:pPr>
              <w:pStyle w:val="28"/>
              <w:numPr>
                <w:ilvl w:val="0"/>
                <w:numId w:val="9"/>
              </w:numPr>
              <w:rPr>
                <w:rFonts w:hint="default"/>
              </w:rPr>
            </w:pPr>
          </w:p>
        </w:tc>
        <w:tc>
          <w:tcPr>
            <w:tcW w:w="324" w:type="pct"/>
            <w:vMerge w:val="continue"/>
            <w:vAlign w:val="center"/>
          </w:tcPr>
          <w:p w14:paraId="2AD4D24A">
            <w:pPr>
              <w:pStyle w:val="28"/>
              <w:rPr>
                <w:rFonts w:hint="default"/>
              </w:rPr>
            </w:pPr>
          </w:p>
        </w:tc>
        <w:tc>
          <w:tcPr>
            <w:tcW w:w="458" w:type="pct"/>
            <w:vMerge w:val="continue"/>
            <w:vAlign w:val="center"/>
          </w:tcPr>
          <w:p w14:paraId="0000B317">
            <w:pPr>
              <w:pStyle w:val="28"/>
              <w:rPr>
                <w:rFonts w:hint="default"/>
              </w:rPr>
            </w:pPr>
          </w:p>
        </w:tc>
        <w:tc>
          <w:tcPr>
            <w:tcW w:w="1080" w:type="pct"/>
            <w:shd w:val="clear" w:color="auto" w:fill="auto"/>
            <w:vAlign w:val="center"/>
          </w:tcPr>
          <w:p w14:paraId="191888D7">
            <w:pPr>
              <w:pStyle w:val="28"/>
              <w:rPr>
                <w:rFonts w:hint="default"/>
              </w:rPr>
            </w:pPr>
            <w:r>
              <w:t>工业危险废物填埋处置量下降幅度★</w:t>
            </w:r>
          </w:p>
        </w:tc>
        <w:tc>
          <w:tcPr>
            <w:tcW w:w="506" w:type="pct"/>
            <w:shd w:val="clear" w:color="auto" w:fill="auto"/>
            <w:vAlign w:val="center"/>
          </w:tcPr>
          <w:p w14:paraId="0DE87787">
            <w:pPr>
              <w:pStyle w:val="28"/>
              <w:rPr>
                <w:rFonts w:hint="default"/>
              </w:rPr>
            </w:pPr>
            <w:r>
              <w:t>＞0</w:t>
            </w:r>
          </w:p>
        </w:tc>
        <w:tc>
          <w:tcPr>
            <w:tcW w:w="460" w:type="pct"/>
            <w:shd w:val="clear" w:color="auto" w:fill="auto"/>
            <w:vAlign w:val="center"/>
          </w:tcPr>
          <w:p w14:paraId="7097756B">
            <w:pPr>
              <w:pStyle w:val="28"/>
              <w:rPr>
                <w:rFonts w:hint="default"/>
              </w:rPr>
            </w:pPr>
            <w:r>
              <w:t>2022年危废填埋量1181.24吨</w:t>
            </w:r>
          </w:p>
        </w:tc>
        <w:tc>
          <w:tcPr>
            <w:tcW w:w="502" w:type="pct"/>
            <w:shd w:val="clear" w:color="auto" w:fill="auto"/>
            <w:vAlign w:val="center"/>
          </w:tcPr>
          <w:p w14:paraId="19150A0A">
            <w:pPr>
              <w:pStyle w:val="28"/>
              <w:rPr>
                <w:rFonts w:hint="default"/>
              </w:rPr>
            </w:pPr>
            <w:r>
              <w:t>＞0</w:t>
            </w:r>
          </w:p>
        </w:tc>
        <w:tc>
          <w:tcPr>
            <w:tcW w:w="656" w:type="pct"/>
            <w:shd w:val="clear" w:color="auto" w:fill="auto"/>
            <w:vAlign w:val="center"/>
          </w:tcPr>
          <w:p w14:paraId="774D560A">
            <w:pPr>
              <w:pStyle w:val="28"/>
              <w:rPr>
                <w:rFonts w:hint="default"/>
              </w:rPr>
            </w:pPr>
            <w:r>
              <w:t>连云生态环境局</w:t>
            </w:r>
          </w:p>
        </w:tc>
        <w:tc>
          <w:tcPr>
            <w:tcW w:w="754" w:type="pct"/>
            <w:shd w:val="clear" w:color="auto" w:fill="auto"/>
            <w:vAlign w:val="center"/>
          </w:tcPr>
          <w:p w14:paraId="291C4AFA">
            <w:pPr>
              <w:pStyle w:val="28"/>
              <w:rPr>
                <w:rFonts w:hint="default"/>
              </w:rPr>
            </w:pPr>
            <w:r>
              <w:t>连云生态环境局</w:t>
            </w:r>
          </w:p>
        </w:tc>
      </w:tr>
      <w:tr w14:paraId="5123B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5C5683BC">
            <w:pPr>
              <w:pStyle w:val="28"/>
              <w:numPr>
                <w:ilvl w:val="0"/>
                <w:numId w:val="9"/>
              </w:numPr>
              <w:rPr>
                <w:rFonts w:hint="default"/>
              </w:rPr>
            </w:pPr>
          </w:p>
        </w:tc>
        <w:tc>
          <w:tcPr>
            <w:tcW w:w="324" w:type="pct"/>
            <w:vMerge w:val="continue"/>
            <w:vAlign w:val="center"/>
          </w:tcPr>
          <w:p w14:paraId="09E57793">
            <w:pPr>
              <w:pStyle w:val="28"/>
              <w:rPr>
                <w:rFonts w:hint="default"/>
              </w:rPr>
            </w:pPr>
          </w:p>
        </w:tc>
        <w:tc>
          <w:tcPr>
            <w:tcW w:w="458" w:type="pct"/>
            <w:vMerge w:val="continue"/>
            <w:vAlign w:val="center"/>
          </w:tcPr>
          <w:p w14:paraId="7D0795D1">
            <w:pPr>
              <w:pStyle w:val="28"/>
              <w:rPr>
                <w:rFonts w:hint="default"/>
              </w:rPr>
            </w:pPr>
          </w:p>
        </w:tc>
        <w:tc>
          <w:tcPr>
            <w:tcW w:w="1080" w:type="pct"/>
            <w:shd w:val="clear" w:color="auto" w:fill="auto"/>
            <w:vAlign w:val="center"/>
          </w:tcPr>
          <w:p w14:paraId="71CD4B97">
            <w:pPr>
              <w:pStyle w:val="28"/>
              <w:rPr>
                <w:rFonts w:hint="default"/>
              </w:rPr>
            </w:pPr>
            <w:r>
              <w:t>医疗废物应急处置能力★</w:t>
            </w:r>
          </w:p>
        </w:tc>
        <w:tc>
          <w:tcPr>
            <w:tcW w:w="506" w:type="pct"/>
            <w:shd w:val="clear" w:color="auto" w:fill="auto"/>
            <w:vAlign w:val="center"/>
          </w:tcPr>
          <w:p w14:paraId="3D6195D7">
            <w:pPr>
              <w:pStyle w:val="28"/>
              <w:rPr>
                <w:rFonts w:hint="default"/>
              </w:rPr>
            </w:pPr>
            <w:r>
              <w:t>完善应急处置协调机制和统筹应急处置设施资源</w:t>
            </w:r>
          </w:p>
        </w:tc>
        <w:tc>
          <w:tcPr>
            <w:tcW w:w="460" w:type="pct"/>
            <w:shd w:val="clear" w:color="auto" w:fill="auto"/>
            <w:vAlign w:val="center"/>
          </w:tcPr>
          <w:p w14:paraId="604C8719">
            <w:pPr>
              <w:pStyle w:val="28"/>
              <w:rPr>
                <w:rFonts w:hint="default"/>
              </w:rPr>
            </w:pPr>
            <w:r>
              <w:t>完善应急处置协调机制和统筹应急处置设施资源</w:t>
            </w:r>
          </w:p>
        </w:tc>
        <w:tc>
          <w:tcPr>
            <w:tcW w:w="502" w:type="pct"/>
            <w:shd w:val="clear" w:color="auto" w:fill="auto"/>
            <w:vAlign w:val="center"/>
          </w:tcPr>
          <w:p w14:paraId="068BF816">
            <w:pPr>
              <w:pStyle w:val="28"/>
              <w:rPr>
                <w:rFonts w:hint="default"/>
              </w:rPr>
            </w:pPr>
            <w:r>
              <w:t>完善应急处置协调机制和统筹应急处置设施资源</w:t>
            </w:r>
          </w:p>
        </w:tc>
        <w:tc>
          <w:tcPr>
            <w:tcW w:w="656" w:type="pct"/>
            <w:shd w:val="clear" w:color="auto" w:fill="auto"/>
            <w:vAlign w:val="center"/>
          </w:tcPr>
          <w:p w14:paraId="4B6E8825">
            <w:pPr>
              <w:pStyle w:val="28"/>
              <w:rPr>
                <w:rFonts w:hint="default"/>
              </w:rPr>
            </w:pPr>
            <w:r>
              <w:t>连云生态环境局、区卫健委</w:t>
            </w:r>
          </w:p>
        </w:tc>
        <w:tc>
          <w:tcPr>
            <w:tcW w:w="754" w:type="pct"/>
            <w:shd w:val="clear" w:color="auto" w:fill="auto"/>
            <w:vAlign w:val="center"/>
          </w:tcPr>
          <w:p w14:paraId="0271CD9F">
            <w:pPr>
              <w:pStyle w:val="28"/>
              <w:rPr>
                <w:rFonts w:hint="default"/>
              </w:rPr>
            </w:pPr>
            <w:r>
              <w:t>连云生态环境局、区卫健委</w:t>
            </w:r>
          </w:p>
        </w:tc>
      </w:tr>
      <w:tr w14:paraId="31C3E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3DB3ECAE">
            <w:pPr>
              <w:pStyle w:val="28"/>
              <w:numPr>
                <w:ilvl w:val="0"/>
                <w:numId w:val="9"/>
              </w:numPr>
              <w:rPr>
                <w:rFonts w:hint="default"/>
              </w:rPr>
            </w:pPr>
          </w:p>
        </w:tc>
        <w:tc>
          <w:tcPr>
            <w:tcW w:w="324" w:type="pct"/>
            <w:vMerge w:val="continue"/>
            <w:vAlign w:val="center"/>
          </w:tcPr>
          <w:p w14:paraId="45CD5192">
            <w:pPr>
              <w:pStyle w:val="28"/>
              <w:rPr>
                <w:rFonts w:hint="default"/>
              </w:rPr>
            </w:pPr>
          </w:p>
        </w:tc>
        <w:tc>
          <w:tcPr>
            <w:tcW w:w="458" w:type="pct"/>
            <w:vMerge w:val="continue"/>
            <w:vAlign w:val="center"/>
          </w:tcPr>
          <w:p w14:paraId="477C59F6">
            <w:pPr>
              <w:pStyle w:val="28"/>
              <w:rPr>
                <w:rFonts w:hint="default"/>
              </w:rPr>
            </w:pPr>
          </w:p>
        </w:tc>
        <w:tc>
          <w:tcPr>
            <w:tcW w:w="1080" w:type="pct"/>
            <w:shd w:val="clear" w:color="auto" w:fill="auto"/>
            <w:vAlign w:val="center"/>
          </w:tcPr>
          <w:p w14:paraId="5FD351D0">
            <w:pPr>
              <w:pStyle w:val="28"/>
              <w:rPr>
                <w:rFonts w:hint="default"/>
              </w:rPr>
            </w:pPr>
            <w:r>
              <w:t>化工废盐利用处置率☆</w:t>
            </w:r>
          </w:p>
        </w:tc>
        <w:tc>
          <w:tcPr>
            <w:tcW w:w="506" w:type="pct"/>
            <w:shd w:val="clear" w:color="auto" w:fill="auto"/>
            <w:vAlign w:val="center"/>
          </w:tcPr>
          <w:p w14:paraId="43B2E3B2">
            <w:pPr>
              <w:pStyle w:val="28"/>
              <w:rPr>
                <w:rFonts w:hint="default"/>
              </w:rPr>
            </w:pPr>
            <w:r>
              <w:t>100%</w:t>
            </w:r>
          </w:p>
        </w:tc>
        <w:tc>
          <w:tcPr>
            <w:tcW w:w="460" w:type="pct"/>
            <w:shd w:val="clear" w:color="auto" w:fill="auto"/>
            <w:vAlign w:val="center"/>
          </w:tcPr>
          <w:p w14:paraId="5EB2E796">
            <w:pPr>
              <w:pStyle w:val="28"/>
              <w:rPr>
                <w:rFonts w:hint="default"/>
              </w:rPr>
            </w:pPr>
            <w:r>
              <w:t>100%</w:t>
            </w:r>
          </w:p>
        </w:tc>
        <w:tc>
          <w:tcPr>
            <w:tcW w:w="502" w:type="pct"/>
            <w:shd w:val="clear" w:color="auto" w:fill="auto"/>
            <w:vAlign w:val="center"/>
          </w:tcPr>
          <w:p w14:paraId="07C967D0">
            <w:pPr>
              <w:pStyle w:val="28"/>
              <w:rPr>
                <w:rFonts w:hint="default"/>
              </w:rPr>
            </w:pPr>
            <w:r>
              <w:t>100%</w:t>
            </w:r>
          </w:p>
        </w:tc>
        <w:tc>
          <w:tcPr>
            <w:tcW w:w="656" w:type="pct"/>
            <w:shd w:val="clear" w:color="auto" w:fill="auto"/>
            <w:vAlign w:val="center"/>
          </w:tcPr>
          <w:p w14:paraId="314F8B59">
            <w:pPr>
              <w:pStyle w:val="28"/>
              <w:rPr>
                <w:rFonts w:hint="default"/>
              </w:rPr>
            </w:pPr>
            <w:r>
              <w:t>连云生态环境局</w:t>
            </w:r>
          </w:p>
        </w:tc>
        <w:tc>
          <w:tcPr>
            <w:tcW w:w="754" w:type="pct"/>
            <w:shd w:val="clear" w:color="auto" w:fill="auto"/>
            <w:vAlign w:val="center"/>
          </w:tcPr>
          <w:p w14:paraId="24AFF3AF">
            <w:pPr>
              <w:pStyle w:val="28"/>
              <w:rPr>
                <w:rFonts w:hint="default"/>
              </w:rPr>
            </w:pPr>
            <w:r>
              <w:t>连云生态环境局</w:t>
            </w:r>
          </w:p>
        </w:tc>
      </w:tr>
      <w:tr w14:paraId="42F84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08DC6250">
            <w:pPr>
              <w:pStyle w:val="28"/>
              <w:numPr>
                <w:ilvl w:val="0"/>
                <w:numId w:val="9"/>
              </w:numPr>
              <w:rPr>
                <w:rFonts w:hint="default"/>
              </w:rPr>
            </w:pPr>
          </w:p>
        </w:tc>
        <w:tc>
          <w:tcPr>
            <w:tcW w:w="324" w:type="pct"/>
            <w:vMerge w:val="continue"/>
            <w:vAlign w:val="center"/>
          </w:tcPr>
          <w:p w14:paraId="49D649D9">
            <w:pPr>
              <w:pStyle w:val="28"/>
              <w:rPr>
                <w:rFonts w:hint="default"/>
              </w:rPr>
            </w:pPr>
          </w:p>
        </w:tc>
        <w:tc>
          <w:tcPr>
            <w:tcW w:w="458" w:type="pct"/>
            <w:vMerge w:val="continue"/>
            <w:vAlign w:val="center"/>
          </w:tcPr>
          <w:p w14:paraId="3B056338">
            <w:pPr>
              <w:pStyle w:val="28"/>
              <w:rPr>
                <w:rFonts w:hint="default"/>
              </w:rPr>
            </w:pPr>
          </w:p>
        </w:tc>
        <w:tc>
          <w:tcPr>
            <w:tcW w:w="1080" w:type="pct"/>
            <w:shd w:val="clear" w:color="auto" w:fill="auto"/>
            <w:vAlign w:val="center"/>
          </w:tcPr>
          <w:p w14:paraId="6A69DF7D">
            <w:pPr>
              <w:pStyle w:val="28"/>
              <w:rPr>
                <w:rFonts w:hint="default"/>
              </w:rPr>
            </w:pPr>
            <w:r>
              <w:t>社会源危险废物收集处置体系覆盖率☆</w:t>
            </w:r>
          </w:p>
        </w:tc>
        <w:tc>
          <w:tcPr>
            <w:tcW w:w="506" w:type="pct"/>
            <w:shd w:val="clear" w:color="auto" w:fill="auto"/>
            <w:vAlign w:val="center"/>
          </w:tcPr>
          <w:p w14:paraId="4B1C7375">
            <w:pPr>
              <w:pStyle w:val="28"/>
              <w:rPr>
                <w:rFonts w:hint="default"/>
              </w:rPr>
            </w:pPr>
            <w:r>
              <w:t>100%</w:t>
            </w:r>
          </w:p>
        </w:tc>
        <w:tc>
          <w:tcPr>
            <w:tcW w:w="460" w:type="pct"/>
            <w:shd w:val="clear" w:color="auto" w:fill="auto"/>
            <w:vAlign w:val="center"/>
          </w:tcPr>
          <w:p w14:paraId="58B2F135">
            <w:pPr>
              <w:pStyle w:val="28"/>
              <w:rPr>
                <w:rFonts w:hint="default"/>
              </w:rPr>
            </w:pPr>
            <w:r>
              <w:t>/</w:t>
            </w:r>
          </w:p>
        </w:tc>
        <w:tc>
          <w:tcPr>
            <w:tcW w:w="502" w:type="pct"/>
            <w:shd w:val="clear" w:color="auto" w:fill="auto"/>
            <w:vAlign w:val="center"/>
          </w:tcPr>
          <w:p w14:paraId="6AB254FF">
            <w:pPr>
              <w:pStyle w:val="28"/>
              <w:rPr>
                <w:rFonts w:hint="default"/>
              </w:rPr>
            </w:pPr>
            <w:r>
              <w:t>100%</w:t>
            </w:r>
          </w:p>
        </w:tc>
        <w:tc>
          <w:tcPr>
            <w:tcW w:w="656" w:type="pct"/>
            <w:shd w:val="clear" w:color="auto" w:fill="auto"/>
            <w:vAlign w:val="center"/>
          </w:tcPr>
          <w:p w14:paraId="5A410602">
            <w:pPr>
              <w:pStyle w:val="28"/>
              <w:rPr>
                <w:rFonts w:hint="default"/>
              </w:rPr>
            </w:pPr>
            <w:r>
              <w:t>连云生态环境局</w:t>
            </w:r>
          </w:p>
        </w:tc>
        <w:tc>
          <w:tcPr>
            <w:tcW w:w="754" w:type="pct"/>
            <w:shd w:val="clear" w:color="auto" w:fill="auto"/>
            <w:vAlign w:val="center"/>
          </w:tcPr>
          <w:p w14:paraId="643C3F0D">
            <w:pPr>
              <w:pStyle w:val="28"/>
              <w:rPr>
                <w:rFonts w:hint="default"/>
              </w:rPr>
            </w:pPr>
            <w:r>
              <w:t>连云生态环境局</w:t>
            </w:r>
          </w:p>
        </w:tc>
      </w:tr>
      <w:tr w14:paraId="4FD3F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34E27026">
            <w:pPr>
              <w:pStyle w:val="28"/>
              <w:numPr>
                <w:ilvl w:val="0"/>
                <w:numId w:val="9"/>
              </w:numPr>
              <w:rPr>
                <w:rFonts w:hint="default"/>
              </w:rPr>
            </w:pPr>
          </w:p>
        </w:tc>
        <w:tc>
          <w:tcPr>
            <w:tcW w:w="324" w:type="pct"/>
            <w:vMerge w:val="continue"/>
            <w:vAlign w:val="center"/>
          </w:tcPr>
          <w:p w14:paraId="0DCC547C">
            <w:pPr>
              <w:pStyle w:val="28"/>
              <w:rPr>
                <w:rFonts w:hint="default"/>
              </w:rPr>
            </w:pPr>
          </w:p>
        </w:tc>
        <w:tc>
          <w:tcPr>
            <w:tcW w:w="458" w:type="pct"/>
            <w:vMerge w:val="restart"/>
            <w:shd w:val="clear" w:color="auto" w:fill="auto"/>
            <w:vAlign w:val="center"/>
          </w:tcPr>
          <w:p w14:paraId="637ACC51">
            <w:pPr>
              <w:pStyle w:val="28"/>
              <w:rPr>
                <w:rFonts w:hint="default"/>
              </w:rPr>
            </w:pPr>
            <w:r>
              <w:t>一般工业固体废物贮存处置</w:t>
            </w:r>
          </w:p>
        </w:tc>
        <w:tc>
          <w:tcPr>
            <w:tcW w:w="1080" w:type="pct"/>
            <w:shd w:val="clear" w:color="auto" w:fill="auto"/>
            <w:vAlign w:val="center"/>
          </w:tcPr>
          <w:p w14:paraId="1EBD28E6">
            <w:pPr>
              <w:pStyle w:val="28"/>
              <w:rPr>
                <w:rFonts w:hint="default"/>
              </w:rPr>
            </w:pPr>
            <w:r>
              <w:t>一般工业固体废物贮存处置量下降幅度★</w:t>
            </w:r>
          </w:p>
        </w:tc>
        <w:tc>
          <w:tcPr>
            <w:tcW w:w="506" w:type="pct"/>
            <w:shd w:val="clear" w:color="auto" w:fill="auto"/>
            <w:vAlign w:val="center"/>
          </w:tcPr>
          <w:p w14:paraId="2508EF48">
            <w:pPr>
              <w:pStyle w:val="28"/>
              <w:rPr>
                <w:rFonts w:hint="default"/>
              </w:rPr>
            </w:pPr>
            <w:r>
              <w:t>＞0%</w:t>
            </w:r>
          </w:p>
        </w:tc>
        <w:tc>
          <w:tcPr>
            <w:tcW w:w="460" w:type="pct"/>
            <w:shd w:val="clear" w:color="auto" w:fill="auto"/>
            <w:vAlign w:val="center"/>
          </w:tcPr>
          <w:p w14:paraId="1723B620">
            <w:pPr>
              <w:pStyle w:val="28"/>
              <w:rPr>
                <w:rFonts w:hint="default"/>
              </w:rPr>
            </w:pPr>
            <w:r>
              <w:t>/</w:t>
            </w:r>
          </w:p>
        </w:tc>
        <w:tc>
          <w:tcPr>
            <w:tcW w:w="502" w:type="pct"/>
            <w:shd w:val="clear" w:color="auto" w:fill="auto"/>
            <w:vAlign w:val="center"/>
          </w:tcPr>
          <w:p w14:paraId="1D73B13F">
            <w:pPr>
              <w:pStyle w:val="28"/>
              <w:rPr>
                <w:rFonts w:hint="default"/>
              </w:rPr>
            </w:pPr>
            <w:r>
              <w:t>＞0%</w:t>
            </w:r>
          </w:p>
        </w:tc>
        <w:tc>
          <w:tcPr>
            <w:tcW w:w="656" w:type="pct"/>
            <w:shd w:val="clear" w:color="auto" w:fill="auto"/>
            <w:vAlign w:val="center"/>
          </w:tcPr>
          <w:p w14:paraId="0F11EA3E">
            <w:pPr>
              <w:pStyle w:val="28"/>
              <w:rPr>
                <w:rFonts w:hint="default"/>
              </w:rPr>
            </w:pPr>
            <w:r>
              <w:t>连云生态环境局</w:t>
            </w:r>
          </w:p>
        </w:tc>
        <w:tc>
          <w:tcPr>
            <w:tcW w:w="754" w:type="pct"/>
            <w:shd w:val="clear" w:color="auto" w:fill="auto"/>
            <w:vAlign w:val="center"/>
          </w:tcPr>
          <w:p w14:paraId="4B5ED711">
            <w:pPr>
              <w:pStyle w:val="28"/>
              <w:rPr>
                <w:rFonts w:hint="default"/>
              </w:rPr>
            </w:pPr>
            <w:r>
              <w:t>连云生态环境局</w:t>
            </w:r>
          </w:p>
        </w:tc>
      </w:tr>
      <w:tr w14:paraId="53581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53C0CCE5">
            <w:pPr>
              <w:pStyle w:val="28"/>
              <w:numPr>
                <w:ilvl w:val="0"/>
                <w:numId w:val="9"/>
              </w:numPr>
              <w:rPr>
                <w:rFonts w:hint="default"/>
              </w:rPr>
            </w:pPr>
          </w:p>
        </w:tc>
        <w:tc>
          <w:tcPr>
            <w:tcW w:w="324" w:type="pct"/>
            <w:vMerge w:val="continue"/>
            <w:vAlign w:val="center"/>
          </w:tcPr>
          <w:p w14:paraId="15A342E2">
            <w:pPr>
              <w:pStyle w:val="28"/>
              <w:rPr>
                <w:rFonts w:hint="default"/>
              </w:rPr>
            </w:pPr>
          </w:p>
        </w:tc>
        <w:tc>
          <w:tcPr>
            <w:tcW w:w="458" w:type="pct"/>
            <w:vMerge w:val="continue"/>
            <w:vAlign w:val="center"/>
          </w:tcPr>
          <w:p w14:paraId="44E2DC5E">
            <w:pPr>
              <w:pStyle w:val="28"/>
              <w:rPr>
                <w:rFonts w:hint="default"/>
              </w:rPr>
            </w:pPr>
          </w:p>
        </w:tc>
        <w:tc>
          <w:tcPr>
            <w:tcW w:w="1080" w:type="pct"/>
            <w:shd w:val="clear" w:color="auto" w:fill="auto"/>
            <w:vAlign w:val="center"/>
          </w:tcPr>
          <w:p w14:paraId="2DDD4B9F">
            <w:pPr>
              <w:pStyle w:val="28"/>
              <w:rPr>
                <w:rFonts w:hint="default"/>
              </w:rPr>
            </w:pPr>
            <w:r>
              <w:t>工业污泥无害化处理率★</w:t>
            </w:r>
          </w:p>
        </w:tc>
        <w:tc>
          <w:tcPr>
            <w:tcW w:w="506" w:type="pct"/>
            <w:shd w:val="clear" w:color="auto" w:fill="auto"/>
            <w:vAlign w:val="center"/>
          </w:tcPr>
          <w:p w14:paraId="451069DF">
            <w:pPr>
              <w:pStyle w:val="28"/>
              <w:rPr>
                <w:rFonts w:hint="default"/>
              </w:rPr>
            </w:pPr>
            <w:r>
              <w:t>100%</w:t>
            </w:r>
          </w:p>
        </w:tc>
        <w:tc>
          <w:tcPr>
            <w:tcW w:w="460" w:type="pct"/>
            <w:shd w:val="clear" w:color="auto" w:fill="auto"/>
            <w:vAlign w:val="center"/>
          </w:tcPr>
          <w:p w14:paraId="096591E2">
            <w:pPr>
              <w:pStyle w:val="28"/>
              <w:rPr>
                <w:rFonts w:hint="default"/>
              </w:rPr>
            </w:pPr>
            <w:r>
              <w:t>100%</w:t>
            </w:r>
          </w:p>
        </w:tc>
        <w:tc>
          <w:tcPr>
            <w:tcW w:w="502" w:type="pct"/>
            <w:shd w:val="clear" w:color="auto" w:fill="auto"/>
            <w:vAlign w:val="center"/>
          </w:tcPr>
          <w:p w14:paraId="1DBD8555">
            <w:pPr>
              <w:pStyle w:val="28"/>
              <w:rPr>
                <w:rFonts w:hint="default"/>
              </w:rPr>
            </w:pPr>
            <w:r>
              <w:t>100%</w:t>
            </w:r>
          </w:p>
        </w:tc>
        <w:tc>
          <w:tcPr>
            <w:tcW w:w="656" w:type="pct"/>
            <w:shd w:val="clear" w:color="auto" w:fill="auto"/>
            <w:vAlign w:val="center"/>
          </w:tcPr>
          <w:p w14:paraId="25654494">
            <w:pPr>
              <w:pStyle w:val="28"/>
              <w:rPr>
                <w:rFonts w:hint="default"/>
              </w:rPr>
            </w:pPr>
            <w:r>
              <w:t>连云生态环境局</w:t>
            </w:r>
          </w:p>
        </w:tc>
        <w:tc>
          <w:tcPr>
            <w:tcW w:w="754" w:type="pct"/>
            <w:shd w:val="clear" w:color="auto" w:fill="auto"/>
            <w:vAlign w:val="center"/>
          </w:tcPr>
          <w:p w14:paraId="4E0A2806">
            <w:pPr>
              <w:pStyle w:val="28"/>
              <w:rPr>
                <w:rFonts w:hint="default"/>
              </w:rPr>
            </w:pPr>
            <w:r>
              <w:t>连云生态环境局</w:t>
            </w:r>
          </w:p>
        </w:tc>
      </w:tr>
      <w:tr w14:paraId="2349E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3E8ADD2D">
            <w:pPr>
              <w:pStyle w:val="28"/>
              <w:numPr>
                <w:ilvl w:val="0"/>
                <w:numId w:val="9"/>
              </w:numPr>
              <w:rPr>
                <w:rFonts w:hint="default"/>
              </w:rPr>
            </w:pPr>
          </w:p>
        </w:tc>
        <w:tc>
          <w:tcPr>
            <w:tcW w:w="324" w:type="pct"/>
            <w:vMerge w:val="continue"/>
            <w:vAlign w:val="center"/>
          </w:tcPr>
          <w:p w14:paraId="0E87A22B">
            <w:pPr>
              <w:pStyle w:val="28"/>
              <w:rPr>
                <w:rFonts w:hint="default"/>
              </w:rPr>
            </w:pPr>
          </w:p>
        </w:tc>
        <w:tc>
          <w:tcPr>
            <w:tcW w:w="458" w:type="pct"/>
            <w:shd w:val="clear" w:color="auto" w:fill="auto"/>
            <w:vAlign w:val="center"/>
          </w:tcPr>
          <w:p w14:paraId="08BDF019">
            <w:pPr>
              <w:pStyle w:val="28"/>
              <w:rPr>
                <w:rFonts w:hint="default"/>
              </w:rPr>
            </w:pPr>
            <w:r>
              <w:t>生活领域固体废物处置</w:t>
            </w:r>
          </w:p>
        </w:tc>
        <w:tc>
          <w:tcPr>
            <w:tcW w:w="1080" w:type="pct"/>
            <w:shd w:val="clear" w:color="auto" w:fill="auto"/>
            <w:vAlign w:val="center"/>
          </w:tcPr>
          <w:p w14:paraId="5154801F">
            <w:pPr>
              <w:pStyle w:val="28"/>
              <w:rPr>
                <w:rFonts w:hint="default"/>
              </w:rPr>
            </w:pPr>
            <w:r>
              <w:t>有害垃圾处置率★</w:t>
            </w:r>
          </w:p>
        </w:tc>
        <w:tc>
          <w:tcPr>
            <w:tcW w:w="506" w:type="pct"/>
            <w:shd w:val="clear" w:color="auto" w:fill="auto"/>
            <w:vAlign w:val="center"/>
          </w:tcPr>
          <w:p w14:paraId="47077248">
            <w:pPr>
              <w:pStyle w:val="28"/>
              <w:rPr>
                <w:rFonts w:hint="default"/>
              </w:rPr>
            </w:pPr>
            <w:r>
              <w:t>90%</w:t>
            </w:r>
          </w:p>
        </w:tc>
        <w:tc>
          <w:tcPr>
            <w:tcW w:w="460" w:type="pct"/>
            <w:shd w:val="clear" w:color="auto" w:fill="auto"/>
            <w:vAlign w:val="center"/>
          </w:tcPr>
          <w:p w14:paraId="554E6CE4">
            <w:pPr>
              <w:pStyle w:val="28"/>
              <w:rPr>
                <w:rFonts w:hint="default"/>
              </w:rPr>
            </w:pPr>
            <w:r>
              <w:t>0</w:t>
            </w:r>
          </w:p>
        </w:tc>
        <w:tc>
          <w:tcPr>
            <w:tcW w:w="502" w:type="pct"/>
            <w:shd w:val="clear" w:color="auto" w:fill="auto"/>
            <w:vAlign w:val="center"/>
          </w:tcPr>
          <w:p w14:paraId="304F01D2">
            <w:pPr>
              <w:pStyle w:val="28"/>
              <w:rPr>
                <w:rFonts w:hint="default"/>
              </w:rPr>
            </w:pPr>
            <w:r>
              <w:t>90%</w:t>
            </w:r>
          </w:p>
        </w:tc>
        <w:tc>
          <w:tcPr>
            <w:tcW w:w="656" w:type="pct"/>
            <w:shd w:val="clear" w:color="auto" w:fill="auto"/>
            <w:vAlign w:val="center"/>
          </w:tcPr>
          <w:p w14:paraId="2B18AE30">
            <w:pPr>
              <w:pStyle w:val="28"/>
              <w:rPr>
                <w:rFonts w:hint="default"/>
              </w:rPr>
            </w:pPr>
            <w:r>
              <w:t>区城管局、连云生态环境局</w:t>
            </w:r>
          </w:p>
        </w:tc>
        <w:tc>
          <w:tcPr>
            <w:tcW w:w="754" w:type="pct"/>
            <w:shd w:val="clear" w:color="auto" w:fill="auto"/>
            <w:vAlign w:val="center"/>
          </w:tcPr>
          <w:p w14:paraId="7476C8B1">
            <w:pPr>
              <w:pStyle w:val="28"/>
              <w:rPr>
                <w:rFonts w:hint="default"/>
              </w:rPr>
            </w:pPr>
            <w:r>
              <w:t>区城管局、连云生态环境局</w:t>
            </w:r>
          </w:p>
        </w:tc>
      </w:tr>
      <w:tr w14:paraId="754CB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29A2E59B">
            <w:pPr>
              <w:pStyle w:val="28"/>
              <w:numPr>
                <w:ilvl w:val="0"/>
                <w:numId w:val="9"/>
              </w:numPr>
              <w:rPr>
                <w:rFonts w:hint="default"/>
              </w:rPr>
            </w:pPr>
          </w:p>
        </w:tc>
        <w:tc>
          <w:tcPr>
            <w:tcW w:w="324" w:type="pct"/>
            <w:vMerge w:val="continue"/>
            <w:vAlign w:val="center"/>
          </w:tcPr>
          <w:p w14:paraId="1DF6BE78">
            <w:pPr>
              <w:pStyle w:val="28"/>
              <w:rPr>
                <w:rFonts w:hint="default"/>
              </w:rPr>
            </w:pPr>
          </w:p>
        </w:tc>
        <w:tc>
          <w:tcPr>
            <w:tcW w:w="458" w:type="pct"/>
            <w:shd w:val="clear" w:color="auto" w:fill="auto"/>
            <w:vAlign w:val="center"/>
          </w:tcPr>
          <w:p w14:paraId="774B9232">
            <w:pPr>
              <w:pStyle w:val="28"/>
              <w:rPr>
                <w:rFonts w:hint="default"/>
              </w:rPr>
            </w:pPr>
            <w:r>
              <w:t>生活领域固体废物处置</w:t>
            </w:r>
          </w:p>
        </w:tc>
        <w:tc>
          <w:tcPr>
            <w:tcW w:w="1080" w:type="pct"/>
            <w:shd w:val="clear" w:color="auto" w:fill="auto"/>
            <w:vAlign w:val="center"/>
          </w:tcPr>
          <w:p w14:paraId="250ACBE3">
            <w:pPr>
              <w:pStyle w:val="28"/>
              <w:rPr>
                <w:rFonts w:hint="default"/>
              </w:rPr>
            </w:pPr>
            <w:r>
              <w:t>城镇污水污泥无害化处置率★</w:t>
            </w:r>
          </w:p>
        </w:tc>
        <w:tc>
          <w:tcPr>
            <w:tcW w:w="506" w:type="pct"/>
            <w:shd w:val="clear" w:color="auto" w:fill="auto"/>
            <w:vAlign w:val="center"/>
          </w:tcPr>
          <w:p w14:paraId="51474CE3">
            <w:pPr>
              <w:pStyle w:val="28"/>
              <w:rPr>
                <w:rFonts w:hint="default"/>
              </w:rPr>
            </w:pPr>
            <w:r>
              <w:t>100%</w:t>
            </w:r>
          </w:p>
        </w:tc>
        <w:tc>
          <w:tcPr>
            <w:tcW w:w="460" w:type="pct"/>
            <w:shd w:val="clear" w:color="auto" w:fill="auto"/>
            <w:vAlign w:val="center"/>
          </w:tcPr>
          <w:p w14:paraId="109271DF">
            <w:pPr>
              <w:pStyle w:val="28"/>
              <w:rPr>
                <w:rFonts w:hint="default"/>
              </w:rPr>
            </w:pPr>
            <w:r>
              <w:t>100%</w:t>
            </w:r>
          </w:p>
        </w:tc>
        <w:tc>
          <w:tcPr>
            <w:tcW w:w="502" w:type="pct"/>
            <w:shd w:val="clear" w:color="auto" w:fill="auto"/>
            <w:vAlign w:val="center"/>
          </w:tcPr>
          <w:p w14:paraId="5394AEF1">
            <w:pPr>
              <w:pStyle w:val="28"/>
              <w:rPr>
                <w:rFonts w:hint="default"/>
              </w:rPr>
            </w:pPr>
            <w:r>
              <w:t>100%</w:t>
            </w:r>
          </w:p>
        </w:tc>
        <w:tc>
          <w:tcPr>
            <w:tcW w:w="656" w:type="pct"/>
            <w:shd w:val="clear" w:color="auto" w:fill="auto"/>
            <w:vAlign w:val="center"/>
          </w:tcPr>
          <w:p w14:paraId="4D909E58">
            <w:pPr>
              <w:pStyle w:val="28"/>
              <w:rPr>
                <w:rFonts w:hint="default"/>
              </w:rPr>
            </w:pPr>
            <w:r>
              <w:t>区住建局</w:t>
            </w:r>
          </w:p>
        </w:tc>
        <w:tc>
          <w:tcPr>
            <w:tcW w:w="754" w:type="pct"/>
            <w:shd w:val="clear" w:color="auto" w:fill="auto"/>
            <w:vAlign w:val="center"/>
          </w:tcPr>
          <w:p w14:paraId="54B3F564">
            <w:pPr>
              <w:pStyle w:val="28"/>
              <w:rPr>
                <w:rFonts w:hint="default"/>
              </w:rPr>
            </w:pPr>
            <w:r>
              <w:t>区住建局</w:t>
            </w:r>
          </w:p>
        </w:tc>
      </w:tr>
      <w:tr w14:paraId="0C079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676FB657">
            <w:pPr>
              <w:pStyle w:val="28"/>
              <w:numPr>
                <w:ilvl w:val="0"/>
                <w:numId w:val="9"/>
              </w:numPr>
              <w:rPr>
                <w:rFonts w:hint="default"/>
              </w:rPr>
            </w:pPr>
          </w:p>
        </w:tc>
        <w:tc>
          <w:tcPr>
            <w:tcW w:w="324" w:type="pct"/>
            <w:vMerge w:val="restart"/>
            <w:shd w:val="clear" w:color="auto" w:fill="auto"/>
            <w:vAlign w:val="center"/>
          </w:tcPr>
          <w:p w14:paraId="63780D1B">
            <w:pPr>
              <w:pStyle w:val="28"/>
              <w:rPr>
                <w:rFonts w:hint="default"/>
              </w:rPr>
            </w:pPr>
            <w:r>
              <w:t>保障能力</w:t>
            </w:r>
          </w:p>
        </w:tc>
        <w:tc>
          <w:tcPr>
            <w:tcW w:w="458" w:type="pct"/>
            <w:vMerge w:val="restart"/>
            <w:shd w:val="clear" w:color="auto" w:fill="auto"/>
            <w:vAlign w:val="center"/>
          </w:tcPr>
          <w:p w14:paraId="053294C7">
            <w:pPr>
              <w:pStyle w:val="28"/>
              <w:rPr>
                <w:rFonts w:hint="default"/>
              </w:rPr>
            </w:pPr>
            <w:r>
              <w:t>制度体系建设</w:t>
            </w:r>
          </w:p>
        </w:tc>
        <w:tc>
          <w:tcPr>
            <w:tcW w:w="1080" w:type="pct"/>
            <w:shd w:val="clear" w:color="auto" w:fill="auto"/>
            <w:vAlign w:val="center"/>
          </w:tcPr>
          <w:p w14:paraId="6BFA02DD">
            <w:pPr>
              <w:pStyle w:val="28"/>
              <w:rPr>
                <w:rFonts w:hint="default"/>
              </w:rPr>
            </w:pPr>
            <w:r>
              <w:t>“无废城市”建设地方性法规或政策性文件及有关规划制定★</w:t>
            </w:r>
          </w:p>
        </w:tc>
        <w:tc>
          <w:tcPr>
            <w:tcW w:w="506" w:type="pct"/>
            <w:shd w:val="clear" w:color="auto" w:fill="auto"/>
            <w:vAlign w:val="center"/>
          </w:tcPr>
          <w:p w14:paraId="4AF988C9">
            <w:pPr>
              <w:pStyle w:val="28"/>
              <w:rPr>
                <w:rFonts w:hint="default"/>
              </w:rPr>
            </w:pPr>
            <w:r>
              <w:t>新增5项</w:t>
            </w:r>
          </w:p>
        </w:tc>
        <w:tc>
          <w:tcPr>
            <w:tcW w:w="460" w:type="pct"/>
            <w:shd w:val="clear" w:color="auto" w:fill="auto"/>
            <w:vAlign w:val="center"/>
          </w:tcPr>
          <w:p w14:paraId="3EE3BEE3">
            <w:pPr>
              <w:pStyle w:val="28"/>
              <w:rPr>
                <w:rFonts w:hint="default"/>
              </w:rPr>
            </w:pPr>
            <w:r>
              <w:t>/</w:t>
            </w:r>
          </w:p>
        </w:tc>
        <w:tc>
          <w:tcPr>
            <w:tcW w:w="502" w:type="pct"/>
            <w:shd w:val="clear" w:color="auto" w:fill="auto"/>
            <w:vAlign w:val="center"/>
          </w:tcPr>
          <w:p w14:paraId="4F01C1A1">
            <w:pPr>
              <w:pStyle w:val="28"/>
              <w:rPr>
                <w:rFonts w:hint="default"/>
              </w:rPr>
            </w:pPr>
            <w:r>
              <w:t>1项</w:t>
            </w:r>
          </w:p>
        </w:tc>
        <w:tc>
          <w:tcPr>
            <w:tcW w:w="656" w:type="pct"/>
            <w:shd w:val="clear" w:color="auto" w:fill="auto"/>
            <w:vAlign w:val="center"/>
          </w:tcPr>
          <w:p w14:paraId="566FD6CD">
            <w:pPr>
              <w:pStyle w:val="28"/>
              <w:rPr>
                <w:rFonts w:hint="default"/>
              </w:rPr>
            </w:pPr>
            <w:r>
              <w:t>负责“无废城市”建设的相关部门</w:t>
            </w:r>
          </w:p>
        </w:tc>
        <w:tc>
          <w:tcPr>
            <w:tcW w:w="754" w:type="pct"/>
            <w:shd w:val="clear" w:color="auto" w:fill="auto"/>
            <w:vAlign w:val="center"/>
          </w:tcPr>
          <w:p w14:paraId="75929E2E">
            <w:pPr>
              <w:pStyle w:val="28"/>
              <w:rPr>
                <w:rFonts w:hint="default"/>
              </w:rPr>
            </w:pPr>
            <w:r>
              <w:t>“无废城市”建设工作领导小组成员单位</w:t>
            </w:r>
          </w:p>
        </w:tc>
      </w:tr>
      <w:tr w14:paraId="72A03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6D9A9D26">
            <w:pPr>
              <w:pStyle w:val="28"/>
              <w:numPr>
                <w:ilvl w:val="0"/>
                <w:numId w:val="9"/>
              </w:numPr>
              <w:rPr>
                <w:rFonts w:hint="default"/>
              </w:rPr>
            </w:pPr>
          </w:p>
        </w:tc>
        <w:tc>
          <w:tcPr>
            <w:tcW w:w="324" w:type="pct"/>
            <w:vMerge w:val="continue"/>
            <w:vAlign w:val="center"/>
          </w:tcPr>
          <w:p w14:paraId="0A0EE9FD">
            <w:pPr>
              <w:pStyle w:val="28"/>
              <w:rPr>
                <w:rFonts w:hint="default"/>
              </w:rPr>
            </w:pPr>
          </w:p>
        </w:tc>
        <w:tc>
          <w:tcPr>
            <w:tcW w:w="458" w:type="pct"/>
            <w:vMerge w:val="continue"/>
            <w:vAlign w:val="center"/>
          </w:tcPr>
          <w:p w14:paraId="2829DFC7">
            <w:pPr>
              <w:pStyle w:val="28"/>
              <w:rPr>
                <w:rFonts w:hint="default"/>
              </w:rPr>
            </w:pPr>
          </w:p>
        </w:tc>
        <w:tc>
          <w:tcPr>
            <w:tcW w:w="1080" w:type="pct"/>
            <w:shd w:val="clear" w:color="auto" w:fill="auto"/>
            <w:vAlign w:val="center"/>
          </w:tcPr>
          <w:p w14:paraId="5AAF201D">
            <w:pPr>
              <w:pStyle w:val="28"/>
              <w:rPr>
                <w:rFonts w:hint="default"/>
              </w:rPr>
            </w:pPr>
            <w:r>
              <w:t>“无废城市”建设协调机制★</w:t>
            </w:r>
          </w:p>
        </w:tc>
        <w:tc>
          <w:tcPr>
            <w:tcW w:w="506" w:type="pct"/>
            <w:shd w:val="clear" w:color="auto" w:fill="auto"/>
            <w:vAlign w:val="center"/>
          </w:tcPr>
          <w:p w14:paraId="5F51B002">
            <w:pPr>
              <w:pStyle w:val="28"/>
              <w:rPr>
                <w:rFonts w:hint="default"/>
              </w:rPr>
            </w:pPr>
            <w:r>
              <w:t>建立由市政府主要领导为组长的领导小组，下设办公室，设在市深入打好污染防治攻坚战指挥部办公室，实体化运行</w:t>
            </w:r>
          </w:p>
        </w:tc>
        <w:tc>
          <w:tcPr>
            <w:tcW w:w="460" w:type="pct"/>
            <w:shd w:val="clear" w:color="auto" w:fill="auto"/>
            <w:vAlign w:val="center"/>
          </w:tcPr>
          <w:p w14:paraId="1AC12C10">
            <w:pPr>
              <w:pStyle w:val="28"/>
              <w:rPr>
                <w:rFonts w:hint="default"/>
              </w:rPr>
            </w:pPr>
            <w:r>
              <w:t>/</w:t>
            </w:r>
          </w:p>
        </w:tc>
        <w:tc>
          <w:tcPr>
            <w:tcW w:w="502" w:type="pct"/>
            <w:shd w:val="clear" w:color="auto" w:fill="auto"/>
            <w:vAlign w:val="center"/>
          </w:tcPr>
          <w:p w14:paraId="55572483">
            <w:pPr>
              <w:pStyle w:val="28"/>
              <w:rPr>
                <w:rFonts w:hint="default"/>
              </w:rPr>
            </w:pPr>
            <w:r>
              <w:t>建立由区政府主要领导为组长的领导小组，下设办公室，设在区深入打好污染防治攻坚战指挥部办公室</w:t>
            </w:r>
          </w:p>
        </w:tc>
        <w:tc>
          <w:tcPr>
            <w:tcW w:w="656" w:type="pct"/>
            <w:shd w:val="clear" w:color="auto" w:fill="auto"/>
            <w:vAlign w:val="center"/>
          </w:tcPr>
          <w:p w14:paraId="5B57E1F4">
            <w:pPr>
              <w:pStyle w:val="28"/>
              <w:rPr>
                <w:rFonts w:hint="default"/>
              </w:rPr>
            </w:pPr>
            <w:r>
              <w:t>负责“无废城市”建设的相关部门</w:t>
            </w:r>
          </w:p>
        </w:tc>
        <w:tc>
          <w:tcPr>
            <w:tcW w:w="754" w:type="pct"/>
            <w:shd w:val="clear" w:color="auto" w:fill="auto"/>
            <w:vAlign w:val="center"/>
          </w:tcPr>
          <w:p w14:paraId="294D3585">
            <w:pPr>
              <w:pStyle w:val="28"/>
              <w:rPr>
                <w:rFonts w:hint="default"/>
              </w:rPr>
            </w:pPr>
            <w:r>
              <w:t>“无废城市”建设工作领导小组成员单位</w:t>
            </w:r>
          </w:p>
        </w:tc>
      </w:tr>
      <w:tr w14:paraId="32C5F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32D3C5F4">
            <w:pPr>
              <w:pStyle w:val="28"/>
              <w:numPr>
                <w:ilvl w:val="0"/>
                <w:numId w:val="9"/>
              </w:numPr>
              <w:rPr>
                <w:rFonts w:hint="default"/>
              </w:rPr>
            </w:pPr>
          </w:p>
        </w:tc>
        <w:tc>
          <w:tcPr>
            <w:tcW w:w="324" w:type="pct"/>
            <w:vMerge w:val="continue"/>
            <w:vAlign w:val="center"/>
          </w:tcPr>
          <w:p w14:paraId="0049C8F8">
            <w:pPr>
              <w:pStyle w:val="28"/>
              <w:rPr>
                <w:rFonts w:hint="default"/>
              </w:rPr>
            </w:pPr>
          </w:p>
        </w:tc>
        <w:tc>
          <w:tcPr>
            <w:tcW w:w="458" w:type="pct"/>
            <w:vMerge w:val="continue"/>
            <w:vAlign w:val="center"/>
          </w:tcPr>
          <w:p w14:paraId="5C480B84">
            <w:pPr>
              <w:pStyle w:val="28"/>
              <w:rPr>
                <w:rFonts w:hint="default"/>
              </w:rPr>
            </w:pPr>
          </w:p>
        </w:tc>
        <w:tc>
          <w:tcPr>
            <w:tcW w:w="1080" w:type="pct"/>
            <w:shd w:val="clear" w:color="auto" w:fill="auto"/>
            <w:vAlign w:val="center"/>
          </w:tcPr>
          <w:p w14:paraId="2D39B2B5">
            <w:pPr>
              <w:pStyle w:val="28"/>
              <w:rPr>
                <w:rFonts w:hint="default"/>
              </w:rPr>
            </w:pPr>
            <w:r>
              <w:t>“无废城市”建设成效纳入市污染防治攻坚成效考核☆</w:t>
            </w:r>
          </w:p>
        </w:tc>
        <w:tc>
          <w:tcPr>
            <w:tcW w:w="506" w:type="pct"/>
            <w:shd w:val="clear" w:color="auto" w:fill="auto"/>
            <w:vAlign w:val="center"/>
          </w:tcPr>
          <w:p w14:paraId="68A8546A">
            <w:pPr>
              <w:pStyle w:val="28"/>
              <w:rPr>
                <w:rFonts w:hint="default"/>
              </w:rPr>
            </w:pPr>
            <w:r>
              <w:t>纳入市污染防治攻坚成效考核</w:t>
            </w:r>
          </w:p>
        </w:tc>
        <w:tc>
          <w:tcPr>
            <w:tcW w:w="460" w:type="pct"/>
            <w:shd w:val="clear" w:color="auto" w:fill="auto"/>
            <w:vAlign w:val="center"/>
          </w:tcPr>
          <w:p w14:paraId="508108FF">
            <w:pPr>
              <w:pStyle w:val="28"/>
              <w:rPr>
                <w:rFonts w:hint="default"/>
              </w:rPr>
            </w:pPr>
            <w:r>
              <w:t>/</w:t>
            </w:r>
          </w:p>
        </w:tc>
        <w:tc>
          <w:tcPr>
            <w:tcW w:w="502" w:type="pct"/>
            <w:shd w:val="clear" w:color="auto" w:fill="auto"/>
            <w:vAlign w:val="center"/>
          </w:tcPr>
          <w:p w14:paraId="01EBCA1C">
            <w:pPr>
              <w:pStyle w:val="28"/>
              <w:rPr>
                <w:rFonts w:hint="default"/>
              </w:rPr>
            </w:pPr>
            <w:r>
              <w:t>纳入区污染防治攻坚成效考核</w:t>
            </w:r>
          </w:p>
        </w:tc>
        <w:tc>
          <w:tcPr>
            <w:tcW w:w="656" w:type="pct"/>
            <w:shd w:val="clear" w:color="auto" w:fill="auto"/>
            <w:vAlign w:val="center"/>
          </w:tcPr>
          <w:p w14:paraId="451DD306">
            <w:pPr>
              <w:pStyle w:val="28"/>
              <w:rPr>
                <w:rFonts w:hint="default"/>
              </w:rPr>
            </w:pPr>
            <w:r>
              <w:t>连云生态环境局</w:t>
            </w:r>
          </w:p>
        </w:tc>
        <w:tc>
          <w:tcPr>
            <w:tcW w:w="754" w:type="pct"/>
            <w:shd w:val="clear" w:color="auto" w:fill="auto"/>
            <w:vAlign w:val="center"/>
          </w:tcPr>
          <w:p w14:paraId="75E0A807">
            <w:pPr>
              <w:pStyle w:val="28"/>
              <w:rPr>
                <w:rFonts w:hint="default"/>
              </w:rPr>
            </w:pPr>
            <w:r>
              <w:t>“无废城市”建设工作领导小组成员单位</w:t>
            </w:r>
          </w:p>
        </w:tc>
      </w:tr>
      <w:tr w14:paraId="668D1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4C1A81FA">
            <w:pPr>
              <w:pStyle w:val="28"/>
              <w:numPr>
                <w:ilvl w:val="0"/>
                <w:numId w:val="9"/>
              </w:numPr>
              <w:rPr>
                <w:rFonts w:hint="default"/>
              </w:rPr>
            </w:pPr>
          </w:p>
        </w:tc>
        <w:tc>
          <w:tcPr>
            <w:tcW w:w="324" w:type="pct"/>
            <w:vMerge w:val="continue"/>
            <w:vAlign w:val="center"/>
          </w:tcPr>
          <w:p w14:paraId="4137C437">
            <w:pPr>
              <w:pStyle w:val="28"/>
              <w:rPr>
                <w:rFonts w:hint="default"/>
              </w:rPr>
            </w:pPr>
          </w:p>
        </w:tc>
        <w:tc>
          <w:tcPr>
            <w:tcW w:w="458" w:type="pct"/>
            <w:vMerge w:val="continue"/>
            <w:vAlign w:val="center"/>
          </w:tcPr>
          <w:p w14:paraId="2A99DD0E">
            <w:pPr>
              <w:pStyle w:val="28"/>
              <w:rPr>
                <w:rFonts w:hint="default"/>
              </w:rPr>
            </w:pPr>
          </w:p>
        </w:tc>
        <w:tc>
          <w:tcPr>
            <w:tcW w:w="1080" w:type="pct"/>
            <w:shd w:val="clear" w:color="auto" w:fill="auto"/>
            <w:vAlign w:val="center"/>
          </w:tcPr>
          <w:p w14:paraId="361CA4A9">
            <w:pPr>
              <w:pStyle w:val="28"/>
              <w:rPr>
                <w:rFonts w:hint="default"/>
              </w:rPr>
            </w:pPr>
            <w:r>
              <w:t>开展“无废细胞”建设的单位数量（机关、企事业单位、饭店、商场、集贸市场、社区、村镇）☆</w:t>
            </w:r>
          </w:p>
        </w:tc>
        <w:tc>
          <w:tcPr>
            <w:tcW w:w="506" w:type="pct"/>
            <w:shd w:val="clear" w:color="auto" w:fill="auto"/>
            <w:vAlign w:val="center"/>
          </w:tcPr>
          <w:p w14:paraId="28339DF8">
            <w:pPr>
              <w:pStyle w:val="28"/>
              <w:rPr>
                <w:rFonts w:hint="default"/>
              </w:rPr>
            </w:pPr>
            <w:r>
              <w:t>150个</w:t>
            </w:r>
          </w:p>
        </w:tc>
        <w:tc>
          <w:tcPr>
            <w:tcW w:w="460" w:type="pct"/>
            <w:shd w:val="clear" w:color="auto" w:fill="auto"/>
            <w:vAlign w:val="center"/>
          </w:tcPr>
          <w:p w14:paraId="53515A4A">
            <w:pPr>
              <w:pStyle w:val="28"/>
              <w:rPr>
                <w:rFonts w:hint="default"/>
              </w:rPr>
            </w:pPr>
            <w:r>
              <w:t>/</w:t>
            </w:r>
          </w:p>
        </w:tc>
        <w:tc>
          <w:tcPr>
            <w:tcW w:w="502" w:type="pct"/>
            <w:shd w:val="clear" w:color="auto" w:fill="auto"/>
            <w:vAlign w:val="center"/>
          </w:tcPr>
          <w:p w14:paraId="145DF2A0">
            <w:pPr>
              <w:pStyle w:val="28"/>
              <w:rPr>
                <w:rFonts w:hint="default"/>
              </w:rPr>
            </w:pPr>
            <w:r>
              <w:t>15个（</w:t>
            </w:r>
            <w:r>
              <w:rPr>
                <w:rFonts w:cs="Times New Roman"/>
              </w:rPr>
              <w:t>暂定，具体数量根据连云港市“无废细胞”建设相关要求确定</w:t>
            </w:r>
            <w:r>
              <w:t>）</w:t>
            </w:r>
          </w:p>
        </w:tc>
        <w:tc>
          <w:tcPr>
            <w:tcW w:w="656" w:type="pct"/>
            <w:shd w:val="clear" w:color="auto" w:fill="auto"/>
            <w:vAlign w:val="center"/>
          </w:tcPr>
          <w:p w14:paraId="31163FF4">
            <w:pPr>
              <w:pStyle w:val="28"/>
              <w:rPr>
                <w:rFonts w:hint="default"/>
              </w:rPr>
            </w:pPr>
            <w:r>
              <w:t>负责“无废城市”建设的相关部门</w:t>
            </w:r>
          </w:p>
        </w:tc>
        <w:tc>
          <w:tcPr>
            <w:tcW w:w="754" w:type="pct"/>
            <w:shd w:val="clear" w:color="auto" w:fill="auto"/>
            <w:vAlign w:val="center"/>
          </w:tcPr>
          <w:p w14:paraId="102576C2">
            <w:pPr>
              <w:pStyle w:val="28"/>
              <w:rPr>
                <w:rFonts w:hint="default"/>
              </w:rPr>
            </w:pPr>
            <w:r>
              <w:t>“无废城市”建设工作领导小组成员单位</w:t>
            </w:r>
          </w:p>
        </w:tc>
      </w:tr>
      <w:tr w14:paraId="78CA4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7E95A991">
            <w:pPr>
              <w:pStyle w:val="28"/>
              <w:numPr>
                <w:ilvl w:val="0"/>
                <w:numId w:val="9"/>
              </w:numPr>
              <w:rPr>
                <w:rFonts w:hint="default"/>
              </w:rPr>
            </w:pPr>
          </w:p>
        </w:tc>
        <w:tc>
          <w:tcPr>
            <w:tcW w:w="324" w:type="pct"/>
            <w:vMerge w:val="continue"/>
            <w:vAlign w:val="center"/>
          </w:tcPr>
          <w:p w14:paraId="385FF1B2">
            <w:pPr>
              <w:pStyle w:val="28"/>
              <w:rPr>
                <w:rFonts w:hint="default"/>
              </w:rPr>
            </w:pPr>
          </w:p>
        </w:tc>
        <w:tc>
          <w:tcPr>
            <w:tcW w:w="458" w:type="pct"/>
            <w:vMerge w:val="restart"/>
            <w:shd w:val="clear" w:color="auto" w:fill="auto"/>
            <w:vAlign w:val="center"/>
          </w:tcPr>
          <w:p w14:paraId="1E5CA9D7">
            <w:pPr>
              <w:pStyle w:val="28"/>
              <w:rPr>
                <w:rFonts w:hint="default"/>
              </w:rPr>
            </w:pPr>
            <w:r>
              <w:t>市场体系建设</w:t>
            </w:r>
          </w:p>
        </w:tc>
        <w:tc>
          <w:tcPr>
            <w:tcW w:w="1080" w:type="pct"/>
            <w:shd w:val="clear" w:color="auto" w:fill="auto"/>
            <w:vAlign w:val="center"/>
          </w:tcPr>
          <w:p w14:paraId="38EE26BE">
            <w:pPr>
              <w:pStyle w:val="28"/>
              <w:rPr>
                <w:rFonts w:hint="default"/>
              </w:rPr>
            </w:pPr>
            <w:r>
              <w:t>“无废城市”建设项目投资总额★</w:t>
            </w:r>
          </w:p>
        </w:tc>
        <w:tc>
          <w:tcPr>
            <w:tcW w:w="506" w:type="pct"/>
            <w:shd w:val="clear" w:color="auto" w:fill="auto"/>
            <w:vAlign w:val="center"/>
          </w:tcPr>
          <w:p w14:paraId="7B086C54">
            <w:pPr>
              <w:pStyle w:val="28"/>
              <w:rPr>
                <w:rFonts w:hint="default"/>
              </w:rPr>
            </w:pPr>
            <w:r>
              <w:t>124亿元</w:t>
            </w:r>
          </w:p>
        </w:tc>
        <w:tc>
          <w:tcPr>
            <w:tcW w:w="460" w:type="pct"/>
            <w:shd w:val="clear" w:color="auto" w:fill="auto"/>
            <w:vAlign w:val="center"/>
          </w:tcPr>
          <w:p w14:paraId="3827830F">
            <w:pPr>
              <w:pStyle w:val="28"/>
              <w:rPr>
                <w:rFonts w:hint="default"/>
              </w:rPr>
            </w:pPr>
            <w:r>
              <w:t>/</w:t>
            </w:r>
          </w:p>
        </w:tc>
        <w:tc>
          <w:tcPr>
            <w:tcW w:w="502" w:type="pct"/>
            <w:shd w:val="clear" w:color="auto" w:fill="auto"/>
            <w:vAlign w:val="center"/>
          </w:tcPr>
          <w:p w14:paraId="174D6C71">
            <w:pPr>
              <w:pStyle w:val="28"/>
              <w:rPr>
                <w:rFonts w:hint="default"/>
              </w:rPr>
            </w:pPr>
            <w:r>
              <w:t>70.59亿元</w:t>
            </w:r>
          </w:p>
        </w:tc>
        <w:tc>
          <w:tcPr>
            <w:tcW w:w="656" w:type="pct"/>
            <w:shd w:val="clear" w:color="auto" w:fill="auto"/>
            <w:vAlign w:val="center"/>
          </w:tcPr>
          <w:p w14:paraId="414DE65A">
            <w:pPr>
              <w:pStyle w:val="28"/>
              <w:rPr>
                <w:rFonts w:hint="default"/>
              </w:rPr>
            </w:pPr>
            <w:r>
              <w:t>连云生态环境局、人民银行市中心支行及相关部门</w:t>
            </w:r>
          </w:p>
        </w:tc>
        <w:tc>
          <w:tcPr>
            <w:tcW w:w="754" w:type="pct"/>
            <w:shd w:val="clear" w:color="auto" w:fill="auto"/>
            <w:vAlign w:val="center"/>
          </w:tcPr>
          <w:p w14:paraId="4FCBCF58">
            <w:pPr>
              <w:pStyle w:val="28"/>
              <w:rPr>
                <w:rFonts w:hint="default"/>
              </w:rPr>
            </w:pPr>
            <w:r>
              <w:t>“无废城市”建设工作领导小组成员单位</w:t>
            </w:r>
          </w:p>
        </w:tc>
      </w:tr>
      <w:tr w14:paraId="1A758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5AE2CDD8">
            <w:pPr>
              <w:pStyle w:val="28"/>
              <w:numPr>
                <w:ilvl w:val="0"/>
                <w:numId w:val="9"/>
              </w:numPr>
              <w:rPr>
                <w:rFonts w:hint="default"/>
              </w:rPr>
            </w:pPr>
          </w:p>
        </w:tc>
        <w:tc>
          <w:tcPr>
            <w:tcW w:w="324" w:type="pct"/>
            <w:vMerge w:val="continue"/>
            <w:vAlign w:val="center"/>
          </w:tcPr>
          <w:p w14:paraId="3CC92ADD">
            <w:pPr>
              <w:pStyle w:val="28"/>
              <w:rPr>
                <w:rFonts w:hint="default"/>
              </w:rPr>
            </w:pPr>
          </w:p>
        </w:tc>
        <w:tc>
          <w:tcPr>
            <w:tcW w:w="458" w:type="pct"/>
            <w:vMerge w:val="continue"/>
            <w:vAlign w:val="center"/>
          </w:tcPr>
          <w:p w14:paraId="57B4CCFB">
            <w:pPr>
              <w:pStyle w:val="28"/>
              <w:rPr>
                <w:rFonts w:hint="default"/>
              </w:rPr>
            </w:pPr>
          </w:p>
        </w:tc>
        <w:tc>
          <w:tcPr>
            <w:tcW w:w="1080" w:type="pct"/>
            <w:shd w:val="clear" w:color="auto" w:fill="auto"/>
            <w:vAlign w:val="center"/>
          </w:tcPr>
          <w:p w14:paraId="41C6828B">
            <w:pPr>
              <w:pStyle w:val="28"/>
              <w:rPr>
                <w:rFonts w:hint="default"/>
              </w:rPr>
            </w:pPr>
            <w:r>
              <w:t>纳入企业环境信用评价范围的固体废物相关企业数量占比☆</w:t>
            </w:r>
          </w:p>
        </w:tc>
        <w:tc>
          <w:tcPr>
            <w:tcW w:w="506" w:type="pct"/>
            <w:shd w:val="clear" w:color="auto" w:fill="auto"/>
            <w:vAlign w:val="center"/>
          </w:tcPr>
          <w:p w14:paraId="17334002">
            <w:pPr>
              <w:pStyle w:val="28"/>
              <w:rPr>
                <w:rFonts w:hint="default"/>
              </w:rPr>
            </w:pPr>
            <w:r>
              <w:t>100%</w:t>
            </w:r>
          </w:p>
        </w:tc>
        <w:tc>
          <w:tcPr>
            <w:tcW w:w="460" w:type="pct"/>
            <w:shd w:val="clear" w:color="auto" w:fill="auto"/>
            <w:vAlign w:val="center"/>
          </w:tcPr>
          <w:p w14:paraId="2F423300">
            <w:pPr>
              <w:pStyle w:val="28"/>
              <w:rPr>
                <w:rFonts w:hint="default"/>
              </w:rPr>
            </w:pPr>
            <w:r>
              <w:t>100%</w:t>
            </w:r>
          </w:p>
        </w:tc>
        <w:tc>
          <w:tcPr>
            <w:tcW w:w="502" w:type="pct"/>
            <w:shd w:val="clear" w:color="auto" w:fill="auto"/>
            <w:vAlign w:val="center"/>
          </w:tcPr>
          <w:p w14:paraId="0C76E098">
            <w:pPr>
              <w:pStyle w:val="28"/>
              <w:rPr>
                <w:rFonts w:hint="default"/>
              </w:rPr>
            </w:pPr>
            <w:r>
              <w:t>100%</w:t>
            </w:r>
          </w:p>
        </w:tc>
        <w:tc>
          <w:tcPr>
            <w:tcW w:w="656" w:type="pct"/>
            <w:shd w:val="clear" w:color="auto" w:fill="auto"/>
            <w:vAlign w:val="center"/>
          </w:tcPr>
          <w:p w14:paraId="38FEA374">
            <w:pPr>
              <w:pStyle w:val="28"/>
              <w:rPr>
                <w:rFonts w:hint="default"/>
              </w:rPr>
            </w:pPr>
            <w:r>
              <w:t>连云生态环境局</w:t>
            </w:r>
          </w:p>
        </w:tc>
        <w:tc>
          <w:tcPr>
            <w:tcW w:w="754" w:type="pct"/>
            <w:shd w:val="clear" w:color="auto" w:fill="auto"/>
            <w:vAlign w:val="center"/>
          </w:tcPr>
          <w:p w14:paraId="44B5D32F">
            <w:pPr>
              <w:pStyle w:val="28"/>
              <w:rPr>
                <w:rFonts w:hint="default"/>
              </w:rPr>
            </w:pPr>
            <w:r>
              <w:t>连云生态环境局</w:t>
            </w:r>
          </w:p>
        </w:tc>
      </w:tr>
      <w:tr w14:paraId="5CA3E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6700AFE5">
            <w:pPr>
              <w:pStyle w:val="28"/>
              <w:numPr>
                <w:ilvl w:val="0"/>
                <w:numId w:val="9"/>
              </w:numPr>
              <w:rPr>
                <w:rFonts w:hint="default"/>
              </w:rPr>
            </w:pPr>
          </w:p>
        </w:tc>
        <w:tc>
          <w:tcPr>
            <w:tcW w:w="324" w:type="pct"/>
            <w:vMerge w:val="continue"/>
            <w:vAlign w:val="center"/>
          </w:tcPr>
          <w:p w14:paraId="577E73E3">
            <w:pPr>
              <w:pStyle w:val="28"/>
              <w:rPr>
                <w:rFonts w:hint="default"/>
              </w:rPr>
            </w:pPr>
          </w:p>
        </w:tc>
        <w:tc>
          <w:tcPr>
            <w:tcW w:w="458" w:type="pct"/>
            <w:vMerge w:val="continue"/>
            <w:vAlign w:val="center"/>
          </w:tcPr>
          <w:p w14:paraId="2F4596A8">
            <w:pPr>
              <w:pStyle w:val="28"/>
              <w:rPr>
                <w:rFonts w:hint="default"/>
              </w:rPr>
            </w:pPr>
          </w:p>
        </w:tc>
        <w:tc>
          <w:tcPr>
            <w:tcW w:w="1080" w:type="pct"/>
            <w:shd w:val="clear" w:color="auto" w:fill="auto"/>
            <w:vAlign w:val="center"/>
          </w:tcPr>
          <w:p w14:paraId="527FCC8E">
            <w:pPr>
              <w:pStyle w:val="28"/>
              <w:rPr>
                <w:rFonts w:hint="default"/>
              </w:rPr>
            </w:pPr>
            <w:r>
              <w:t>危险废物经营单位环境污染责任保险覆盖率☆</w:t>
            </w:r>
          </w:p>
        </w:tc>
        <w:tc>
          <w:tcPr>
            <w:tcW w:w="506" w:type="pct"/>
            <w:shd w:val="clear" w:color="auto" w:fill="auto"/>
            <w:vAlign w:val="center"/>
          </w:tcPr>
          <w:p w14:paraId="33B46696">
            <w:pPr>
              <w:pStyle w:val="28"/>
              <w:rPr>
                <w:rFonts w:hint="default"/>
              </w:rPr>
            </w:pPr>
            <w:r>
              <w:t>100%</w:t>
            </w:r>
          </w:p>
        </w:tc>
        <w:tc>
          <w:tcPr>
            <w:tcW w:w="460" w:type="pct"/>
            <w:shd w:val="clear" w:color="auto" w:fill="auto"/>
            <w:vAlign w:val="center"/>
          </w:tcPr>
          <w:p w14:paraId="544A6ECB">
            <w:pPr>
              <w:pStyle w:val="28"/>
              <w:rPr>
                <w:rFonts w:hint="default"/>
              </w:rPr>
            </w:pPr>
            <w:r>
              <w:t>100%</w:t>
            </w:r>
          </w:p>
        </w:tc>
        <w:tc>
          <w:tcPr>
            <w:tcW w:w="502" w:type="pct"/>
            <w:shd w:val="clear" w:color="auto" w:fill="auto"/>
            <w:vAlign w:val="center"/>
          </w:tcPr>
          <w:p w14:paraId="03D0BA54">
            <w:pPr>
              <w:pStyle w:val="28"/>
              <w:rPr>
                <w:rFonts w:hint="default"/>
              </w:rPr>
            </w:pPr>
            <w:r>
              <w:t>100%</w:t>
            </w:r>
          </w:p>
        </w:tc>
        <w:tc>
          <w:tcPr>
            <w:tcW w:w="656" w:type="pct"/>
            <w:shd w:val="clear" w:color="auto" w:fill="auto"/>
            <w:vAlign w:val="center"/>
          </w:tcPr>
          <w:p w14:paraId="21E655CC">
            <w:pPr>
              <w:pStyle w:val="28"/>
              <w:rPr>
                <w:rFonts w:hint="default"/>
              </w:rPr>
            </w:pPr>
            <w:r>
              <w:t>连云生态环境局</w:t>
            </w:r>
          </w:p>
        </w:tc>
        <w:tc>
          <w:tcPr>
            <w:tcW w:w="754" w:type="pct"/>
            <w:shd w:val="clear" w:color="auto" w:fill="auto"/>
            <w:vAlign w:val="center"/>
          </w:tcPr>
          <w:p w14:paraId="4765D0E0">
            <w:pPr>
              <w:pStyle w:val="28"/>
              <w:rPr>
                <w:rFonts w:hint="default"/>
              </w:rPr>
            </w:pPr>
            <w:r>
              <w:t>连云生态环境局</w:t>
            </w:r>
          </w:p>
        </w:tc>
      </w:tr>
      <w:tr w14:paraId="735E4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687AA7BC">
            <w:pPr>
              <w:pStyle w:val="28"/>
              <w:numPr>
                <w:ilvl w:val="0"/>
                <w:numId w:val="9"/>
              </w:numPr>
              <w:rPr>
                <w:rFonts w:hint="default"/>
              </w:rPr>
            </w:pPr>
          </w:p>
        </w:tc>
        <w:tc>
          <w:tcPr>
            <w:tcW w:w="324" w:type="pct"/>
            <w:vMerge w:val="continue"/>
            <w:vAlign w:val="center"/>
          </w:tcPr>
          <w:p w14:paraId="7FFCFCD4">
            <w:pPr>
              <w:pStyle w:val="28"/>
              <w:rPr>
                <w:rFonts w:hint="default"/>
              </w:rPr>
            </w:pPr>
          </w:p>
        </w:tc>
        <w:tc>
          <w:tcPr>
            <w:tcW w:w="458" w:type="pct"/>
            <w:shd w:val="clear" w:color="auto" w:fill="auto"/>
            <w:vAlign w:val="center"/>
          </w:tcPr>
          <w:p w14:paraId="3E147A98">
            <w:pPr>
              <w:pStyle w:val="28"/>
              <w:rPr>
                <w:rFonts w:hint="default"/>
              </w:rPr>
            </w:pPr>
            <w:r>
              <w:t>技术体系建设</w:t>
            </w:r>
          </w:p>
        </w:tc>
        <w:tc>
          <w:tcPr>
            <w:tcW w:w="1080" w:type="pct"/>
            <w:shd w:val="clear" w:color="auto" w:fill="auto"/>
            <w:vAlign w:val="center"/>
          </w:tcPr>
          <w:p w14:paraId="7927FECC">
            <w:pPr>
              <w:pStyle w:val="28"/>
              <w:rPr>
                <w:rFonts w:hint="default"/>
              </w:rPr>
            </w:pPr>
            <w:r>
              <w:t>固体废物回收利用处置关键技术工艺、设备研发及成果转化☆</w:t>
            </w:r>
          </w:p>
        </w:tc>
        <w:tc>
          <w:tcPr>
            <w:tcW w:w="506" w:type="pct"/>
            <w:shd w:val="clear" w:color="auto" w:fill="auto"/>
            <w:vAlign w:val="center"/>
          </w:tcPr>
          <w:p w14:paraId="1341751A">
            <w:pPr>
              <w:pStyle w:val="28"/>
              <w:rPr>
                <w:rFonts w:hint="default"/>
              </w:rPr>
            </w:pPr>
            <w:r>
              <w:t>1项</w:t>
            </w:r>
          </w:p>
        </w:tc>
        <w:tc>
          <w:tcPr>
            <w:tcW w:w="460" w:type="pct"/>
            <w:shd w:val="clear" w:color="auto" w:fill="auto"/>
            <w:vAlign w:val="center"/>
          </w:tcPr>
          <w:p w14:paraId="1358CC42">
            <w:pPr>
              <w:pStyle w:val="28"/>
              <w:rPr>
                <w:rFonts w:hint="default"/>
              </w:rPr>
            </w:pPr>
            <w:r>
              <w:t>/</w:t>
            </w:r>
          </w:p>
        </w:tc>
        <w:tc>
          <w:tcPr>
            <w:tcW w:w="502" w:type="pct"/>
            <w:shd w:val="clear" w:color="auto" w:fill="auto"/>
            <w:vAlign w:val="center"/>
          </w:tcPr>
          <w:p w14:paraId="565C452C">
            <w:pPr>
              <w:pStyle w:val="28"/>
              <w:rPr>
                <w:rFonts w:hint="default"/>
              </w:rPr>
            </w:pPr>
            <w:r>
              <w:t>1项</w:t>
            </w:r>
          </w:p>
        </w:tc>
        <w:tc>
          <w:tcPr>
            <w:tcW w:w="656" w:type="pct"/>
            <w:shd w:val="clear" w:color="auto" w:fill="auto"/>
            <w:vAlign w:val="center"/>
          </w:tcPr>
          <w:p w14:paraId="675AC692">
            <w:pPr>
              <w:pStyle w:val="28"/>
              <w:rPr>
                <w:rFonts w:hint="default"/>
              </w:rPr>
            </w:pPr>
            <w:r>
              <w:t>负责“无废城市”建设的相关部门</w:t>
            </w:r>
          </w:p>
        </w:tc>
        <w:tc>
          <w:tcPr>
            <w:tcW w:w="754" w:type="pct"/>
            <w:shd w:val="clear" w:color="auto" w:fill="auto"/>
            <w:vAlign w:val="center"/>
          </w:tcPr>
          <w:p w14:paraId="42CA8BCB">
            <w:pPr>
              <w:pStyle w:val="28"/>
              <w:rPr>
                <w:rFonts w:hint="default"/>
              </w:rPr>
            </w:pPr>
            <w:r>
              <w:t>“无废城市”建设工作领导小组成员单位</w:t>
            </w:r>
          </w:p>
        </w:tc>
      </w:tr>
      <w:tr w14:paraId="10C4B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6BA936A7">
            <w:pPr>
              <w:pStyle w:val="28"/>
              <w:numPr>
                <w:ilvl w:val="0"/>
                <w:numId w:val="9"/>
              </w:numPr>
              <w:rPr>
                <w:rFonts w:hint="default"/>
              </w:rPr>
            </w:pPr>
          </w:p>
        </w:tc>
        <w:tc>
          <w:tcPr>
            <w:tcW w:w="324" w:type="pct"/>
            <w:vMerge w:val="continue"/>
            <w:vAlign w:val="center"/>
          </w:tcPr>
          <w:p w14:paraId="47324D07">
            <w:pPr>
              <w:pStyle w:val="28"/>
              <w:rPr>
                <w:rFonts w:hint="default"/>
              </w:rPr>
            </w:pPr>
          </w:p>
        </w:tc>
        <w:tc>
          <w:tcPr>
            <w:tcW w:w="458" w:type="pct"/>
            <w:vMerge w:val="restart"/>
            <w:shd w:val="clear" w:color="auto" w:fill="auto"/>
            <w:vAlign w:val="center"/>
          </w:tcPr>
          <w:p w14:paraId="05FC32C3">
            <w:pPr>
              <w:pStyle w:val="28"/>
              <w:rPr>
                <w:rFonts w:hint="default"/>
              </w:rPr>
            </w:pPr>
            <w:r>
              <w:t>监管体系建设</w:t>
            </w:r>
          </w:p>
        </w:tc>
        <w:tc>
          <w:tcPr>
            <w:tcW w:w="1080" w:type="pct"/>
            <w:shd w:val="clear" w:color="auto" w:fill="auto"/>
            <w:vAlign w:val="center"/>
          </w:tcPr>
          <w:p w14:paraId="2C203593">
            <w:pPr>
              <w:pStyle w:val="28"/>
              <w:rPr>
                <w:rFonts w:hint="default"/>
              </w:rPr>
            </w:pPr>
            <w:r>
              <w:t>固体废物管理信息化监管情况★</w:t>
            </w:r>
          </w:p>
        </w:tc>
        <w:tc>
          <w:tcPr>
            <w:tcW w:w="506" w:type="pct"/>
            <w:shd w:val="clear" w:color="auto" w:fill="auto"/>
            <w:vAlign w:val="center"/>
          </w:tcPr>
          <w:p w14:paraId="7F3A16FD">
            <w:pPr>
              <w:pStyle w:val="28"/>
              <w:rPr>
                <w:rFonts w:hint="default"/>
              </w:rPr>
            </w:pPr>
            <w:r>
              <w:t>搭建一体化平台</w:t>
            </w:r>
          </w:p>
        </w:tc>
        <w:tc>
          <w:tcPr>
            <w:tcW w:w="460" w:type="pct"/>
            <w:shd w:val="clear" w:color="auto" w:fill="auto"/>
            <w:vAlign w:val="center"/>
          </w:tcPr>
          <w:p w14:paraId="2C932E38">
            <w:pPr>
              <w:pStyle w:val="28"/>
              <w:rPr>
                <w:rFonts w:hint="default"/>
              </w:rPr>
            </w:pPr>
            <w:r>
              <w:t>各类固体废物信息化监管系统未打通</w:t>
            </w:r>
          </w:p>
        </w:tc>
        <w:tc>
          <w:tcPr>
            <w:tcW w:w="502" w:type="pct"/>
            <w:shd w:val="clear" w:color="auto" w:fill="auto"/>
            <w:vAlign w:val="center"/>
          </w:tcPr>
          <w:p w14:paraId="0E294C58">
            <w:pPr>
              <w:pStyle w:val="28"/>
              <w:rPr>
                <w:rFonts w:hint="default"/>
              </w:rPr>
            </w:pPr>
            <w:r>
              <w:t>各类固废纳入连云港市固体废物管理信息化监管平台</w:t>
            </w:r>
          </w:p>
        </w:tc>
        <w:tc>
          <w:tcPr>
            <w:tcW w:w="656" w:type="pct"/>
            <w:shd w:val="clear" w:color="auto" w:fill="auto"/>
            <w:vAlign w:val="center"/>
          </w:tcPr>
          <w:p w14:paraId="3868F0C3">
            <w:pPr>
              <w:pStyle w:val="28"/>
              <w:rPr>
                <w:rFonts w:hint="default"/>
              </w:rPr>
            </w:pPr>
            <w:r>
              <w:t>负责“无废城市”建设的相关部门</w:t>
            </w:r>
          </w:p>
        </w:tc>
        <w:tc>
          <w:tcPr>
            <w:tcW w:w="754" w:type="pct"/>
            <w:shd w:val="clear" w:color="auto" w:fill="auto"/>
            <w:vAlign w:val="center"/>
          </w:tcPr>
          <w:p w14:paraId="26B2B917">
            <w:pPr>
              <w:pStyle w:val="28"/>
              <w:rPr>
                <w:rFonts w:hint="default"/>
              </w:rPr>
            </w:pPr>
            <w:r>
              <w:t>连云生态环境局、区农业农村局、区城管局、区商务局、区卫健委</w:t>
            </w:r>
          </w:p>
        </w:tc>
      </w:tr>
      <w:tr w14:paraId="5AC91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3D90A134">
            <w:pPr>
              <w:pStyle w:val="28"/>
              <w:numPr>
                <w:ilvl w:val="0"/>
                <w:numId w:val="9"/>
              </w:numPr>
              <w:rPr>
                <w:rFonts w:hint="default"/>
              </w:rPr>
            </w:pPr>
          </w:p>
        </w:tc>
        <w:tc>
          <w:tcPr>
            <w:tcW w:w="324" w:type="pct"/>
            <w:vMerge w:val="continue"/>
            <w:vAlign w:val="center"/>
          </w:tcPr>
          <w:p w14:paraId="1BD64FC0">
            <w:pPr>
              <w:pStyle w:val="28"/>
              <w:rPr>
                <w:rFonts w:hint="default"/>
              </w:rPr>
            </w:pPr>
          </w:p>
        </w:tc>
        <w:tc>
          <w:tcPr>
            <w:tcW w:w="458" w:type="pct"/>
            <w:vMerge w:val="continue"/>
            <w:vAlign w:val="center"/>
          </w:tcPr>
          <w:p w14:paraId="38969C8E">
            <w:pPr>
              <w:pStyle w:val="28"/>
              <w:rPr>
                <w:rFonts w:hint="default"/>
              </w:rPr>
            </w:pPr>
          </w:p>
        </w:tc>
        <w:tc>
          <w:tcPr>
            <w:tcW w:w="1080" w:type="pct"/>
            <w:shd w:val="clear" w:color="auto" w:fill="auto"/>
            <w:vAlign w:val="center"/>
          </w:tcPr>
          <w:p w14:paraId="5A56F623">
            <w:pPr>
              <w:pStyle w:val="28"/>
              <w:rPr>
                <w:rFonts w:hint="default"/>
              </w:rPr>
            </w:pPr>
            <w:r>
              <w:t>纳入危险废物全生命周期监控系统的重点涉废企业视频联网率★</w:t>
            </w:r>
          </w:p>
        </w:tc>
        <w:tc>
          <w:tcPr>
            <w:tcW w:w="506" w:type="pct"/>
            <w:shd w:val="clear" w:color="auto" w:fill="auto"/>
            <w:vAlign w:val="center"/>
          </w:tcPr>
          <w:p w14:paraId="3A281BEB">
            <w:pPr>
              <w:pStyle w:val="28"/>
              <w:rPr>
                <w:rFonts w:hint="default"/>
              </w:rPr>
            </w:pPr>
            <w:r>
              <w:t>100%</w:t>
            </w:r>
          </w:p>
        </w:tc>
        <w:tc>
          <w:tcPr>
            <w:tcW w:w="460" w:type="pct"/>
            <w:shd w:val="clear" w:color="auto" w:fill="auto"/>
            <w:vAlign w:val="center"/>
          </w:tcPr>
          <w:p w14:paraId="27003BAA">
            <w:pPr>
              <w:pStyle w:val="28"/>
              <w:rPr>
                <w:rFonts w:hint="default"/>
              </w:rPr>
            </w:pPr>
            <w:r>
              <w:t>100%</w:t>
            </w:r>
          </w:p>
        </w:tc>
        <w:tc>
          <w:tcPr>
            <w:tcW w:w="502" w:type="pct"/>
            <w:shd w:val="clear" w:color="auto" w:fill="auto"/>
            <w:vAlign w:val="center"/>
          </w:tcPr>
          <w:p w14:paraId="4FBC6D1A">
            <w:pPr>
              <w:pStyle w:val="28"/>
              <w:rPr>
                <w:rFonts w:hint="default"/>
              </w:rPr>
            </w:pPr>
            <w:r>
              <w:t>100%</w:t>
            </w:r>
          </w:p>
        </w:tc>
        <w:tc>
          <w:tcPr>
            <w:tcW w:w="656" w:type="pct"/>
            <w:shd w:val="clear" w:color="auto" w:fill="auto"/>
            <w:vAlign w:val="center"/>
          </w:tcPr>
          <w:p w14:paraId="20ADF87F">
            <w:pPr>
              <w:pStyle w:val="28"/>
              <w:rPr>
                <w:rFonts w:hint="default"/>
              </w:rPr>
            </w:pPr>
            <w:r>
              <w:t>连云生态环境局</w:t>
            </w:r>
          </w:p>
        </w:tc>
        <w:tc>
          <w:tcPr>
            <w:tcW w:w="754" w:type="pct"/>
            <w:shd w:val="clear" w:color="auto" w:fill="auto"/>
            <w:vAlign w:val="center"/>
          </w:tcPr>
          <w:p w14:paraId="71822BFB">
            <w:pPr>
              <w:pStyle w:val="28"/>
              <w:rPr>
                <w:rFonts w:hint="default"/>
              </w:rPr>
            </w:pPr>
            <w:r>
              <w:t>连云生态环境局</w:t>
            </w:r>
          </w:p>
        </w:tc>
      </w:tr>
      <w:tr w14:paraId="1C0BF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0CBDD063">
            <w:pPr>
              <w:pStyle w:val="28"/>
              <w:numPr>
                <w:ilvl w:val="0"/>
                <w:numId w:val="9"/>
              </w:numPr>
              <w:rPr>
                <w:rFonts w:hint="default"/>
              </w:rPr>
            </w:pPr>
          </w:p>
        </w:tc>
        <w:tc>
          <w:tcPr>
            <w:tcW w:w="324" w:type="pct"/>
            <w:vMerge w:val="continue"/>
            <w:vAlign w:val="center"/>
          </w:tcPr>
          <w:p w14:paraId="15849EB2">
            <w:pPr>
              <w:pStyle w:val="28"/>
              <w:rPr>
                <w:rFonts w:hint="default"/>
              </w:rPr>
            </w:pPr>
          </w:p>
        </w:tc>
        <w:tc>
          <w:tcPr>
            <w:tcW w:w="458" w:type="pct"/>
            <w:vMerge w:val="continue"/>
            <w:vAlign w:val="center"/>
          </w:tcPr>
          <w:p w14:paraId="2438D220">
            <w:pPr>
              <w:pStyle w:val="28"/>
              <w:rPr>
                <w:rFonts w:hint="default"/>
              </w:rPr>
            </w:pPr>
          </w:p>
        </w:tc>
        <w:tc>
          <w:tcPr>
            <w:tcW w:w="1080" w:type="pct"/>
            <w:shd w:val="clear" w:color="auto" w:fill="auto"/>
            <w:vAlign w:val="center"/>
          </w:tcPr>
          <w:p w14:paraId="283605A8">
            <w:pPr>
              <w:pStyle w:val="28"/>
              <w:rPr>
                <w:rFonts w:hint="default"/>
              </w:rPr>
            </w:pPr>
            <w:r>
              <w:t>固体废物环境污染刑事案件立案率★</w:t>
            </w:r>
          </w:p>
        </w:tc>
        <w:tc>
          <w:tcPr>
            <w:tcW w:w="506" w:type="pct"/>
            <w:shd w:val="clear" w:color="auto" w:fill="auto"/>
            <w:vAlign w:val="center"/>
          </w:tcPr>
          <w:p w14:paraId="52DF19AB">
            <w:pPr>
              <w:pStyle w:val="28"/>
              <w:rPr>
                <w:rFonts w:hint="default"/>
              </w:rPr>
            </w:pPr>
            <w:r>
              <w:t>100%</w:t>
            </w:r>
          </w:p>
        </w:tc>
        <w:tc>
          <w:tcPr>
            <w:tcW w:w="460" w:type="pct"/>
            <w:shd w:val="clear" w:color="auto" w:fill="auto"/>
            <w:vAlign w:val="center"/>
          </w:tcPr>
          <w:p w14:paraId="6782B6EE">
            <w:pPr>
              <w:pStyle w:val="28"/>
              <w:rPr>
                <w:rFonts w:hint="default"/>
              </w:rPr>
            </w:pPr>
            <w:r>
              <w:t>无固体废物环境污染刑事案件</w:t>
            </w:r>
          </w:p>
        </w:tc>
        <w:tc>
          <w:tcPr>
            <w:tcW w:w="502" w:type="pct"/>
            <w:shd w:val="clear" w:color="auto" w:fill="auto"/>
            <w:vAlign w:val="center"/>
          </w:tcPr>
          <w:p w14:paraId="718EB379">
            <w:pPr>
              <w:pStyle w:val="28"/>
              <w:rPr>
                <w:rFonts w:hint="default"/>
              </w:rPr>
            </w:pPr>
            <w:r>
              <w:t>100%</w:t>
            </w:r>
          </w:p>
        </w:tc>
        <w:tc>
          <w:tcPr>
            <w:tcW w:w="656" w:type="pct"/>
            <w:shd w:val="clear" w:color="auto" w:fill="auto"/>
            <w:vAlign w:val="center"/>
          </w:tcPr>
          <w:p w14:paraId="58D5C6A0">
            <w:pPr>
              <w:pStyle w:val="28"/>
              <w:rPr>
                <w:rFonts w:hint="default"/>
              </w:rPr>
            </w:pPr>
            <w:r>
              <w:t>连云公安分局、连云生态环境局</w:t>
            </w:r>
          </w:p>
        </w:tc>
        <w:tc>
          <w:tcPr>
            <w:tcW w:w="754" w:type="pct"/>
            <w:shd w:val="clear" w:color="auto" w:fill="auto"/>
            <w:vAlign w:val="center"/>
          </w:tcPr>
          <w:p w14:paraId="52C70808">
            <w:pPr>
              <w:pStyle w:val="28"/>
              <w:rPr>
                <w:rFonts w:hint="default"/>
              </w:rPr>
            </w:pPr>
            <w:r>
              <w:t>连云公安分局、连云生态环境局</w:t>
            </w:r>
          </w:p>
        </w:tc>
      </w:tr>
      <w:tr w14:paraId="3BDE9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06529AFD">
            <w:pPr>
              <w:pStyle w:val="28"/>
              <w:numPr>
                <w:ilvl w:val="0"/>
                <w:numId w:val="9"/>
              </w:numPr>
              <w:rPr>
                <w:rFonts w:hint="default"/>
              </w:rPr>
            </w:pPr>
          </w:p>
        </w:tc>
        <w:tc>
          <w:tcPr>
            <w:tcW w:w="324" w:type="pct"/>
            <w:vMerge w:val="continue"/>
            <w:vAlign w:val="center"/>
          </w:tcPr>
          <w:p w14:paraId="06183ADF">
            <w:pPr>
              <w:pStyle w:val="28"/>
              <w:rPr>
                <w:rFonts w:hint="default"/>
              </w:rPr>
            </w:pPr>
          </w:p>
        </w:tc>
        <w:tc>
          <w:tcPr>
            <w:tcW w:w="458" w:type="pct"/>
            <w:vMerge w:val="continue"/>
            <w:vAlign w:val="center"/>
          </w:tcPr>
          <w:p w14:paraId="0703218C">
            <w:pPr>
              <w:pStyle w:val="28"/>
              <w:rPr>
                <w:rFonts w:hint="default"/>
              </w:rPr>
            </w:pPr>
          </w:p>
        </w:tc>
        <w:tc>
          <w:tcPr>
            <w:tcW w:w="1080" w:type="pct"/>
            <w:shd w:val="clear" w:color="auto" w:fill="auto"/>
            <w:vAlign w:val="center"/>
          </w:tcPr>
          <w:p w14:paraId="0C0E6A57">
            <w:pPr>
              <w:pStyle w:val="28"/>
              <w:rPr>
                <w:rFonts w:hint="default"/>
              </w:rPr>
            </w:pPr>
            <w:r>
              <w:t>危险废物规范化管理抽查合格率☆</w:t>
            </w:r>
          </w:p>
        </w:tc>
        <w:tc>
          <w:tcPr>
            <w:tcW w:w="506" w:type="pct"/>
            <w:shd w:val="clear" w:color="auto" w:fill="auto"/>
            <w:vAlign w:val="center"/>
          </w:tcPr>
          <w:p w14:paraId="60760337">
            <w:pPr>
              <w:pStyle w:val="28"/>
              <w:rPr>
                <w:rFonts w:hint="default"/>
              </w:rPr>
            </w:pPr>
            <w:r>
              <w:t>95%</w:t>
            </w:r>
          </w:p>
        </w:tc>
        <w:tc>
          <w:tcPr>
            <w:tcW w:w="460" w:type="pct"/>
            <w:shd w:val="clear" w:color="auto" w:fill="auto"/>
            <w:vAlign w:val="center"/>
          </w:tcPr>
          <w:p w14:paraId="433FF753">
            <w:pPr>
              <w:pStyle w:val="28"/>
              <w:rPr>
                <w:rFonts w:hint="default"/>
              </w:rPr>
            </w:pPr>
            <w:r>
              <w:t>100%</w:t>
            </w:r>
          </w:p>
        </w:tc>
        <w:tc>
          <w:tcPr>
            <w:tcW w:w="502" w:type="pct"/>
            <w:shd w:val="clear" w:color="auto" w:fill="auto"/>
            <w:vAlign w:val="center"/>
          </w:tcPr>
          <w:p w14:paraId="0BD7341C">
            <w:pPr>
              <w:pStyle w:val="28"/>
              <w:rPr>
                <w:rFonts w:hint="default"/>
              </w:rPr>
            </w:pPr>
            <w:r>
              <w:t>100%</w:t>
            </w:r>
          </w:p>
        </w:tc>
        <w:tc>
          <w:tcPr>
            <w:tcW w:w="656" w:type="pct"/>
            <w:shd w:val="clear" w:color="auto" w:fill="auto"/>
            <w:vAlign w:val="center"/>
          </w:tcPr>
          <w:p w14:paraId="5CBA19A8">
            <w:pPr>
              <w:pStyle w:val="28"/>
              <w:rPr>
                <w:rFonts w:hint="default"/>
              </w:rPr>
            </w:pPr>
            <w:r>
              <w:t>连云生态环境局</w:t>
            </w:r>
          </w:p>
        </w:tc>
        <w:tc>
          <w:tcPr>
            <w:tcW w:w="754" w:type="pct"/>
            <w:shd w:val="clear" w:color="auto" w:fill="auto"/>
            <w:vAlign w:val="center"/>
          </w:tcPr>
          <w:p w14:paraId="5DD4295B">
            <w:pPr>
              <w:pStyle w:val="28"/>
              <w:rPr>
                <w:rFonts w:hint="default"/>
              </w:rPr>
            </w:pPr>
            <w:r>
              <w:t>连云生态环境局</w:t>
            </w:r>
          </w:p>
        </w:tc>
      </w:tr>
      <w:tr w14:paraId="7B1E2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5D62411B">
            <w:pPr>
              <w:pStyle w:val="28"/>
              <w:numPr>
                <w:ilvl w:val="0"/>
                <w:numId w:val="9"/>
              </w:numPr>
              <w:rPr>
                <w:rFonts w:hint="default"/>
              </w:rPr>
            </w:pPr>
          </w:p>
        </w:tc>
        <w:tc>
          <w:tcPr>
            <w:tcW w:w="324" w:type="pct"/>
            <w:vMerge w:val="continue"/>
            <w:vAlign w:val="center"/>
          </w:tcPr>
          <w:p w14:paraId="1B4C659A">
            <w:pPr>
              <w:pStyle w:val="28"/>
              <w:rPr>
                <w:rFonts w:hint="default"/>
              </w:rPr>
            </w:pPr>
          </w:p>
        </w:tc>
        <w:tc>
          <w:tcPr>
            <w:tcW w:w="458" w:type="pct"/>
            <w:vMerge w:val="continue"/>
            <w:vAlign w:val="center"/>
          </w:tcPr>
          <w:p w14:paraId="2EB532FB">
            <w:pPr>
              <w:pStyle w:val="28"/>
              <w:rPr>
                <w:rFonts w:hint="default"/>
              </w:rPr>
            </w:pPr>
          </w:p>
        </w:tc>
        <w:tc>
          <w:tcPr>
            <w:tcW w:w="1080" w:type="pct"/>
            <w:shd w:val="clear" w:color="auto" w:fill="auto"/>
            <w:vAlign w:val="center"/>
          </w:tcPr>
          <w:p w14:paraId="00802A83">
            <w:pPr>
              <w:pStyle w:val="28"/>
              <w:rPr>
                <w:rFonts w:hint="default"/>
              </w:rPr>
            </w:pPr>
            <w:r>
              <w:t>危险废物自建焚烧设施在线监控联网率☆</w:t>
            </w:r>
          </w:p>
        </w:tc>
        <w:tc>
          <w:tcPr>
            <w:tcW w:w="506" w:type="pct"/>
            <w:shd w:val="clear" w:color="auto" w:fill="auto"/>
            <w:vAlign w:val="center"/>
          </w:tcPr>
          <w:p w14:paraId="5E9C0380">
            <w:pPr>
              <w:pStyle w:val="28"/>
              <w:rPr>
                <w:rFonts w:hint="default"/>
              </w:rPr>
            </w:pPr>
            <w:r>
              <w:t>100%</w:t>
            </w:r>
          </w:p>
        </w:tc>
        <w:tc>
          <w:tcPr>
            <w:tcW w:w="460" w:type="pct"/>
            <w:shd w:val="clear" w:color="auto" w:fill="auto"/>
            <w:vAlign w:val="center"/>
          </w:tcPr>
          <w:p w14:paraId="33643583">
            <w:pPr>
              <w:pStyle w:val="28"/>
              <w:rPr>
                <w:rFonts w:hint="default"/>
              </w:rPr>
            </w:pPr>
            <w:r>
              <w:t>100%</w:t>
            </w:r>
          </w:p>
        </w:tc>
        <w:tc>
          <w:tcPr>
            <w:tcW w:w="502" w:type="pct"/>
            <w:shd w:val="clear" w:color="auto" w:fill="auto"/>
            <w:vAlign w:val="center"/>
          </w:tcPr>
          <w:p w14:paraId="594853FE">
            <w:pPr>
              <w:pStyle w:val="28"/>
              <w:rPr>
                <w:rFonts w:hint="default"/>
              </w:rPr>
            </w:pPr>
            <w:r>
              <w:t>100%</w:t>
            </w:r>
          </w:p>
        </w:tc>
        <w:tc>
          <w:tcPr>
            <w:tcW w:w="656" w:type="pct"/>
            <w:shd w:val="clear" w:color="auto" w:fill="auto"/>
            <w:vAlign w:val="center"/>
          </w:tcPr>
          <w:p w14:paraId="498FC7E8">
            <w:pPr>
              <w:pStyle w:val="28"/>
              <w:rPr>
                <w:rFonts w:hint="default"/>
              </w:rPr>
            </w:pPr>
            <w:r>
              <w:t>连云生态环境局</w:t>
            </w:r>
          </w:p>
        </w:tc>
        <w:tc>
          <w:tcPr>
            <w:tcW w:w="754" w:type="pct"/>
            <w:shd w:val="clear" w:color="auto" w:fill="auto"/>
            <w:vAlign w:val="center"/>
          </w:tcPr>
          <w:p w14:paraId="20A30F1C">
            <w:pPr>
              <w:pStyle w:val="28"/>
              <w:rPr>
                <w:rFonts w:hint="default"/>
              </w:rPr>
            </w:pPr>
            <w:r>
              <w:t>连云生态环境局</w:t>
            </w:r>
          </w:p>
        </w:tc>
      </w:tr>
      <w:tr w14:paraId="5D85D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08A6F8F2">
            <w:pPr>
              <w:pStyle w:val="28"/>
              <w:numPr>
                <w:ilvl w:val="0"/>
                <w:numId w:val="9"/>
              </w:numPr>
              <w:rPr>
                <w:rFonts w:hint="default"/>
              </w:rPr>
            </w:pPr>
          </w:p>
        </w:tc>
        <w:tc>
          <w:tcPr>
            <w:tcW w:w="324" w:type="pct"/>
            <w:vMerge w:val="continue"/>
            <w:vAlign w:val="center"/>
          </w:tcPr>
          <w:p w14:paraId="73D3259D">
            <w:pPr>
              <w:pStyle w:val="28"/>
              <w:rPr>
                <w:rFonts w:hint="default"/>
              </w:rPr>
            </w:pPr>
          </w:p>
        </w:tc>
        <w:tc>
          <w:tcPr>
            <w:tcW w:w="458" w:type="pct"/>
            <w:vMerge w:val="continue"/>
            <w:vAlign w:val="center"/>
          </w:tcPr>
          <w:p w14:paraId="16ACA616">
            <w:pPr>
              <w:pStyle w:val="28"/>
              <w:rPr>
                <w:rFonts w:hint="default"/>
              </w:rPr>
            </w:pPr>
          </w:p>
        </w:tc>
        <w:tc>
          <w:tcPr>
            <w:tcW w:w="1080" w:type="pct"/>
            <w:shd w:val="clear" w:color="auto" w:fill="auto"/>
            <w:vAlign w:val="center"/>
          </w:tcPr>
          <w:p w14:paraId="49BB1E1B">
            <w:pPr>
              <w:pStyle w:val="28"/>
              <w:rPr>
                <w:rFonts w:hint="default"/>
              </w:rPr>
            </w:pPr>
            <w:r>
              <w:t>涉固体废物信访、投诉、举报案件办结率☆</w:t>
            </w:r>
          </w:p>
        </w:tc>
        <w:tc>
          <w:tcPr>
            <w:tcW w:w="506" w:type="pct"/>
            <w:shd w:val="clear" w:color="auto" w:fill="auto"/>
            <w:vAlign w:val="center"/>
          </w:tcPr>
          <w:p w14:paraId="64D7031C">
            <w:pPr>
              <w:pStyle w:val="28"/>
              <w:rPr>
                <w:rFonts w:hint="default"/>
              </w:rPr>
            </w:pPr>
            <w:r>
              <w:t>100%</w:t>
            </w:r>
          </w:p>
        </w:tc>
        <w:tc>
          <w:tcPr>
            <w:tcW w:w="460" w:type="pct"/>
            <w:shd w:val="clear" w:color="auto" w:fill="auto"/>
            <w:vAlign w:val="center"/>
          </w:tcPr>
          <w:p w14:paraId="147036F8">
            <w:pPr>
              <w:pStyle w:val="28"/>
              <w:rPr>
                <w:rFonts w:hint="default"/>
              </w:rPr>
            </w:pPr>
            <w:r>
              <w:t>100%</w:t>
            </w:r>
          </w:p>
        </w:tc>
        <w:tc>
          <w:tcPr>
            <w:tcW w:w="502" w:type="pct"/>
            <w:shd w:val="clear" w:color="auto" w:fill="auto"/>
            <w:vAlign w:val="center"/>
          </w:tcPr>
          <w:p w14:paraId="5BDB66E1">
            <w:pPr>
              <w:pStyle w:val="28"/>
              <w:rPr>
                <w:rFonts w:hint="default"/>
              </w:rPr>
            </w:pPr>
            <w:r>
              <w:t>100%</w:t>
            </w:r>
          </w:p>
        </w:tc>
        <w:tc>
          <w:tcPr>
            <w:tcW w:w="656" w:type="pct"/>
            <w:shd w:val="clear" w:color="auto" w:fill="auto"/>
            <w:vAlign w:val="center"/>
          </w:tcPr>
          <w:p w14:paraId="0271B362">
            <w:pPr>
              <w:pStyle w:val="28"/>
              <w:rPr>
                <w:rFonts w:hint="default"/>
              </w:rPr>
            </w:pPr>
            <w:r>
              <w:t>连云生态环境局</w:t>
            </w:r>
          </w:p>
        </w:tc>
        <w:tc>
          <w:tcPr>
            <w:tcW w:w="754" w:type="pct"/>
            <w:shd w:val="clear" w:color="auto" w:fill="auto"/>
            <w:vAlign w:val="center"/>
          </w:tcPr>
          <w:p w14:paraId="509964F9">
            <w:pPr>
              <w:pStyle w:val="28"/>
              <w:rPr>
                <w:rFonts w:hint="default"/>
              </w:rPr>
            </w:pPr>
            <w:r>
              <w:t>连云生态环境局</w:t>
            </w:r>
          </w:p>
        </w:tc>
      </w:tr>
      <w:tr w14:paraId="72164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0568CA28">
            <w:pPr>
              <w:pStyle w:val="28"/>
              <w:numPr>
                <w:ilvl w:val="0"/>
                <w:numId w:val="9"/>
              </w:numPr>
              <w:rPr>
                <w:rFonts w:hint="default"/>
              </w:rPr>
            </w:pPr>
          </w:p>
        </w:tc>
        <w:tc>
          <w:tcPr>
            <w:tcW w:w="324" w:type="pct"/>
            <w:vMerge w:val="continue"/>
            <w:vAlign w:val="center"/>
          </w:tcPr>
          <w:p w14:paraId="290DACB4">
            <w:pPr>
              <w:pStyle w:val="28"/>
              <w:rPr>
                <w:rFonts w:hint="default"/>
              </w:rPr>
            </w:pPr>
          </w:p>
        </w:tc>
        <w:tc>
          <w:tcPr>
            <w:tcW w:w="458" w:type="pct"/>
            <w:vMerge w:val="continue"/>
            <w:vAlign w:val="center"/>
          </w:tcPr>
          <w:p w14:paraId="1475DECC">
            <w:pPr>
              <w:pStyle w:val="28"/>
              <w:rPr>
                <w:rFonts w:hint="default"/>
              </w:rPr>
            </w:pPr>
          </w:p>
        </w:tc>
        <w:tc>
          <w:tcPr>
            <w:tcW w:w="1080" w:type="pct"/>
            <w:shd w:val="clear" w:color="auto" w:fill="auto"/>
            <w:vAlign w:val="center"/>
          </w:tcPr>
          <w:p w14:paraId="1A2D16F4">
            <w:pPr>
              <w:pStyle w:val="28"/>
              <w:rPr>
                <w:rFonts w:hint="default"/>
              </w:rPr>
            </w:pPr>
            <w:r>
              <w:t>固体废物环境污染案件开展生态环境损害赔偿工作的覆盖率☆</w:t>
            </w:r>
          </w:p>
        </w:tc>
        <w:tc>
          <w:tcPr>
            <w:tcW w:w="506" w:type="pct"/>
            <w:shd w:val="clear" w:color="auto" w:fill="auto"/>
            <w:vAlign w:val="center"/>
          </w:tcPr>
          <w:p w14:paraId="77FDDC07">
            <w:pPr>
              <w:pStyle w:val="28"/>
              <w:rPr>
                <w:rFonts w:hint="default"/>
              </w:rPr>
            </w:pPr>
            <w:r>
              <w:t>100%</w:t>
            </w:r>
          </w:p>
        </w:tc>
        <w:tc>
          <w:tcPr>
            <w:tcW w:w="460" w:type="pct"/>
            <w:shd w:val="clear" w:color="auto" w:fill="auto"/>
            <w:vAlign w:val="center"/>
          </w:tcPr>
          <w:p w14:paraId="2B6B4B8A">
            <w:pPr>
              <w:pStyle w:val="28"/>
              <w:rPr>
                <w:rFonts w:hint="default"/>
              </w:rPr>
            </w:pPr>
            <w:r>
              <w:t>无固体废物环境污染案件</w:t>
            </w:r>
          </w:p>
        </w:tc>
        <w:tc>
          <w:tcPr>
            <w:tcW w:w="502" w:type="pct"/>
            <w:shd w:val="clear" w:color="auto" w:fill="auto"/>
            <w:vAlign w:val="center"/>
          </w:tcPr>
          <w:p w14:paraId="5C6A8C0F">
            <w:pPr>
              <w:pStyle w:val="28"/>
              <w:rPr>
                <w:rFonts w:hint="default"/>
              </w:rPr>
            </w:pPr>
            <w:r>
              <w:t>100%</w:t>
            </w:r>
          </w:p>
        </w:tc>
        <w:tc>
          <w:tcPr>
            <w:tcW w:w="656" w:type="pct"/>
            <w:shd w:val="clear" w:color="auto" w:fill="auto"/>
            <w:vAlign w:val="center"/>
          </w:tcPr>
          <w:p w14:paraId="48E6B3B2">
            <w:pPr>
              <w:pStyle w:val="28"/>
              <w:rPr>
                <w:rFonts w:hint="default"/>
              </w:rPr>
            </w:pPr>
            <w:r>
              <w:t>连云生态环境局</w:t>
            </w:r>
          </w:p>
        </w:tc>
        <w:tc>
          <w:tcPr>
            <w:tcW w:w="754" w:type="pct"/>
            <w:shd w:val="clear" w:color="auto" w:fill="auto"/>
            <w:vAlign w:val="center"/>
          </w:tcPr>
          <w:p w14:paraId="6D12026E">
            <w:pPr>
              <w:pStyle w:val="28"/>
              <w:rPr>
                <w:rFonts w:hint="default"/>
              </w:rPr>
            </w:pPr>
            <w:r>
              <w:t>连云生态环境局</w:t>
            </w:r>
          </w:p>
        </w:tc>
      </w:tr>
      <w:tr w14:paraId="55B49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29CC2F06">
            <w:pPr>
              <w:pStyle w:val="28"/>
              <w:numPr>
                <w:ilvl w:val="0"/>
                <w:numId w:val="9"/>
              </w:numPr>
              <w:rPr>
                <w:rFonts w:hint="default"/>
              </w:rPr>
            </w:pPr>
          </w:p>
        </w:tc>
        <w:tc>
          <w:tcPr>
            <w:tcW w:w="324" w:type="pct"/>
            <w:vMerge w:val="continue"/>
            <w:vAlign w:val="center"/>
          </w:tcPr>
          <w:p w14:paraId="27AE1DBF">
            <w:pPr>
              <w:pStyle w:val="28"/>
              <w:rPr>
                <w:rFonts w:hint="default"/>
              </w:rPr>
            </w:pPr>
          </w:p>
        </w:tc>
        <w:tc>
          <w:tcPr>
            <w:tcW w:w="458" w:type="pct"/>
            <w:vMerge w:val="continue"/>
            <w:vAlign w:val="center"/>
          </w:tcPr>
          <w:p w14:paraId="7A582718">
            <w:pPr>
              <w:pStyle w:val="28"/>
              <w:rPr>
                <w:rFonts w:hint="default"/>
              </w:rPr>
            </w:pPr>
          </w:p>
        </w:tc>
        <w:tc>
          <w:tcPr>
            <w:tcW w:w="1080" w:type="pct"/>
            <w:shd w:val="clear" w:color="auto" w:fill="auto"/>
            <w:vAlign w:val="center"/>
          </w:tcPr>
          <w:p w14:paraId="021CCE26">
            <w:pPr>
              <w:pStyle w:val="28"/>
              <w:rPr>
                <w:rFonts w:hint="default"/>
              </w:rPr>
            </w:pPr>
            <w:r>
              <w:t>“无废”海滩比例※</w:t>
            </w:r>
          </w:p>
        </w:tc>
        <w:tc>
          <w:tcPr>
            <w:tcW w:w="506" w:type="pct"/>
            <w:shd w:val="clear" w:color="auto" w:fill="auto"/>
            <w:vAlign w:val="center"/>
          </w:tcPr>
          <w:p w14:paraId="2603A9E0">
            <w:pPr>
              <w:pStyle w:val="28"/>
              <w:rPr>
                <w:rFonts w:hint="default"/>
              </w:rPr>
            </w:pPr>
            <w:r>
              <w:t>70%</w:t>
            </w:r>
          </w:p>
        </w:tc>
        <w:tc>
          <w:tcPr>
            <w:tcW w:w="460" w:type="pct"/>
            <w:shd w:val="clear" w:color="auto" w:fill="auto"/>
            <w:vAlign w:val="center"/>
          </w:tcPr>
          <w:p w14:paraId="59E818DE">
            <w:pPr>
              <w:pStyle w:val="28"/>
              <w:rPr>
                <w:rFonts w:hint="default"/>
              </w:rPr>
            </w:pPr>
            <w:r>
              <w:t>/</w:t>
            </w:r>
          </w:p>
        </w:tc>
        <w:tc>
          <w:tcPr>
            <w:tcW w:w="502" w:type="pct"/>
            <w:shd w:val="clear" w:color="auto" w:fill="auto"/>
            <w:vAlign w:val="center"/>
          </w:tcPr>
          <w:p w14:paraId="56FD4E1E">
            <w:pPr>
              <w:pStyle w:val="28"/>
              <w:rPr>
                <w:rFonts w:hint="default"/>
              </w:rPr>
            </w:pPr>
            <w:r>
              <w:t>70%</w:t>
            </w:r>
          </w:p>
        </w:tc>
        <w:tc>
          <w:tcPr>
            <w:tcW w:w="656" w:type="pct"/>
            <w:shd w:val="clear" w:color="auto" w:fill="auto"/>
            <w:vAlign w:val="center"/>
          </w:tcPr>
          <w:p w14:paraId="603F9361">
            <w:pPr>
              <w:pStyle w:val="28"/>
              <w:rPr>
                <w:rFonts w:hint="default"/>
              </w:rPr>
            </w:pPr>
            <w:r>
              <w:t>湾长制工作领导小组办公室</w:t>
            </w:r>
          </w:p>
        </w:tc>
        <w:tc>
          <w:tcPr>
            <w:tcW w:w="754" w:type="pct"/>
            <w:shd w:val="clear" w:color="auto" w:fill="auto"/>
            <w:vAlign w:val="center"/>
          </w:tcPr>
          <w:p w14:paraId="429BBE67">
            <w:pPr>
              <w:pStyle w:val="28"/>
              <w:rPr>
                <w:rFonts w:hint="default"/>
              </w:rPr>
            </w:pPr>
            <w:r>
              <w:t>湾长制工作领导小组办公室</w:t>
            </w:r>
          </w:p>
        </w:tc>
      </w:tr>
      <w:tr w14:paraId="5913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530DAD5A">
            <w:pPr>
              <w:pStyle w:val="28"/>
              <w:numPr>
                <w:ilvl w:val="0"/>
                <w:numId w:val="9"/>
              </w:numPr>
              <w:rPr>
                <w:rFonts w:hint="default"/>
              </w:rPr>
            </w:pPr>
          </w:p>
        </w:tc>
        <w:tc>
          <w:tcPr>
            <w:tcW w:w="324" w:type="pct"/>
            <w:vMerge w:val="restart"/>
            <w:shd w:val="clear" w:color="auto" w:fill="auto"/>
            <w:vAlign w:val="center"/>
          </w:tcPr>
          <w:p w14:paraId="51C2C1D6">
            <w:pPr>
              <w:pStyle w:val="28"/>
              <w:rPr>
                <w:rFonts w:hint="default"/>
              </w:rPr>
            </w:pPr>
            <w:r>
              <w:t>群众获得感</w:t>
            </w:r>
          </w:p>
        </w:tc>
        <w:tc>
          <w:tcPr>
            <w:tcW w:w="458" w:type="pct"/>
            <w:vMerge w:val="restart"/>
            <w:shd w:val="clear" w:color="auto" w:fill="auto"/>
            <w:vAlign w:val="center"/>
          </w:tcPr>
          <w:p w14:paraId="1ADBECBC">
            <w:pPr>
              <w:pStyle w:val="28"/>
              <w:rPr>
                <w:rFonts w:hint="default"/>
              </w:rPr>
            </w:pPr>
            <w:r>
              <w:t>群众获得感</w:t>
            </w:r>
          </w:p>
        </w:tc>
        <w:tc>
          <w:tcPr>
            <w:tcW w:w="1080" w:type="pct"/>
            <w:shd w:val="clear" w:color="auto" w:fill="auto"/>
            <w:vAlign w:val="center"/>
          </w:tcPr>
          <w:p w14:paraId="2E7FA378">
            <w:pPr>
              <w:pStyle w:val="28"/>
              <w:rPr>
                <w:rFonts w:hint="default"/>
              </w:rPr>
            </w:pPr>
            <w:r>
              <w:t>公众对“无废城市”建设成效的满意程度★</w:t>
            </w:r>
          </w:p>
        </w:tc>
        <w:tc>
          <w:tcPr>
            <w:tcW w:w="506" w:type="pct"/>
            <w:shd w:val="clear" w:color="auto" w:fill="auto"/>
            <w:vAlign w:val="center"/>
          </w:tcPr>
          <w:p w14:paraId="7A1A1435">
            <w:pPr>
              <w:pStyle w:val="28"/>
              <w:rPr>
                <w:rFonts w:hint="default"/>
              </w:rPr>
            </w:pPr>
            <w:r>
              <w:t>90%</w:t>
            </w:r>
          </w:p>
        </w:tc>
        <w:tc>
          <w:tcPr>
            <w:tcW w:w="460" w:type="pct"/>
            <w:shd w:val="clear" w:color="auto" w:fill="auto"/>
            <w:vAlign w:val="center"/>
          </w:tcPr>
          <w:p w14:paraId="3CE0D806">
            <w:pPr>
              <w:pStyle w:val="28"/>
              <w:rPr>
                <w:rFonts w:hint="default"/>
              </w:rPr>
            </w:pPr>
            <w:r>
              <w:t>/</w:t>
            </w:r>
          </w:p>
        </w:tc>
        <w:tc>
          <w:tcPr>
            <w:tcW w:w="502" w:type="pct"/>
            <w:shd w:val="clear" w:color="auto" w:fill="auto"/>
            <w:vAlign w:val="center"/>
          </w:tcPr>
          <w:p w14:paraId="1691A01F">
            <w:pPr>
              <w:pStyle w:val="28"/>
              <w:rPr>
                <w:rFonts w:hint="default"/>
              </w:rPr>
            </w:pPr>
            <w:r>
              <w:t>90%</w:t>
            </w:r>
          </w:p>
        </w:tc>
        <w:tc>
          <w:tcPr>
            <w:tcW w:w="656" w:type="pct"/>
            <w:shd w:val="clear" w:color="auto" w:fill="auto"/>
            <w:vAlign w:val="center"/>
          </w:tcPr>
          <w:p w14:paraId="395F8632">
            <w:pPr>
              <w:pStyle w:val="28"/>
              <w:rPr>
                <w:rFonts w:hint="default"/>
              </w:rPr>
            </w:pPr>
            <w:r>
              <w:t>第三方调查</w:t>
            </w:r>
          </w:p>
        </w:tc>
        <w:tc>
          <w:tcPr>
            <w:tcW w:w="754" w:type="pct"/>
            <w:shd w:val="clear" w:color="auto" w:fill="auto"/>
            <w:vAlign w:val="center"/>
          </w:tcPr>
          <w:p w14:paraId="36B35C6A">
            <w:pPr>
              <w:pStyle w:val="28"/>
              <w:rPr>
                <w:rFonts w:hint="default"/>
              </w:rPr>
            </w:pPr>
            <w:r>
              <w:t>“无废城市”建设工作领导小组成员单位</w:t>
            </w:r>
          </w:p>
        </w:tc>
      </w:tr>
      <w:tr w14:paraId="3294F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41785AEA">
            <w:pPr>
              <w:pStyle w:val="28"/>
              <w:numPr>
                <w:ilvl w:val="0"/>
                <w:numId w:val="9"/>
              </w:numPr>
              <w:rPr>
                <w:rFonts w:hint="default"/>
              </w:rPr>
            </w:pPr>
          </w:p>
        </w:tc>
        <w:tc>
          <w:tcPr>
            <w:tcW w:w="324" w:type="pct"/>
            <w:vMerge w:val="continue"/>
            <w:vAlign w:val="center"/>
          </w:tcPr>
          <w:p w14:paraId="2BDDDE0D">
            <w:pPr>
              <w:pStyle w:val="28"/>
              <w:rPr>
                <w:rFonts w:hint="default"/>
              </w:rPr>
            </w:pPr>
          </w:p>
        </w:tc>
        <w:tc>
          <w:tcPr>
            <w:tcW w:w="458" w:type="pct"/>
            <w:vMerge w:val="continue"/>
            <w:vAlign w:val="center"/>
          </w:tcPr>
          <w:p w14:paraId="280AE0D5">
            <w:pPr>
              <w:pStyle w:val="28"/>
              <w:rPr>
                <w:rFonts w:hint="default"/>
              </w:rPr>
            </w:pPr>
          </w:p>
        </w:tc>
        <w:tc>
          <w:tcPr>
            <w:tcW w:w="1080" w:type="pct"/>
            <w:shd w:val="clear" w:color="auto" w:fill="auto"/>
            <w:vAlign w:val="center"/>
          </w:tcPr>
          <w:p w14:paraId="006A7278">
            <w:pPr>
              <w:pStyle w:val="28"/>
              <w:rPr>
                <w:rFonts w:hint="default"/>
              </w:rPr>
            </w:pPr>
            <w:r>
              <w:t>“无废城市”建设宣传教育培训普及率☆</w:t>
            </w:r>
          </w:p>
        </w:tc>
        <w:tc>
          <w:tcPr>
            <w:tcW w:w="506" w:type="pct"/>
            <w:shd w:val="clear" w:color="auto" w:fill="auto"/>
            <w:vAlign w:val="center"/>
          </w:tcPr>
          <w:p w14:paraId="14F31345">
            <w:pPr>
              <w:pStyle w:val="28"/>
              <w:rPr>
                <w:rFonts w:hint="default"/>
              </w:rPr>
            </w:pPr>
            <w:r>
              <w:t>95%</w:t>
            </w:r>
          </w:p>
        </w:tc>
        <w:tc>
          <w:tcPr>
            <w:tcW w:w="460" w:type="pct"/>
            <w:shd w:val="clear" w:color="auto" w:fill="auto"/>
            <w:vAlign w:val="center"/>
          </w:tcPr>
          <w:p w14:paraId="75C0CBBE">
            <w:pPr>
              <w:pStyle w:val="28"/>
              <w:rPr>
                <w:rFonts w:hint="default"/>
              </w:rPr>
            </w:pPr>
            <w:r>
              <w:t>/</w:t>
            </w:r>
          </w:p>
        </w:tc>
        <w:tc>
          <w:tcPr>
            <w:tcW w:w="502" w:type="pct"/>
            <w:shd w:val="clear" w:color="auto" w:fill="auto"/>
            <w:vAlign w:val="center"/>
          </w:tcPr>
          <w:p w14:paraId="22F7BC2C">
            <w:pPr>
              <w:pStyle w:val="28"/>
              <w:rPr>
                <w:rFonts w:hint="default"/>
              </w:rPr>
            </w:pPr>
            <w:r>
              <w:t>95%</w:t>
            </w:r>
          </w:p>
        </w:tc>
        <w:tc>
          <w:tcPr>
            <w:tcW w:w="656" w:type="pct"/>
            <w:shd w:val="clear" w:color="auto" w:fill="auto"/>
            <w:vAlign w:val="center"/>
          </w:tcPr>
          <w:p w14:paraId="33E088E7">
            <w:pPr>
              <w:pStyle w:val="28"/>
              <w:rPr>
                <w:rFonts w:hint="default"/>
              </w:rPr>
            </w:pPr>
            <w:r>
              <w:t>第三方调查</w:t>
            </w:r>
          </w:p>
        </w:tc>
        <w:tc>
          <w:tcPr>
            <w:tcW w:w="754" w:type="pct"/>
            <w:shd w:val="clear" w:color="auto" w:fill="auto"/>
            <w:vAlign w:val="center"/>
          </w:tcPr>
          <w:p w14:paraId="7447644D">
            <w:pPr>
              <w:pStyle w:val="28"/>
              <w:rPr>
                <w:rFonts w:hint="default"/>
              </w:rPr>
            </w:pPr>
            <w:r>
              <w:t>“无废城市”建设工作领导小组成员单位</w:t>
            </w:r>
          </w:p>
        </w:tc>
      </w:tr>
      <w:tr w14:paraId="3380C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14:paraId="217A7FB6">
            <w:pPr>
              <w:pStyle w:val="28"/>
              <w:numPr>
                <w:ilvl w:val="0"/>
                <w:numId w:val="9"/>
              </w:numPr>
              <w:rPr>
                <w:rFonts w:hint="default"/>
              </w:rPr>
            </w:pPr>
          </w:p>
        </w:tc>
        <w:tc>
          <w:tcPr>
            <w:tcW w:w="324" w:type="pct"/>
            <w:vMerge w:val="continue"/>
            <w:vAlign w:val="center"/>
          </w:tcPr>
          <w:p w14:paraId="40406755">
            <w:pPr>
              <w:pStyle w:val="28"/>
              <w:rPr>
                <w:rFonts w:hint="default"/>
              </w:rPr>
            </w:pPr>
          </w:p>
        </w:tc>
        <w:tc>
          <w:tcPr>
            <w:tcW w:w="458" w:type="pct"/>
            <w:vMerge w:val="continue"/>
            <w:vAlign w:val="center"/>
          </w:tcPr>
          <w:p w14:paraId="25704E4D">
            <w:pPr>
              <w:pStyle w:val="28"/>
              <w:rPr>
                <w:rFonts w:hint="default"/>
              </w:rPr>
            </w:pPr>
          </w:p>
        </w:tc>
        <w:tc>
          <w:tcPr>
            <w:tcW w:w="1080" w:type="pct"/>
            <w:shd w:val="clear" w:color="auto" w:fill="auto"/>
            <w:vAlign w:val="center"/>
          </w:tcPr>
          <w:p w14:paraId="27900BDB">
            <w:pPr>
              <w:pStyle w:val="28"/>
              <w:rPr>
                <w:rFonts w:hint="default"/>
              </w:rPr>
            </w:pPr>
            <w:r>
              <w:t>政府、企事业单位、非政府环境组织、公众对“无废城市”建设的参与程度☆</w:t>
            </w:r>
          </w:p>
        </w:tc>
        <w:tc>
          <w:tcPr>
            <w:tcW w:w="506" w:type="pct"/>
            <w:shd w:val="clear" w:color="auto" w:fill="auto"/>
            <w:vAlign w:val="center"/>
          </w:tcPr>
          <w:p w14:paraId="6591E3C1">
            <w:pPr>
              <w:pStyle w:val="28"/>
              <w:rPr>
                <w:rFonts w:hint="default"/>
              </w:rPr>
            </w:pPr>
            <w:r>
              <w:t>95%</w:t>
            </w:r>
          </w:p>
        </w:tc>
        <w:tc>
          <w:tcPr>
            <w:tcW w:w="460" w:type="pct"/>
            <w:shd w:val="clear" w:color="auto" w:fill="auto"/>
            <w:vAlign w:val="center"/>
          </w:tcPr>
          <w:p w14:paraId="28DC818E">
            <w:pPr>
              <w:pStyle w:val="28"/>
              <w:rPr>
                <w:rFonts w:hint="default"/>
              </w:rPr>
            </w:pPr>
            <w:r>
              <w:t>/</w:t>
            </w:r>
          </w:p>
        </w:tc>
        <w:tc>
          <w:tcPr>
            <w:tcW w:w="502" w:type="pct"/>
            <w:shd w:val="clear" w:color="auto" w:fill="auto"/>
            <w:vAlign w:val="center"/>
          </w:tcPr>
          <w:p w14:paraId="6CC7C179">
            <w:pPr>
              <w:pStyle w:val="28"/>
              <w:rPr>
                <w:rFonts w:hint="default"/>
              </w:rPr>
            </w:pPr>
            <w:r>
              <w:t>95%</w:t>
            </w:r>
          </w:p>
        </w:tc>
        <w:tc>
          <w:tcPr>
            <w:tcW w:w="656" w:type="pct"/>
            <w:shd w:val="clear" w:color="auto" w:fill="auto"/>
            <w:vAlign w:val="center"/>
          </w:tcPr>
          <w:p w14:paraId="3484F593">
            <w:pPr>
              <w:pStyle w:val="28"/>
              <w:rPr>
                <w:rFonts w:hint="default"/>
              </w:rPr>
            </w:pPr>
            <w:r>
              <w:t>第三方调查</w:t>
            </w:r>
          </w:p>
        </w:tc>
        <w:tc>
          <w:tcPr>
            <w:tcW w:w="754" w:type="pct"/>
            <w:shd w:val="clear" w:color="auto" w:fill="auto"/>
            <w:vAlign w:val="center"/>
          </w:tcPr>
          <w:p w14:paraId="3F66B763">
            <w:pPr>
              <w:pStyle w:val="28"/>
              <w:rPr>
                <w:rFonts w:hint="default"/>
              </w:rPr>
            </w:pPr>
            <w:r>
              <w:t>“无废城市”建设工作领导小组成员单位</w:t>
            </w:r>
          </w:p>
        </w:tc>
      </w:tr>
      <w:tr w14:paraId="15825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9"/>
            <w:shd w:val="clear" w:color="auto" w:fill="auto"/>
            <w:vAlign w:val="center"/>
          </w:tcPr>
          <w:p w14:paraId="152C981F">
            <w:pPr>
              <w:pStyle w:val="28"/>
              <w:jc w:val="left"/>
              <w:rPr>
                <w:rFonts w:hint="default"/>
              </w:rPr>
            </w:pPr>
            <w:r>
              <w:t>注：1、★表示江苏省“无废城市”建设必选指标，☆表示江苏省“无废城市”建设可选指标，※表示连云港市“无废城市”建设自选指标，</w:t>
            </w:r>
            <w:r>
              <w:rPr>
                <w:kern w:val="0"/>
                <w:sz w:val="22"/>
                <w:szCs w:val="22"/>
              </w:rPr>
              <w:t>▲表示连云区“无废城市”建设自选指标。</w:t>
            </w:r>
          </w:p>
          <w:p w14:paraId="4FE02167">
            <w:pPr>
              <w:pStyle w:val="28"/>
              <w:jc w:val="left"/>
              <w:rPr>
                <w:rFonts w:hint="default"/>
              </w:rPr>
            </w:pPr>
            <w:r>
              <w:t>2、《连云港市“无废城市”建设（2022-2025年）目标清单》中“绿色矿山建成率★、</w:t>
            </w:r>
            <w:r>
              <w:rPr>
                <w:rFonts w:ascii="仿宋_GB2312" w:eastAsia="仿宋_GB2312" w:cs="Times New Roman"/>
                <w:kern w:val="0"/>
              </w:rPr>
              <w:t>“</w:t>
            </w:r>
            <w:r>
              <w:rPr>
                <w:rFonts w:eastAsia="仿宋_GB2312" w:cs="Times New Roman"/>
                <w:kern w:val="0"/>
              </w:rPr>
              <w:t>世界一流石化基地</w:t>
            </w:r>
            <w:r>
              <w:rPr>
                <w:rFonts w:ascii="仿宋_GB2312" w:eastAsia="仿宋_GB2312" w:cs="Times New Roman"/>
                <w:kern w:val="0"/>
              </w:rPr>
              <w:t>”</w:t>
            </w:r>
            <w:r>
              <w:rPr>
                <w:rFonts w:eastAsia="仿宋_GB2312" w:cs="Times New Roman"/>
                <w:kern w:val="0"/>
              </w:rPr>
              <w:t>内</w:t>
            </w:r>
            <w:r>
              <w:rPr>
                <w:rFonts w:ascii="仿宋_GB2312" w:eastAsia="仿宋_GB2312" w:cs="Times New Roman"/>
                <w:kern w:val="0"/>
              </w:rPr>
              <w:t>“</w:t>
            </w:r>
            <w:r>
              <w:rPr>
                <w:rFonts w:eastAsia="仿宋_GB2312" w:cs="Times New Roman"/>
                <w:kern w:val="0"/>
              </w:rPr>
              <w:t>无废工厂</w:t>
            </w:r>
            <w:r>
              <w:rPr>
                <w:rFonts w:ascii="仿宋_GB2312" w:eastAsia="仿宋_GB2312" w:cs="Times New Roman"/>
                <w:kern w:val="0"/>
              </w:rPr>
              <w:t>”</w:t>
            </w:r>
            <w:r>
              <w:rPr>
                <w:rFonts w:eastAsia="仿宋_GB2312" w:cs="Times New Roman"/>
                <w:kern w:val="0"/>
              </w:rPr>
              <w:t>建设数量※、连云港经济开发区</w:t>
            </w:r>
            <w:r>
              <w:rPr>
                <w:rFonts w:ascii="仿宋_GB2312" w:eastAsia="仿宋_GB2312" w:cs="Times New Roman"/>
                <w:kern w:val="0"/>
              </w:rPr>
              <w:t>“</w:t>
            </w:r>
            <w:r>
              <w:rPr>
                <w:rFonts w:eastAsia="仿宋_GB2312" w:cs="Times New Roman"/>
                <w:kern w:val="0"/>
              </w:rPr>
              <w:t>无废工厂</w:t>
            </w:r>
            <w:r>
              <w:rPr>
                <w:rFonts w:ascii="仿宋_GB2312" w:eastAsia="仿宋_GB2312" w:cs="Times New Roman"/>
                <w:kern w:val="0"/>
              </w:rPr>
              <w:t>”</w:t>
            </w:r>
            <w:r>
              <w:rPr>
                <w:rFonts w:eastAsia="仿宋_GB2312" w:cs="Times New Roman"/>
                <w:kern w:val="0"/>
              </w:rPr>
              <w:t>建设数量※、</w:t>
            </w:r>
            <w:r>
              <w:rPr>
                <w:rFonts w:ascii="仿宋_GB2312" w:eastAsia="仿宋_GB2312" w:cs="Times New Roman"/>
                <w:kern w:val="0"/>
              </w:rPr>
              <w:t>“</w:t>
            </w:r>
            <w:r>
              <w:rPr>
                <w:rFonts w:eastAsia="仿宋_GB2312" w:cs="Times New Roman"/>
                <w:kern w:val="0"/>
              </w:rPr>
              <w:t>世界一流石化基地</w:t>
            </w:r>
            <w:r>
              <w:rPr>
                <w:rFonts w:ascii="仿宋_GB2312" w:eastAsia="仿宋_GB2312" w:cs="Times New Roman"/>
                <w:kern w:val="0"/>
              </w:rPr>
              <w:t>”</w:t>
            </w:r>
            <w:r>
              <w:rPr>
                <w:rFonts w:eastAsia="仿宋_GB2312" w:cs="Times New Roman"/>
                <w:kern w:val="0"/>
              </w:rPr>
              <w:t>内焚烧处置的危险废物在园区内消纳※、生活垃圾焚烧处理能力占比</w:t>
            </w:r>
            <w:r>
              <w:rPr>
                <w:rFonts w:ascii="Segoe UI Symbol" w:hAnsi="Segoe UI Symbol" w:eastAsia="等线" w:cs="Segoe UI Symbol"/>
                <w:kern w:val="0"/>
              </w:rPr>
              <w:t>★、</w:t>
            </w:r>
            <w:r>
              <w:t>生活垃圾焚烧飞灰利用处置率★、</w:t>
            </w:r>
            <w:r>
              <w:rPr>
                <w:rFonts w:eastAsia="仿宋_GB2312" w:cs="Times New Roman"/>
                <w:kern w:val="0"/>
              </w:rPr>
              <w:t>病死畜禽集中无害化处理率</w:t>
            </w:r>
            <w:r>
              <w:rPr>
                <w:rFonts w:ascii="宋体" w:hAnsi="宋体" w:eastAsia="宋体" w:cs="宋体"/>
                <w:kern w:val="0"/>
              </w:rPr>
              <w:t>☆、</w:t>
            </w:r>
            <w:r>
              <w:rPr>
                <w:rFonts w:eastAsia="仿宋_GB2312" w:cs="Times New Roman"/>
                <w:kern w:val="0"/>
              </w:rPr>
              <w:t>畜禽粪污综合利用率</w:t>
            </w:r>
            <w:r>
              <w:rPr>
                <w:rFonts w:ascii="Segoe UI Symbol" w:hAnsi="Segoe UI Symbol" w:eastAsia="等线" w:cs="Segoe UI Symbol"/>
                <w:kern w:val="0"/>
              </w:rPr>
              <w:t>★、</w:t>
            </w:r>
            <w:r>
              <w:rPr>
                <w:rFonts w:eastAsia="仿宋_GB2312" w:cs="Times New Roman"/>
                <w:kern w:val="0"/>
              </w:rPr>
              <w:t>大型畜禽粪污资源化中心※、</w:t>
            </w:r>
            <w:r>
              <w:t>废旧农膜回收率★、工程渣土消纳场所规范设置率★、秸秆离田率☆”等12项指标连云区不涉及，故未列出。</w:t>
            </w:r>
          </w:p>
        </w:tc>
      </w:tr>
    </w:tbl>
    <w:p w14:paraId="4098C238">
      <w:pPr>
        <w:pStyle w:val="3"/>
        <w:sectPr>
          <w:pgSz w:w="16838" w:h="11906" w:orient="landscape"/>
          <w:pgMar w:top="1440" w:right="1440" w:bottom="1440" w:left="1440" w:header="851" w:footer="992" w:gutter="0"/>
          <w:cols w:space="425" w:num="1"/>
          <w:docGrid w:type="lines" w:linePitch="312" w:charSpace="0"/>
        </w:sectPr>
      </w:pPr>
    </w:p>
    <w:p w14:paraId="6B061429">
      <w:pPr>
        <w:pStyle w:val="3"/>
      </w:pPr>
      <w:bookmarkStart w:id="103" w:name="_Toc22419"/>
      <w:r>
        <w:rPr>
          <w:rFonts w:hint="eastAsia"/>
        </w:rPr>
        <w:t xml:space="preserve">附件3 </w:t>
      </w:r>
    </w:p>
    <w:p w14:paraId="0D2545CA">
      <w:pPr>
        <w:pStyle w:val="3"/>
        <w:jc w:val="center"/>
      </w:pPr>
      <w:r>
        <w:rPr>
          <w:rFonts w:hint="eastAsia"/>
        </w:rPr>
        <w:t>连云区“无废城市”建设任务清单</w:t>
      </w:r>
      <w:bookmarkEnd w:id="103"/>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
        <w:gridCol w:w="964"/>
        <w:gridCol w:w="6350"/>
        <w:gridCol w:w="2455"/>
        <w:gridCol w:w="2242"/>
        <w:gridCol w:w="1307"/>
      </w:tblGrid>
      <w:tr w14:paraId="279BC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blHeader/>
        </w:trPr>
        <w:tc>
          <w:tcPr>
            <w:tcW w:w="302" w:type="pct"/>
            <w:shd w:val="clear" w:color="auto" w:fill="auto"/>
            <w:noWrap/>
            <w:vAlign w:val="center"/>
          </w:tcPr>
          <w:p w14:paraId="0837D988">
            <w:pPr>
              <w:pStyle w:val="28"/>
              <w:rPr>
                <w:rFonts w:hint="default" w:cs="Times New Roman"/>
                <w:b/>
                <w:bCs/>
              </w:rPr>
            </w:pPr>
            <w:r>
              <w:rPr>
                <w:rFonts w:hint="default" w:cs="Times New Roman"/>
                <w:b/>
                <w:bCs/>
              </w:rPr>
              <w:t>序号</w:t>
            </w:r>
          </w:p>
        </w:tc>
        <w:tc>
          <w:tcPr>
            <w:tcW w:w="340" w:type="pct"/>
            <w:shd w:val="clear" w:color="auto" w:fill="auto"/>
            <w:vAlign w:val="center"/>
          </w:tcPr>
          <w:p w14:paraId="13A779D8">
            <w:pPr>
              <w:pStyle w:val="28"/>
              <w:rPr>
                <w:rFonts w:hint="default" w:cs="Times New Roman"/>
                <w:b/>
                <w:bCs/>
              </w:rPr>
            </w:pPr>
            <w:r>
              <w:rPr>
                <w:rFonts w:hint="default" w:cs="Times New Roman"/>
                <w:b/>
                <w:bCs/>
              </w:rPr>
              <w:t>领域</w:t>
            </w:r>
          </w:p>
        </w:tc>
        <w:tc>
          <w:tcPr>
            <w:tcW w:w="2240" w:type="pct"/>
            <w:shd w:val="clear" w:color="auto" w:fill="auto"/>
            <w:noWrap/>
            <w:vAlign w:val="center"/>
          </w:tcPr>
          <w:p w14:paraId="5C0B3A56">
            <w:pPr>
              <w:pStyle w:val="28"/>
              <w:rPr>
                <w:rFonts w:hint="default" w:cs="Times New Roman"/>
                <w:b/>
                <w:bCs/>
              </w:rPr>
            </w:pPr>
            <w:r>
              <w:rPr>
                <w:rFonts w:hint="default" w:cs="Times New Roman"/>
                <w:b/>
                <w:bCs/>
              </w:rPr>
              <w:t>任务清单</w:t>
            </w:r>
          </w:p>
        </w:tc>
        <w:tc>
          <w:tcPr>
            <w:tcW w:w="866" w:type="pct"/>
            <w:shd w:val="clear" w:color="auto" w:fill="auto"/>
            <w:noWrap/>
            <w:vAlign w:val="center"/>
          </w:tcPr>
          <w:p w14:paraId="1C8A5AE9">
            <w:pPr>
              <w:pStyle w:val="28"/>
              <w:rPr>
                <w:rFonts w:hint="default" w:cs="Times New Roman"/>
                <w:b/>
                <w:bCs/>
              </w:rPr>
            </w:pPr>
            <w:r>
              <w:rPr>
                <w:rFonts w:hint="default" w:cs="Times New Roman"/>
                <w:b/>
                <w:bCs/>
              </w:rPr>
              <w:t>牵头单位</w:t>
            </w:r>
          </w:p>
        </w:tc>
        <w:tc>
          <w:tcPr>
            <w:tcW w:w="791" w:type="pct"/>
            <w:shd w:val="clear" w:color="auto" w:fill="auto"/>
            <w:noWrap/>
            <w:vAlign w:val="center"/>
          </w:tcPr>
          <w:p w14:paraId="635D4A3F">
            <w:pPr>
              <w:pStyle w:val="28"/>
              <w:rPr>
                <w:rFonts w:hint="default" w:cs="Times New Roman"/>
                <w:b/>
                <w:bCs/>
              </w:rPr>
            </w:pPr>
            <w:r>
              <w:rPr>
                <w:rFonts w:hint="default" w:cs="Times New Roman"/>
                <w:b/>
                <w:bCs/>
              </w:rPr>
              <w:t>配合单位</w:t>
            </w:r>
          </w:p>
        </w:tc>
        <w:tc>
          <w:tcPr>
            <w:tcW w:w="458" w:type="pct"/>
            <w:shd w:val="clear" w:color="auto" w:fill="auto"/>
            <w:noWrap/>
            <w:vAlign w:val="center"/>
          </w:tcPr>
          <w:p w14:paraId="1FE6271F">
            <w:pPr>
              <w:pStyle w:val="28"/>
              <w:rPr>
                <w:rFonts w:hint="default" w:cs="Times New Roman"/>
                <w:b/>
                <w:bCs/>
              </w:rPr>
            </w:pPr>
            <w:r>
              <w:rPr>
                <w:rFonts w:hint="default" w:cs="Times New Roman"/>
                <w:b/>
                <w:bCs/>
              </w:rPr>
              <w:t>时间</w:t>
            </w:r>
          </w:p>
        </w:tc>
      </w:tr>
      <w:tr w14:paraId="78B78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gridSpan w:val="6"/>
            <w:shd w:val="clear" w:color="auto" w:fill="auto"/>
            <w:noWrap/>
            <w:vAlign w:val="center"/>
          </w:tcPr>
          <w:p w14:paraId="11727940">
            <w:pPr>
              <w:pStyle w:val="28"/>
              <w:rPr>
                <w:rFonts w:hint="default" w:cs="Times New Roman"/>
                <w:b/>
                <w:bCs/>
              </w:rPr>
            </w:pPr>
            <w:r>
              <w:rPr>
                <w:rFonts w:hint="default" w:cs="Times New Roman"/>
                <w:b/>
                <w:bCs/>
              </w:rPr>
              <w:t>一、制度体系建设</w:t>
            </w:r>
          </w:p>
        </w:tc>
      </w:tr>
      <w:tr w14:paraId="2B608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02" w:type="pct"/>
            <w:shd w:val="clear" w:color="auto" w:fill="auto"/>
            <w:noWrap/>
            <w:vAlign w:val="center"/>
          </w:tcPr>
          <w:p w14:paraId="4BB695C6">
            <w:pPr>
              <w:pStyle w:val="28"/>
              <w:numPr>
                <w:ilvl w:val="0"/>
                <w:numId w:val="10"/>
              </w:numPr>
              <w:rPr>
                <w:rFonts w:hint="default" w:cs="Times New Roman"/>
                <w:b/>
                <w:bCs/>
              </w:rPr>
            </w:pPr>
          </w:p>
        </w:tc>
        <w:tc>
          <w:tcPr>
            <w:tcW w:w="340" w:type="pct"/>
            <w:vMerge w:val="restart"/>
            <w:shd w:val="clear" w:color="auto" w:fill="auto"/>
            <w:vAlign w:val="center"/>
          </w:tcPr>
          <w:p w14:paraId="0B47DE87">
            <w:pPr>
              <w:pStyle w:val="28"/>
              <w:rPr>
                <w:rFonts w:hint="default" w:cs="Times New Roman"/>
              </w:rPr>
            </w:pPr>
            <w:r>
              <w:rPr>
                <w:rFonts w:hint="default" w:cs="Times New Roman"/>
              </w:rPr>
              <w:t>保障措施</w:t>
            </w:r>
          </w:p>
        </w:tc>
        <w:tc>
          <w:tcPr>
            <w:tcW w:w="2240" w:type="pct"/>
            <w:shd w:val="clear" w:color="auto" w:fill="auto"/>
            <w:noWrap/>
            <w:vAlign w:val="center"/>
          </w:tcPr>
          <w:p w14:paraId="7903A080">
            <w:pPr>
              <w:pStyle w:val="28"/>
              <w:rPr>
                <w:rFonts w:hint="default" w:cs="Times New Roman"/>
              </w:rPr>
            </w:pPr>
            <w:r>
              <w:rPr>
                <w:rFonts w:hint="default" w:cs="Times New Roman"/>
              </w:rPr>
              <w:t>制定《连云区“无废城市”建设工作宣传方案》</w:t>
            </w:r>
          </w:p>
        </w:tc>
        <w:tc>
          <w:tcPr>
            <w:tcW w:w="866" w:type="pct"/>
            <w:shd w:val="clear" w:color="auto" w:fill="auto"/>
            <w:noWrap/>
            <w:vAlign w:val="center"/>
          </w:tcPr>
          <w:p w14:paraId="74FA0ABB">
            <w:pPr>
              <w:pStyle w:val="28"/>
              <w:rPr>
                <w:rFonts w:hint="default" w:cs="Times New Roman"/>
              </w:rPr>
            </w:pPr>
            <w:r>
              <w:rPr>
                <w:rFonts w:hint="default" w:cs="Times New Roman"/>
              </w:rPr>
              <w:t>无废办</w:t>
            </w:r>
          </w:p>
        </w:tc>
        <w:tc>
          <w:tcPr>
            <w:tcW w:w="791" w:type="pct"/>
            <w:shd w:val="clear" w:color="auto" w:fill="auto"/>
            <w:noWrap/>
            <w:vAlign w:val="center"/>
          </w:tcPr>
          <w:p w14:paraId="4A1DD976">
            <w:pPr>
              <w:pStyle w:val="28"/>
              <w:rPr>
                <w:rFonts w:hint="default" w:cs="Times New Roman"/>
              </w:rPr>
            </w:pPr>
            <w:r>
              <w:rPr>
                <w:rFonts w:hint="default" w:cs="Times New Roman"/>
              </w:rPr>
              <w:t>/</w:t>
            </w:r>
          </w:p>
        </w:tc>
        <w:tc>
          <w:tcPr>
            <w:tcW w:w="458" w:type="pct"/>
            <w:shd w:val="clear" w:color="auto" w:fill="auto"/>
            <w:noWrap/>
            <w:vAlign w:val="center"/>
          </w:tcPr>
          <w:p w14:paraId="731CE421">
            <w:pPr>
              <w:pStyle w:val="28"/>
              <w:rPr>
                <w:rFonts w:hint="default" w:cs="Times New Roman"/>
              </w:rPr>
            </w:pPr>
            <w:r>
              <w:rPr>
                <w:rFonts w:hint="default" w:cs="Times New Roman"/>
              </w:rPr>
              <w:t>2023</w:t>
            </w:r>
          </w:p>
        </w:tc>
      </w:tr>
      <w:tr w14:paraId="189F8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02" w:type="pct"/>
            <w:shd w:val="clear" w:color="auto" w:fill="auto"/>
            <w:noWrap/>
            <w:vAlign w:val="center"/>
          </w:tcPr>
          <w:p w14:paraId="5A3DFC08">
            <w:pPr>
              <w:pStyle w:val="28"/>
              <w:numPr>
                <w:ilvl w:val="0"/>
                <w:numId w:val="10"/>
              </w:numPr>
              <w:rPr>
                <w:rFonts w:hint="default" w:cs="Times New Roman"/>
                <w:b/>
                <w:bCs/>
              </w:rPr>
            </w:pPr>
          </w:p>
        </w:tc>
        <w:tc>
          <w:tcPr>
            <w:tcW w:w="340" w:type="pct"/>
            <w:vMerge w:val="continue"/>
            <w:shd w:val="clear" w:color="auto" w:fill="auto"/>
            <w:vAlign w:val="center"/>
          </w:tcPr>
          <w:p w14:paraId="2510B9A7">
            <w:pPr>
              <w:pStyle w:val="28"/>
              <w:rPr>
                <w:rFonts w:hint="default" w:cs="Times New Roman"/>
              </w:rPr>
            </w:pPr>
          </w:p>
        </w:tc>
        <w:tc>
          <w:tcPr>
            <w:tcW w:w="2240" w:type="pct"/>
            <w:shd w:val="clear" w:color="auto" w:fill="auto"/>
            <w:noWrap/>
            <w:vAlign w:val="center"/>
          </w:tcPr>
          <w:p w14:paraId="755E7E66">
            <w:pPr>
              <w:pStyle w:val="28"/>
              <w:rPr>
                <w:rFonts w:hint="default" w:cs="Times New Roman"/>
              </w:rPr>
            </w:pPr>
            <w:r>
              <w:rPr>
                <w:rFonts w:hint="default" w:cs="Times New Roman"/>
              </w:rPr>
              <w:t>建立连云区固体废物环境管理工作协调联动机制</w:t>
            </w:r>
          </w:p>
        </w:tc>
        <w:tc>
          <w:tcPr>
            <w:tcW w:w="866" w:type="pct"/>
            <w:shd w:val="clear" w:color="auto" w:fill="auto"/>
            <w:noWrap/>
            <w:vAlign w:val="center"/>
          </w:tcPr>
          <w:p w14:paraId="5573F4E4">
            <w:pPr>
              <w:pStyle w:val="28"/>
              <w:rPr>
                <w:rFonts w:hint="default" w:cs="Times New Roman"/>
              </w:rPr>
            </w:pPr>
            <w:r>
              <w:rPr>
                <w:rFonts w:hint="default" w:cs="Times New Roman"/>
              </w:rPr>
              <w:t>无废办</w:t>
            </w:r>
          </w:p>
        </w:tc>
        <w:tc>
          <w:tcPr>
            <w:tcW w:w="791" w:type="pct"/>
            <w:shd w:val="clear" w:color="auto" w:fill="auto"/>
            <w:noWrap/>
            <w:vAlign w:val="center"/>
          </w:tcPr>
          <w:p w14:paraId="22BE0834">
            <w:pPr>
              <w:pStyle w:val="28"/>
              <w:rPr>
                <w:rFonts w:hint="default" w:cs="Times New Roman"/>
              </w:rPr>
            </w:pPr>
            <w:r>
              <w:rPr>
                <w:rFonts w:hint="default" w:cs="Times New Roman"/>
              </w:rPr>
              <w:t>/</w:t>
            </w:r>
          </w:p>
        </w:tc>
        <w:tc>
          <w:tcPr>
            <w:tcW w:w="458" w:type="pct"/>
            <w:shd w:val="clear" w:color="auto" w:fill="auto"/>
            <w:noWrap/>
            <w:vAlign w:val="center"/>
          </w:tcPr>
          <w:p w14:paraId="5B62C296">
            <w:pPr>
              <w:pStyle w:val="28"/>
              <w:rPr>
                <w:rFonts w:hint="default" w:cs="Times New Roman"/>
              </w:rPr>
            </w:pPr>
            <w:r>
              <w:rPr>
                <w:rFonts w:hint="default" w:cs="Times New Roman"/>
              </w:rPr>
              <w:t>2023</w:t>
            </w:r>
          </w:p>
        </w:tc>
      </w:tr>
      <w:tr w14:paraId="67050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02" w:type="pct"/>
            <w:shd w:val="clear" w:color="auto" w:fill="auto"/>
            <w:noWrap/>
            <w:vAlign w:val="center"/>
          </w:tcPr>
          <w:p w14:paraId="431393A1">
            <w:pPr>
              <w:pStyle w:val="28"/>
              <w:numPr>
                <w:ilvl w:val="0"/>
                <w:numId w:val="10"/>
              </w:numPr>
              <w:rPr>
                <w:rFonts w:hint="default" w:cs="Times New Roman"/>
                <w:b/>
                <w:bCs/>
              </w:rPr>
            </w:pPr>
          </w:p>
        </w:tc>
        <w:tc>
          <w:tcPr>
            <w:tcW w:w="340" w:type="pct"/>
            <w:vMerge w:val="continue"/>
            <w:shd w:val="clear" w:color="auto" w:fill="auto"/>
            <w:vAlign w:val="center"/>
          </w:tcPr>
          <w:p w14:paraId="0634452D">
            <w:pPr>
              <w:pStyle w:val="28"/>
              <w:rPr>
                <w:rFonts w:hint="default" w:cs="Times New Roman"/>
              </w:rPr>
            </w:pPr>
          </w:p>
        </w:tc>
        <w:tc>
          <w:tcPr>
            <w:tcW w:w="2240" w:type="pct"/>
            <w:shd w:val="clear" w:color="auto" w:fill="auto"/>
            <w:noWrap/>
            <w:vAlign w:val="center"/>
          </w:tcPr>
          <w:p w14:paraId="29F4A97B">
            <w:pPr>
              <w:pStyle w:val="28"/>
              <w:rPr>
                <w:rFonts w:hint="default" w:cs="Times New Roman"/>
              </w:rPr>
            </w:pPr>
            <w:r>
              <w:rPr>
                <w:rFonts w:hint="default" w:cs="Times New Roman"/>
              </w:rPr>
              <w:t>制定“无废城市”建设考核机制，将建设成效纳入政绩考核</w:t>
            </w:r>
          </w:p>
        </w:tc>
        <w:tc>
          <w:tcPr>
            <w:tcW w:w="866" w:type="pct"/>
            <w:shd w:val="clear" w:color="auto" w:fill="auto"/>
            <w:noWrap/>
            <w:vAlign w:val="center"/>
          </w:tcPr>
          <w:p w14:paraId="29038A7A">
            <w:pPr>
              <w:pStyle w:val="28"/>
              <w:rPr>
                <w:rFonts w:hint="default" w:cs="Times New Roman"/>
              </w:rPr>
            </w:pPr>
            <w:r>
              <w:rPr>
                <w:rFonts w:hint="default" w:cs="Times New Roman"/>
              </w:rPr>
              <w:t>无废办</w:t>
            </w:r>
          </w:p>
        </w:tc>
        <w:tc>
          <w:tcPr>
            <w:tcW w:w="791" w:type="pct"/>
            <w:shd w:val="clear" w:color="auto" w:fill="auto"/>
            <w:noWrap/>
            <w:vAlign w:val="center"/>
          </w:tcPr>
          <w:p w14:paraId="22487BD7">
            <w:pPr>
              <w:pStyle w:val="28"/>
              <w:rPr>
                <w:rFonts w:hint="default" w:cs="Times New Roman"/>
              </w:rPr>
            </w:pPr>
            <w:r>
              <w:rPr>
                <w:rFonts w:hint="default" w:cs="Times New Roman"/>
              </w:rPr>
              <w:t>/</w:t>
            </w:r>
          </w:p>
        </w:tc>
        <w:tc>
          <w:tcPr>
            <w:tcW w:w="458" w:type="pct"/>
            <w:shd w:val="clear" w:color="auto" w:fill="auto"/>
            <w:noWrap/>
            <w:vAlign w:val="center"/>
          </w:tcPr>
          <w:p w14:paraId="37D123D1">
            <w:pPr>
              <w:pStyle w:val="28"/>
              <w:rPr>
                <w:rFonts w:hint="default" w:cs="Times New Roman"/>
              </w:rPr>
            </w:pPr>
            <w:r>
              <w:rPr>
                <w:rFonts w:hint="default" w:cs="Times New Roman"/>
              </w:rPr>
              <w:t>2023</w:t>
            </w:r>
          </w:p>
        </w:tc>
      </w:tr>
      <w:tr w14:paraId="40409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02" w:type="pct"/>
            <w:shd w:val="clear" w:color="auto" w:fill="auto"/>
            <w:noWrap/>
            <w:vAlign w:val="center"/>
          </w:tcPr>
          <w:p w14:paraId="00BD1A18">
            <w:pPr>
              <w:pStyle w:val="28"/>
              <w:numPr>
                <w:ilvl w:val="0"/>
                <w:numId w:val="10"/>
              </w:numPr>
              <w:rPr>
                <w:rFonts w:hint="default" w:cs="Times New Roman"/>
                <w:b/>
                <w:bCs/>
              </w:rPr>
            </w:pPr>
          </w:p>
        </w:tc>
        <w:tc>
          <w:tcPr>
            <w:tcW w:w="340" w:type="pct"/>
            <w:vMerge w:val="restart"/>
            <w:shd w:val="clear" w:color="auto" w:fill="auto"/>
            <w:vAlign w:val="center"/>
          </w:tcPr>
          <w:p w14:paraId="531C139F">
            <w:pPr>
              <w:pStyle w:val="28"/>
              <w:rPr>
                <w:rFonts w:hint="default" w:cs="Times New Roman"/>
              </w:rPr>
            </w:pPr>
            <w:r>
              <w:rPr>
                <w:rFonts w:hint="default" w:cs="Times New Roman"/>
              </w:rPr>
              <w:t>专项行动方案</w:t>
            </w:r>
          </w:p>
        </w:tc>
        <w:tc>
          <w:tcPr>
            <w:tcW w:w="2240" w:type="pct"/>
            <w:shd w:val="clear" w:color="auto" w:fill="auto"/>
            <w:noWrap/>
            <w:vAlign w:val="center"/>
          </w:tcPr>
          <w:p w14:paraId="0571F8B1">
            <w:pPr>
              <w:pStyle w:val="28"/>
              <w:rPr>
                <w:rFonts w:hint="default" w:cs="Times New Roman"/>
              </w:rPr>
            </w:pPr>
            <w:r>
              <w:rPr>
                <w:rFonts w:hint="default" w:cs="Times New Roman"/>
              </w:rPr>
              <w:t>落实《连云港市“十四五”时期生态环境基础设施建设规划》</w:t>
            </w:r>
          </w:p>
        </w:tc>
        <w:tc>
          <w:tcPr>
            <w:tcW w:w="866" w:type="pct"/>
            <w:shd w:val="clear" w:color="auto" w:fill="auto"/>
            <w:noWrap/>
            <w:vAlign w:val="center"/>
          </w:tcPr>
          <w:p w14:paraId="24EA1C21">
            <w:pPr>
              <w:pStyle w:val="28"/>
              <w:rPr>
                <w:rFonts w:hint="default" w:cs="Times New Roman"/>
              </w:rPr>
            </w:pPr>
            <w:r>
              <w:rPr>
                <w:rFonts w:cs="Times New Roman"/>
              </w:rPr>
              <w:t>连云</w:t>
            </w:r>
            <w:r>
              <w:rPr>
                <w:rFonts w:hint="default" w:cs="Times New Roman"/>
              </w:rPr>
              <w:t>生态环境局</w:t>
            </w:r>
          </w:p>
        </w:tc>
        <w:tc>
          <w:tcPr>
            <w:tcW w:w="791" w:type="pct"/>
            <w:shd w:val="clear" w:color="auto" w:fill="auto"/>
            <w:noWrap/>
            <w:vAlign w:val="center"/>
          </w:tcPr>
          <w:p w14:paraId="6EC4BA20">
            <w:pPr>
              <w:pStyle w:val="28"/>
              <w:rPr>
                <w:rFonts w:hint="default" w:cs="Times New Roman"/>
              </w:rPr>
            </w:pPr>
            <w:r>
              <w:rPr>
                <w:rFonts w:hint="default" w:cs="Times New Roman"/>
              </w:rPr>
              <w:t>/</w:t>
            </w:r>
          </w:p>
        </w:tc>
        <w:tc>
          <w:tcPr>
            <w:tcW w:w="458" w:type="pct"/>
            <w:shd w:val="clear" w:color="auto" w:fill="auto"/>
            <w:noWrap/>
            <w:vAlign w:val="center"/>
          </w:tcPr>
          <w:p w14:paraId="08AE03B4">
            <w:pPr>
              <w:pStyle w:val="28"/>
              <w:rPr>
                <w:rFonts w:hint="default" w:cs="Times New Roman"/>
              </w:rPr>
            </w:pPr>
            <w:r>
              <w:rPr>
                <w:rFonts w:hint="default" w:cs="Times New Roman"/>
              </w:rPr>
              <w:t>2023-2025</w:t>
            </w:r>
          </w:p>
        </w:tc>
      </w:tr>
      <w:tr w14:paraId="234A2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02" w:type="pct"/>
            <w:shd w:val="clear" w:color="auto" w:fill="auto"/>
            <w:noWrap/>
            <w:vAlign w:val="center"/>
          </w:tcPr>
          <w:p w14:paraId="1CEE7A9C">
            <w:pPr>
              <w:pStyle w:val="28"/>
              <w:numPr>
                <w:ilvl w:val="0"/>
                <w:numId w:val="10"/>
              </w:numPr>
              <w:rPr>
                <w:rFonts w:hint="default" w:cs="Times New Roman"/>
                <w:b/>
                <w:bCs/>
              </w:rPr>
            </w:pPr>
          </w:p>
        </w:tc>
        <w:tc>
          <w:tcPr>
            <w:tcW w:w="340" w:type="pct"/>
            <w:vMerge w:val="continue"/>
            <w:shd w:val="clear" w:color="auto" w:fill="auto"/>
            <w:vAlign w:val="center"/>
          </w:tcPr>
          <w:p w14:paraId="2ACA3A94">
            <w:pPr>
              <w:pStyle w:val="28"/>
              <w:rPr>
                <w:rFonts w:hint="default" w:cs="Times New Roman"/>
              </w:rPr>
            </w:pPr>
          </w:p>
        </w:tc>
        <w:tc>
          <w:tcPr>
            <w:tcW w:w="2240" w:type="pct"/>
            <w:shd w:val="clear" w:color="auto" w:fill="auto"/>
            <w:noWrap/>
            <w:vAlign w:val="center"/>
          </w:tcPr>
          <w:p w14:paraId="15A9E206">
            <w:pPr>
              <w:pStyle w:val="28"/>
              <w:rPr>
                <w:rFonts w:hint="default" w:cs="Times New Roman"/>
              </w:rPr>
            </w:pPr>
            <w:r>
              <w:rPr>
                <w:rFonts w:hint="default" w:cs="Times New Roman"/>
              </w:rPr>
              <w:t>落实《连云港市碳达峰实施方案》</w:t>
            </w:r>
          </w:p>
        </w:tc>
        <w:tc>
          <w:tcPr>
            <w:tcW w:w="866" w:type="pct"/>
            <w:shd w:val="clear" w:color="auto" w:fill="auto"/>
            <w:noWrap/>
            <w:vAlign w:val="center"/>
          </w:tcPr>
          <w:p w14:paraId="41EA53EA">
            <w:pPr>
              <w:pStyle w:val="28"/>
              <w:rPr>
                <w:rFonts w:hint="default" w:cs="Times New Roman"/>
              </w:rPr>
            </w:pPr>
            <w:r>
              <w:rPr>
                <w:rFonts w:cs="Times New Roman"/>
              </w:rPr>
              <w:t>区</w:t>
            </w:r>
            <w:r>
              <w:rPr>
                <w:rFonts w:hint="default" w:cs="Times New Roman"/>
              </w:rPr>
              <w:t>经发局</w:t>
            </w:r>
          </w:p>
        </w:tc>
        <w:tc>
          <w:tcPr>
            <w:tcW w:w="791" w:type="pct"/>
            <w:shd w:val="clear" w:color="auto" w:fill="auto"/>
            <w:noWrap/>
            <w:vAlign w:val="center"/>
          </w:tcPr>
          <w:p w14:paraId="0A482476">
            <w:pPr>
              <w:pStyle w:val="28"/>
              <w:rPr>
                <w:rFonts w:hint="default" w:cs="Times New Roman"/>
              </w:rPr>
            </w:pPr>
            <w:r>
              <w:rPr>
                <w:rFonts w:hint="default" w:cs="Times New Roman"/>
              </w:rPr>
              <w:t>/</w:t>
            </w:r>
          </w:p>
        </w:tc>
        <w:tc>
          <w:tcPr>
            <w:tcW w:w="458" w:type="pct"/>
            <w:shd w:val="clear" w:color="auto" w:fill="auto"/>
            <w:noWrap/>
            <w:vAlign w:val="center"/>
          </w:tcPr>
          <w:p w14:paraId="4B2E8FE4">
            <w:pPr>
              <w:pStyle w:val="28"/>
              <w:rPr>
                <w:rFonts w:hint="default" w:cs="Times New Roman"/>
              </w:rPr>
            </w:pPr>
            <w:r>
              <w:rPr>
                <w:rFonts w:hint="default" w:cs="Times New Roman"/>
              </w:rPr>
              <w:t>2023-2025</w:t>
            </w:r>
          </w:p>
        </w:tc>
      </w:tr>
      <w:tr w14:paraId="093D7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02" w:type="pct"/>
            <w:shd w:val="clear" w:color="auto" w:fill="auto"/>
            <w:noWrap/>
            <w:vAlign w:val="center"/>
          </w:tcPr>
          <w:p w14:paraId="0840D236">
            <w:pPr>
              <w:pStyle w:val="28"/>
              <w:numPr>
                <w:ilvl w:val="0"/>
                <w:numId w:val="10"/>
              </w:numPr>
              <w:rPr>
                <w:rFonts w:hint="default" w:cs="Times New Roman"/>
                <w:b/>
                <w:bCs/>
              </w:rPr>
            </w:pPr>
          </w:p>
        </w:tc>
        <w:tc>
          <w:tcPr>
            <w:tcW w:w="340" w:type="pct"/>
            <w:vMerge w:val="continue"/>
            <w:vAlign w:val="center"/>
          </w:tcPr>
          <w:p w14:paraId="01C8DAD7">
            <w:pPr>
              <w:pStyle w:val="28"/>
              <w:rPr>
                <w:rFonts w:hint="default" w:cs="Times New Roman"/>
              </w:rPr>
            </w:pPr>
          </w:p>
        </w:tc>
        <w:tc>
          <w:tcPr>
            <w:tcW w:w="2240" w:type="pct"/>
            <w:shd w:val="clear" w:color="auto" w:fill="auto"/>
            <w:noWrap/>
            <w:vAlign w:val="center"/>
          </w:tcPr>
          <w:p w14:paraId="3A86D98B">
            <w:pPr>
              <w:pStyle w:val="28"/>
              <w:rPr>
                <w:rFonts w:hint="default" w:cs="Times New Roman"/>
              </w:rPr>
            </w:pPr>
            <w:r>
              <w:rPr>
                <w:rFonts w:hint="default" w:cs="Times New Roman"/>
              </w:rPr>
              <w:t>制定《</w:t>
            </w:r>
            <w:r>
              <w:rPr>
                <w:rFonts w:cs="Times New Roman"/>
              </w:rPr>
              <w:t>一般工业固体废物基础信息清单</w:t>
            </w:r>
            <w:r>
              <w:rPr>
                <w:rFonts w:hint="default" w:cs="Times New Roman"/>
              </w:rPr>
              <w:t>》和《</w:t>
            </w:r>
            <w:r>
              <w:rPr>
                <w:rFonts w:cs="Times New Roman"/>
              </w:rPr>
              <w:t>一般工业固体废物收集、利用、处置单位监管源清单</w:t>
            </w:r>
            <w:r>
              <w:rPr>
                <w:rFonts w:hint="default" w:cs="Times New Roman"/>
              </w:rPr>
              <w:t>》</w:t>
            </w:r>
          </w:p>
        </w:tc>
        <w:tc>
          <w:tcPr>
            <w:tcW w:w="866" w:type="pct"/>
            <w:shd w:val="clear" w:color="auto" w:fill="auto"/>
            <w:noWrap/>
            <w:vAlign w:val="center"/>
          </w:tcPr>
          <w:p w14:paraId="5B084DBF">
            <w:pPr>
              <w:pStyle w:val="28"/>
              <w:rPr>
                <w:rFonts w:hint="default" w:cs="Times New Roman"/>
              </w:rPr>
            </w:pPr>
            <w:r>
              <w:rPr>
                <w:rFonts w:cs="Times New Roman"/>
              </w:rPr>
              <w:t>连云</w:t>
            </w:r>
            <w:r>
              <w:rPr>
                <w:rFonts w:hint="default" w:cs="Times New Roman"/>
              </w:rPr>
              <w:t>生态环境局</w:t>
            </w:r>
          </w:p>
        </w:tc>
        <w:tc>
          <w:tcPr>
            <w:tcW w:w="791" w:type="pct"/>
            <w:shd w:val="clear" w:color="auto" w:fill="auto"/>
            <w:noWrap/>
            <w:vAlign w:val="center"/>
          </w:tcPr>
          <w:p w14:paraId="38576E2A">
            <w:pPr>
              <w:pStyle w:val="28"/>
              <w:rPr>
                <w:rFonts w:hint="default" w:cs="Times New Roman"/>
              </w:rPr>
            </w:pPr>
            <w:r>
              <w:rPr>
                <w:rFonts w:cs="Times New Roman"/>
              </w:rPr>
              <w:t>区</w:t>
            </w:r>
            <w:r>
              <w:rPr>
                <w:rFonts w:hint="default" w:cs="Times New Roman"/>
              </w:rPr>
              <w:t>经发局</w:t>
            </w:r>
          </w:p>
        </w:tc>
        <w:tc>
          <w:tcPr>
            <w:tcW w:w="458" w:type="pct"/>
            <w:shd w:val="clear" w:color="auto" w:fill="auto"/>
            <w:noWrap/>
            <w:vAlign w:val="center"/>
          </w:tcPr>
          <w:p w14:paraId="2657B3E8">
            <w:pPr>
              <w:pStyle w:val="28"/>
              <w:rPr>
                <w:rFonts w:hint="default" w:cs="Times New Roman"/>
              </w:rPr>
            </w:pPr>
            <w:r>
              <w:rPr>
                <w:rFonts w:hint="default" w:cs="Times New Roman"/>
              </w:rPr>
              <w:t>2023</w:t>
            </w:r>
          </w:p>
        </w:tc>
      </w:tr>
      <w:tr w14:paraId="0AC89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02" w:type="pct"/>
            <w:shd w:val="clear" w:color="auto" w:fill="auto"/>
            <w:noWrap/>
            <w:vAlign w:val="center"/>
          </w:tcPr>
          <w:p w14:paraId="22C868DE">
            <w:pPr>
              <w:pStyle w:val="28"/>
              <w:numPr>
                <w:ilvl w:val="0"/>
                <w:numId w:val="10"/>
              </w:numPr>
              <w:rPr>
                <w:rFonts w:hint="default" w:cs="Times New Roman"/>
                <w:b/>
                <w:bCs/>
              </w:rPr>
            </w:pPr>
          </w:p>
        </w:tc>
        <w:tc>
          <w:tcPr>
            <w:tcW w:w="340" w:type="pct"/>
            <w:vMerge w:val="continue"/>
            <w:vAlign w:val="center"/>
          </w:tcPr>
          <w:p w14:paraId="54C175AF">
            <w:pPr>
              <w:pStyle w:val="28"/>
              <w:rPr>
                <w:rFonts w:hint="default" w:cs="Times New Roman"/>
              </w:rPr>
            </w:pPr>
          </w:p>
        </w:tc>
        <w:tc>
          <w:tcPr>
            <w:tcW w:w="2240" w:type="pct"/>
            <w:shd w:val="clear" w:color="auto" w:fill="auto"/>
            <w:noWrap/>
            <w:vAlign w:val="center"/>
          </w:tcPr>
          <w:p w14:paraId="3FA4EE9F">
            <w:pPr>
              <w:pStyle w:val="28"/>
              <w:rPr>
                <w:rFonts w:hint="default" w:cs="Times New Roman"/>
              </w:rPr>
            </w:pPr>
            <w:r>
              <w:rPr>
                <w:rFonts w:hint="default" w:cs="Times New Roman"/>
              </w:rPr>
              <w:t>开展工业固体废物贮存场所环境污染专项整治行动</w:t>
            </w:r>
          </w:p>
        </w:tc>
        <w:tc>
          <w:tcPr>
            <w:tcW w:w="866" w:type="pct"/>
            <w:shd w:val="clear" w:color="auto" w:fill="auto"/>
            <w:noWrap/>
            <w:vAlign w:val="center"/>
          </w:tcPr>
          <w:p w14:paraId="2B87776C">
            <w:pPr>
              <w:pStyle w:val="28"/>
              <w:rPr>
                <w:rFonts w:hint="default" w:cs="Times New Roman"/>
              </w:rPr>
            </w:pPr>
            <w:r>
              <w:rPr>
                <w:rFonts w:cs="Times New Roman"/>
              </w:rPr>
              <w:t>连云</w:t>
            </w:r>
            <w:r>
              <w:rPr>
                <w:rFonts w:hint="default" w:cs="Times New Roman"/>
              </w:rPr>
              <w:t>生态环境局</w:t>
            </w:r>
          </w:p>
        </w:tc>
        <w:tc>
          <w:tcPr>
            <w:tcW w:w="791" w:type="pct"/>
            <w:shd w:val="clear" w:color="auto" w:fill="auto"/>
            <w:noWrap/>
            <w:vAlign w:val="center"/>
          </w:tcPr>
          <w:p w14:paraId="451B05A4">
            <w:pPr>
              <w:pStyle w:val="28"/>
              <w:rPr>
                <w:rFonts w:hint="default" w:cs="Times New Roman"/>
              </w:rPr>
            </w:pPr>
            <w:r>
              <w:rPr>
                <w:rFonts w:cs="Times New Roman"/>
              </w:rPr>
              <w:t>区</w:t>
            </w:r>
            <w:r>
              <w:rPr>
                <w:rFonts w:hint="default" w:cs="Times New Roman"/>
              </w:rPr>
              <w:t>经发局</w:t>
            </w:r>
          </w:p>
        </w:tc>
        <w:tc>
          <w:tcPr>
            <w:tcW w:w="458" w:type="pct"/>
            <w:shd w:val="clear" w:color="auto" w:fill="auto"/>
            <w:noWrap/>
            <w:vAlign w:val="center"/>
          </w:tcPr>
          <w:p w14:paraId="4E2F0697">
            <w:pPr>
              <w:pStyle w:val="28"/>
              <w:rPr>
                <w:rFonts w:hint="default" w:cs="Times New Roman"/>
              </w:rPr>
            </w:pPr>
            <w:r>
              <w:rPr>
                <w:rFonts w:hint="default" w:cs="Times New Roman"/>
              </w:rPr>
              <w:t>2023-2025</w:t>
            </w:r>
          </w:p>
        </w:tc>
      </w:tr>
      <w:tr w14:paraId="251FC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02" w:type="pct"/>
            <w:shd w:val="clear" w:color="auto" w:fill="auto"/>
            <w:noWrap/>
            <w:vAlign w:val="center"/>
          </w:tcPr>
          <w:p w14:paraId="4578A65E">
            <w:pPr>
              <w:pStyle w:val="28"/>
              <w:numPr>
                <w:ilvl w:val="0"/>
                <w:numId w:val="10"/>
              </w:numPr>
              <w:rPr>
                <w:rFonts w:hint="default" w:cs="Times New Roman"/>
                <w:b/>
                <w:bCs/>
              </w:rPr>
            </w:pPr>
          </w:p>
        </w:tc>
        <w:tc>
          <w:tcPr>
            <w:tcW w:w="340" w:type="pct"/>
            <w:vMerge w:val="continue"/>
            <w:vAlign w:val="center"/>
          </w:tcPr>
          <w:p w14:paraId="6A074D39">
            <w:pPr>
              <w:pStyle w:val="28"/>
              <w:rPr>
                <w:rFonts w:hint="default" w:cs="Times New Roman"/>
              </w:rPr>
            </w:pPr>
          </w:p>
        </w:tc>
        <w:tc>
          <w:tcPr>
            <w:tcW w:w="2240" w:type="pct"/>
            <w:shd w:val="clear" w:color="auto" w:fill="auto"/>
            <w:noWrap/>
            <w:vAlign w:val="center"/>
          </w:tcPr>
          <w:p w14:paraId="3F29A0C6">
            <w:pPr>
              <w:pStyle w:val="28"/>
              <w:rPr>
                <w:rFonts w:hint="default" w:cs="Times New Roman"/>
              </w:rPr>
            </w:pPr>
            <w:r>
              <w:rPr>
                <w:rFonts w:hint="default" w:cs="Times New Roman"/>
              </w:rPr>
              <w:t>落实《连云港市危险废物分级分类管理方案》</w:t>
            </w:r>
          </w:p>
        </w:tc>
        <w:tc>
          <w:tcPr>
            <w:tcW w:w="866" w:type="pct"/>
            <w:shd w:val="clear" w:color="auto" w:fill="auto"/>
            <w:noWrap/>
            <w:vAlign w:val="center"/>
          </w:tcPr>
          <w:p w14:paraId="37CB779C">
            <w:pPr>
              <w:pStyle w:val="28"/>
              <w:rPr>
                <w:rFonts w:hint="default" w:cs="Times New Roman"/>
              </w:rPr>
            </w:pPr>
            <w:r>
              <w:rPr>
                <w:rFonts w:cs="Times New Roman"/>
              </w:rPr>
              <w:t>连云</w:t>
            </w:r>
            <w:r>
              <w:rPr>
                <w:rFonts w:hint="default" w:cs="Times New Roman"/>
              </w:rPr>
              <w:t>生态环境局</w:t>
            </w:r>
          </w:p>
        </w:tc>
        <w:tc>
          <w:tcPr>
            <w:tcW w:w="791" w:type="pct"/>
            <w:shd w:val="clear" w:color="auto" w:fill="auto"/>
            <w:noWrap/>
            <w:vAlign w:val="center"/>
          </w:tcPr>
          <w:p w14:paraId="3C711016">
            <w:pPr>
              <w:pStyle w:val="28"/>
              <w:rPr>
                <w:rFonts w:hint="default" w:cs="Times New Roman"/>
              </w:rPr>
            </w:pPr>
            <w:r>
              <w:rPr>
                <w:rFonts w:hint="default" w:cs="Times New Roman"/>
              </w:rPr>
              <w:t>/</w:t>
            </w:r>
          </w:p>
        </w:tc>
        <w:tc>
          <w:tcPr>
            <w:tcW w:w="458" w:type="pct"/>
            <w:shd w:val="clear" w:color="auto" w:fill="auto"/>
            <w:noWrap/>
            <w:vAlign w:val="center"/>
          </w:tcPr>
          <w:p w14:paraId="6EB253CE">
            <w:pPr>
              <w:pStyle w:val="28"/>
              <w:rPr>
                <w:rFonts w:hint="default" w:cs="Times New Roman"/>
              </w:rPr>
            </w:pPr>
            <w:r>
              <w:rPr>
                <w:rFonts w:hint="default" w:cs="Times New Roman"/>
              </w:rPr>
              <w:t>2023-2025</w:t>
            </w:r>
          </w:p>
        </w:tc>
      </w:tr>
      <w:tr w14:paraId="5CE65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02" w:type="pct"/>
            <w:shd w:val="clear" w:color="auto" w:fill="auto"/>
            <w:noWrap/>
            <w:vAlign w:val="center"/>
          </w:tcPr>
          <w:p w14:paraId="7067220E">
            <w:pPr>
              <w:pStyle w:val="28"/>
              <w:numPr>
                <w:ilvl w:val="0"/>
                <w:numId w:val="10"/>
              </w:numPr>
              <w:rPr>
                <w:rFonts w:hint="default" w:cs="Times New Roman"/>
                <w:b/>
                <w:bCs/>
              </w:rPr>
            </w:pPr>
          </w:p>
        </w:tc>
        <w:tc>
          <w:tcPr>
            <w:tcW w:w="340" w:type="pct"/>
            <w:vMerge w:val="continue"/>
            <w:vAlign w:val="center"/>
          </w:tcPr>
          <w:p w14:paraId="63D4FEED">
            <w:pPr>
              <w:pStyle w:val="28"/>
              <w:rPr>
                <w:rFonts w:hint="default" w:cs="Times New Roman"/>
              </w:rPr>
            </w:pPr>
          </w:p>
        </w:tc>
        <w:tc>
          <w:tcPr>
            <w:tcW w:w="2240" w:type="pct"/>
            <w:shd w:val="clear" w:color="auto" w:fill="auto"/>
            <w:noWrap/>
            <w:vAlign w:val="center"/>
          </w:tcPr>
          <w:p w14:paraId="54B7B0E0">
            <w:pPr>
              <w:pStyle w:val="28"/>
              <w:rPr>
                <w:rFonts w:hint="default" w:cs="Times New Roman"/>
              </w:rPr>
            </w:pPr>
            <w:r>
              <w:rPr>
                <w:rFonts w:hint="default" w:cs="Times New Roman"/>
              </w:rPr>
              <w:t>落实《连云港市农药包装废弃物管理办法》</w:t>
            </w:r>
          </w:p>
        </w:tc>
        <w:tc>
          <w:tcPr>
            <w:tcW w:w="866" w:type="pct"/>
            <w:shd w:val="clear" w:color="auto" w:fill="auto"/>
            <w:noWrap/>
            <w:vAlign w:val="center"/>
          </w:tcPr>
          <w:p w14:paraId="34CD67B9">
            <w:pPr>
              <w:pStyle w:val="28"/>
              <w:rPr>
                <w:rFonts w:hint="default" w:cs="Times New Roman"/>
              </w:rPr>
            </w:pPr>
            <w:r>
              <w:rPr>
                <w:rFonts w:cs="Times New Roman"/>
              </w:rPr>
              <w:t>区供销总社</w:t>
            </w:r>
          </w:p>
        </w:tc>
        <w:tc>
          <w:tcPr>
            <w:tcW w:w="791" w:type="pct"/>
            <w:shd w:val="clear" w:color="auto" w:fill="auto"/>
            <w:noWrap/>
            <w:vAlign w:val="center"/>
          </w:tcPr>
          <w:p w14:paraId="799AC459">
            <w:pPr>
              <w:pStyle w:val="28"/>
              <w:rPr>
                <w:rFonts w:hint="default" w:cs="Times New Roman"/>
              </w:rPr>
            </w:pPr>
            <w:r>
              <w:rPr>
                <w:rFonts w:hint="default" w:cs="Times New Roman"/>
              </w:rPr>
              <w:t>/</w:t>
            </w:r>
          </w:p>
        </w:tc>
        <w:tc>
          <w:tcPr>
            <w:tcW w:w="458" w:type="pct"/>
            <w:shd w:val="clear" w:color="auto" w:fill="auto"/>
            <w:noWrap/>
            <w:vAlign w:val="center"/>
          </w:tcPr>
          <w:p w14:paraId="0561DB74">
            <w:pPr>
              <w:pStyle w:val="28"/>
              <w:rPr>
                <w:rFonts w:hint="default" w:cs="Times New Roman"/>
              </w:rPr>
            </w:pPr>
            <w:r>
              <w:rPr>
                <w:rFonts w:hint="default" w:cs="Times New Roman"/>
              </w:rPr>
              <w:t>2023-2025</w:t>
            </w:r>
          </w:p>
        </w:tc>
      </w:tr>
      <w:tr w14:paraId="177F4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02" w:type="pct"/>
            <w:shd w:val="clear" w:color="auto" w:fill="auto"/>
            <w:noWrap/>
            <w:vAlign w:val="center"/>
          </w:tcPr>
          <w:p w14:paraId="6FB7A784">
            <w:pPr>
              <w:pStyle w:val="28"/>
              <w:numPr>
                <w:ilvl w:val="0"/>
                <w:numId w:val="10"/>
              </w:numPr>
              <w:rPr>
                <w:rFonts w:hint="default" w:cs="Times New Roman"/>
                <w:b/>
                <w:bCs/>
              </w:rPr>
            </w:pPr>
          </w:p>
        </w:tc>
        <w:tc>
          <w:tcPr>
            <w:tcW w:w="340" w:type="pct"/>
            <w:vMerge w:val="continue"/>
            <w:vAlign w:val="center"/>
          </w:tcPr>
          <w:p w14:paraId="2A9C7D82">
            <w:pPr>
              <w:pStyle w:val="28"/>
              <w:rPr>
                <w:rFonts w:hint="default" w:cs="Times New Roman"/>
              </w:rPr>
            </w:pPr>
          </w:p>
        </w:tc>
        <w:tc>
          <w:tcPr>
            <w:tcW w:w="2240" w:type="pct"/>
            <w:shd w:val="clear" w:color="auto" w:fill="auto"/>
            <w:noWrap/>
            <w:vAlign w:val="center"/>
          </w:tcPr>
          <w:p w14:paraId="5A3D3B05">
            <w:pPr>
              <w:pStyle w:val="28"/>
              <w:rPr>
                <w:rFonts w:hint="default" w:cs="Times New Roman"/>
              </w:rPr>
            </w:pPr>
            <w:r>
              <w:rPr>
                <w:rFonts w:hint="default" w:cs="Times New Roman"/>
              </w:rPr>
              <w:t>落实《连云港市生活垃圾治理实施方案》</w:t>
            </w:r>
          </w:p>
        </w:tc>
        <w:tc>
          <w:tcPr>
            <w:tcW w:w="866" w:type="pct"/>
            <w:shd w:val="clear" w:color="auto" w:fill="auto"/>
            <w:noWrap/>
            <w:vAlign w:val="center"/>
          </w:tcPr>
          <w:p w14:paraId="42F3462C">
            <w:pPr>
              <w:pStyle w:val="28"/>
              <w:rPr>
                <w:rFonts w:hint="default" w:cs="Times New Roman"/>
              </w:rPr>
            </w:pPr>
            <w:r>
              <w:rPr>
                <w:rFonts w:cs="Times New Roman"/>
              </w:rPr>
              <w:t>区</w:t>
            </w:r>
            <w:r>
              <w:rPr>
                <w:rFonts w:hint="default" w:cs="Times New Roman"/>
              </w:rPr>
              <w:t>城管局</w:t>
            </w:r>
          </w:p>
        </w:tc>
        <w:tc>
          <w:tcPr>
            <w:tcW w:w="791" w:type="pct"/>
            <w:shd w:val="clear" w:color="auto" w:fill="auto"/>
            <w:noWrap/>
            <w:vAlign w:val="center"/>
          </w:tcPr>
          <w:p w14:paraId="609B9237">
            <w:pPr>
              <w:pStyle w:val="28"/>
              <w:rPr>
                <w:rFonts w:hint="default" w:cs="Times New Roman"/>
              </w:rPr>
            </w:pPr>
            <w:r>
              <w:rPr>
                <w:rFonts w:hint="default" w:cs="Times New Roman"/>
              </w:rPr>
              <w:t>/</w:t>
            </w:r>
          </w:p>
        </w:tc>
        <w:tc>
          <w:tcPr>
            <w:tcW w:w="458" w:type="pct"/>
            <w:shd w:val="clear" w:color="auto" w:fill="auto"/>
            <w:noWrap/>
            <w:vAlign w:val="center"/>
          </w:tcPr>
          <w:p w14:paraId="010A7C7B">
            <w:pPr>
              <w:pStyle w:val="28"/>
              <w:rPr>
                <w:rFonts w:hint="default" w:cs="Times New Roman"/>
              </w:rPr>
            </w:pPr>
            <w:r>
              <w:rPr>
                <w:rFonts w:hint="default" w:cs="Times New Roman"/>
              </w:rPr>
              <w:t>2023-2025</w:t>
            </w:r>
          </w:p>
        </w:tc>
      </w:tr>
      <w:tr w14:paraId="2FF22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02" w:type="pct"/>
            <w:shd w:val="clear" w:color="auto" w:fill="auto"/>
            <w:noWrap/>
            <w:vAlign w:val="center"/>
          </w:tcPr>
          <w:p w14:paraId="37930A39">
            <w:pPr>
              <w:pStyle w:val="28"/>
              <w:numPr>
                <w:ilvl w:val="0"/>
                <w:numId w:val="10"/>
              </w:numPr>
              <w:rPr>
                <w:rFonts w:hint="default" w:cs="Times New Roman"/>
                <w:b/>
                <w:bCs/>
              </w:rPr>
            </w:pPr>
          </w:p>
        </w:tc>
        <w:tc>
          <w:tcPr>
            <w:tcW w:w="340" w:type="pct"/>
            <w:vMerge w:val="continue"/>
            <w:vAlign w:val="center"/>
          </w:tcPr>
          <w:p w14:paraId="453603B0">
            <w:pPr>
              <w:pStyle w:val="28"/>
              <w:rPr>
                <w:rFonts w:hint="default" w:cs="Times New Roman"/>
              </w:rPr>
            </w:pPr>
          </w:p>
        </w:tc>
        <w:tc>
          <w:tcPr>
            <w:tcW w:w="2240" w:type="pct"/>
            <w:shd w:val="clear" w:color="auto" w:fill="auto"/>
            <w:noWrap/>
            <w:vAlign w:val="center"/>
          </w:tcPr>
          <w:p w14:paraId="40FB078B">
            <w:pPr>
              <w:pStyle w:val="28"/>
              <w:rPr>
                <w:rFonts w:hint="default" w:cs="Times New Roman"/>
              </w:rPr>
            </w:pPr>
            <w:r>
              <w:rPr>
                <w:rFonts w:hint="default" w:cs="Times New Roman"/>
              </w:rPr>
              <w:t>落实《连云港市有害垃圾处理方案》</w:t>
            </w:r>
          </w:p>
        </w:tc>
        <w:tc>
          <w:tcPr>
            <w:tcW w:w="866" w:type="pct"/>
            <w:shd w:val="clear" w:color="auto" w:fill="auto"/>
            <w:noWrap/>
            <w:vAlign w:val="center"/>
          </w:tcPr>
          <w:p w14:paraId="3BA4E867">
            <w:pPr>
              <w:pStyle w:val="28"/>
              <w:rPr>
                <w:rFonts w:hint="default" w:cs="Times New Roman"/>
              </w:rPr>
            </w:pPr>
            <w:r>
              <w:rPr>
                <w:rFonts w:cs="Times New Roman"/>
              </w:rPr>
              <w:t>区</w:t>
            </w:r>
            <w:r>
              <w:rPr>
                <w:rFonts w:hint="default" w:cs="Times New Roman"/>
              </w:rPr>
              <w:t>城管局</w:t>
            </w:r>
          </w:p>
        </w:tc>
        <w:tc>
          <w:tcPr>
            <w:tcW w:w="791" w:type="pct"/>
            <w:shd w:val="clear" w:color="auto" w:fill="auto"/>
            <w:noWrap/>
            <w:vAlign w:val="center"/>
          </w:tcPr>
          <w:p w14:paraId="6CBF17E9">
            <w:pPr>
              <w:pStyle w:val="28"/>
              <w:rPr>
                <w:rFonts w:hint="default" w:cs="Times New Roman"/>
              </w:rPr>
            </w:pPr>
            <w:r>
              <w:rPr>
                <w:rFonts w:cs="Times New Roman"/>
              </w:rPr>
              <w:t>连云</w:t>
            </w:r>
            <w:r>
              <w:rPr>
                <w:rFonts w:hint="default" w:cs="Times New Roman"/>
              </w:rPr>
              <w:t>生态环境局</w:t>
            </w:r>
          </w:p>
        </w:tc>
        <w:tc>
          <w:tcPr>
            <w:tcW w:w="458" w:type="pct"/>
            <w:shd w:val="clear" w:color="auto" w:fill="auto"/>
            <w:noWrap/>
            <w:vAlign w:val="center"/>
          </w:tcPr>
          <w:p w14:paraId="181008D0">
            <w:pPr>
              <w:pStyle w:val="28"/>
              <w:rPr>
                <w:rFonts w:hint="default" w:cs="Times New Roman"/>
              </w:rPr>
            </w:pPr>
            <w:r>
              <w:rPr>
                <w:rFonts w:hint="default" w:cs="Times New Roman"/>
              </w:rPr>
              <w:t>2023-2025</w:t>
            </w:r>
          </w:p>
        </w:tc>
      </w:tr>
      <w:tr w14:paraId="6FC90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02" w:type="pct"/>
            <w:shd w:val="clear" w:color="auto" w:fill="auto"/>
            <w:noWrap/>
            <w:vAlign w:val="center"/>
          </w:tcPr>
          <w:p w14:paraId="13691558">
            <w:pPr>
              <w:pStyle w:val="28"/>
              <w:numPr>
                <w:ilvl w:val="0"/>
                <w:numId w:val="10"/>
              </w:numPr>
              <w:rPr>
                <w:rFonts w:hint="default" w:cs="Times New Roman"/>
                <w:b/>
                <w:bCs/>
              </w:rPr>
            </w:pPr>
          </w:p>
        </w:tc>
        <w:tc>
          <w:tcPr>
            <w:tcW w:w="340" w:type="pct"/>
            <w:vMerge w:val="continue"/>
            <w:vAlign w:val="center"/>
          </w:tcPr>
          <w:p w14:paraId="343E701E">
            <w:pPr>
              <w:pStyle w:val="28"/>
              <w:rPr>
                <w:rFonts w:hint="default" w:cs="Times New Roman"/>
              </w:rPr>
            </w:pPr>
          </w:p>
        </w:tc>
        <w:tc>
          <w:tcPr>
            <w:tcW w:w="2240" w:type="pct"/>
            <w:shd w:val="clear" w:color="auto" w:fill="auto"/>
            <w:noWrap/>
            <w:vAlign w:val="center"/>
          </w:tcPr>
          <w:p w14:paraId="11032F73">
            <w:pPr>
              <w:pStyle w:val="28"/>
              <w:rPr>
                <w:rFonts w:hint="default" w:cs="Times New Roman"/>
              </w:rPr>
            </w:pPr>
            <w:r>
              <w:rPr>
                <w:rFonts w:hint="default" w:cs="Times New Roman"/>
              </w:rPr>
              <w:t>落实《连云港市试点装配式建筑实施意见》</w:t>
            </w:r>
          </w:p>
        </w:tc>
        <w:tc>
          <w:tcPr>
            <w:tcW w:w="866" w:type="pct"/>
            <w:shd w:val="clear" w:color="auto" w:fill="auto"/>
            <w:noWrap/>
            <w:vAlign w:val="center"/>
          </w:tcPr>
          <w:p w14:paraId="1A3D12FD">
            <w:pPr>
              <w:pStyle w:val="28"/>
              <w:rPr>
                <w:rFonts w:hint="default" w:cs="Times New Roman"/>
              </w:rPr>
            </w:pPr>
            <w:r>
              <w:rPr>
                <w:rFonts w:cs="Times New Roman"/>
              </w:rPr>
              <w:t>区</w:t>
            </w:r>
            <w:r>
              <w:rPr>
                <w:rFonts w:hint="default" w:cs="Times New Roman"/>
              </w:rPr>
              <w:t>住建局</w:t>
            </w:r>
          </w:p>
        </w:tc>
        <w:tc>
          <w:tcPr>
            <w:tcW w:w="791" w:type="pct"/>
            <w:shd w:val="clear" w:color="auto" w:fill="auto"/>
            <w:noWrap/>
            <w:vAlign w:val="center"/>
          </w:tcPr>
          <w:p w14:paraId="429ACCB9">
            <w:pPr>
              <w:pStyle w:val="28"/>
              <w:rPr>
                <w:rFonts w:hint="default" w:cs="Times New Roman"/>
              </w:rPr>
            </w:pPr>
            <w:r>
              <w:rPr>
                <w:rFonts w:hint="default" w:cs="Times New Roman"/>
              </w:rPr>
              <w:t>/</w:t>
            </w:r>
          </w:p>
        </w:tc>
        <w:tc>
          <w:tcPr>
            <w:tcW w:w="458" w:type="pct"/>
            <w:shd w:val="clear" w:color="auto" w:fill="auto"/>
            <w:noWrap/>
            <w:vAlign w:val="center"/>
          </w:tcPr>
          <w:p w14:paraId="653FD8F6">
            <w:pPr>
              <w:pStyle w:val="28"/>
              <w:rPr>
                <w:rFonts w:hint="default" w:cs="Times New Roman"/>
              </w:rPr>
            </w:pPr>
            <w:r>
              <w:rPr>
                <w:rFonts w:hint="default" w:cs="Times New Roman"/>
              </w:rPr>
              <w:t>2023-2025</w:t>
            </w:r>
          </w:p>
        </w:tc>
      </w:tr>
      <w:tr w14:paraId="2ABC2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02" w:type="pct"/>
            <w:shd w:val="clear" w:color="auto" w:fill="auto"/>
            <w:noWrap/>
            <w:vAlign w:val="center"/>
          </w:tcPr>
          <w:p w14:paraId="36E54FA6">
            <w:pPr>
              <w:pStyle w:val="28"/>
              <w:numPr>
                <w:ilvl w:val="0"/>
                <w:numId w:val="10"/>
              </w:numPr>
              <w:rPr>
                <w:rFonts w:hint="default" w:cs="Times New Roman"/>
                <w:b/>
                <w:bCs/>
              </w:rPr>
            </w:pPr>
          </w:p>
        </w:tc>
        <w:tc>
          <w:tcPr>
            <w:tcW w:w="340" w:type="pct"/>
            <w:vMerge w:val="continue"/>
            <w:vAlign w:val="center"/>
          </w:tcPr>
          <w:p w14:paraId="5945E66E">
            <w:pPr>
              <w:pStyle w:val="28"/>
              <w:rPr>
                <w:rFonts w:hint="default" w:cs="Times New Roman"/>
              </w:rPr>
            </w:pPr>
          </w:p>
        </w:tc>
        <w:tc>
          <w:tcPr>
            <w:tcW w:w="2240" w:type="pct"/>
            <w:shd w:val="clear" w:color="auto" w:fill="auto"/>
            <w:noWrap/>
            <w:vAlign w:val="center"/>
          </w:tcPr>
          <w:p w14:paraId="545B501A">
            <w:pPr>
              <w:pStyle w:val="28"/>
              <w:rPr>
                <w:rFonts w:hint="default" w:cs="Times New Roman"/>
              </w:rPr>
            </w:pPr>
            <w:r>
              <w:rPr>
                <w:rFonts w:hint="default" w:cs="Times New Roman"/>
              </w:rPr>
              <w:t>建立连云区绿色建筑和装配式建筑长效推进机制</w:t>
            </w:r>
          </w:p>
        </w:tc>
        <w:tc>
          <w:tcPr>
            <w:tcW w:w="866" w:type="pct"/>
            <w:shd w:val="clear" w:color="auto" w:fill="auto"/>
            <w:noWrap/>
            <w:vAlign w:val="center"/>
          </w:tcPr>
          <w:p w14:paraId="525BA9E5">
            <w:pPr>
              <w:pStyle w:val="28"/>
              <w:rPr>
                <w:rFonts w:hint="default" w:cs="Times New Roman"/>
              </w:rPr>
            </w:pPr>
            <w:r>
              <w:rPr>
                <w:rFonts w:cs="Times New Roman"/>
              </w:rPr>
              <w:t>区</w:t>
            </w:r>
            <w:r>
              <w:rPr>
                <w:rFonts w:hint="default" w:cs="Times New Roman"/>
              </w:rPr>
              <w:t>住建局</w:t>
            </w:r>
          </w:p>
        </w:tc>
        <w:tc>
          <w:tcPr>
            <w:tcW w:w="791" w:type="pct"/>
            <w:shd w:val="clear" w:color="auto" w:fill="auto"/>
            <w:noWrap/>
            <w:vAlign w:val="center"/>
          </w:tcPr>
          <w:p w14:paraId="379C59B5">
            <w:pPr>
              <w:pStyle w:val="28"/>
              <w:rPr>
                <w:rFonts w:hint="default" w:cs="Times New Roman"/>
              </w:rPr>
            </w:pPr>
            <w:r>
              <w:rPr>
                <w:rFonts w:hint="default" w:cs="Times New Roman"/>
              </w:rPr>
              <w:t>/</w:t>
            </w:r>
          </w:p>
        </w:tc>
        <w:tc>
          <w:tcPr>
            <w:tcW w:w="458" w:type="pct"/>
            <w:shd w:val="clear" w:color="auto" w:fill="auto"/>
            <w:noWrap/>
            <w:vAlign w:val="center"/>
          </w:tcPr>
          <w:p w14:paraId="1C612FE4">
            <w:pPr>
              <w:pStyle w:val="28"/>
              <w:rPr>
                <w:rFonts w:hint="default" w:cs="Times New Roman"/>
              </w:rPr>
            </w:pPr>
            <w:r>
              <w:rPr>
                <w:rFonts w:hint="default" w:cs="Times New Roman"/>
              </w:rPr>
              <w:t>2023</w:t>
            </w:r>
          </w:p>
        </w:tc>
      </w:tr>
      <w:tr w14:paraId="6B691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02" w:type="pct"/>
            <w:shd w:val="clear" w:color="auto" w:fill="auto"/>
            <w:noWrap/>
            <w:vAlign w:val="center"/>
          </w:tcPr>
          <w:p w14:paraId="05E872CB">
            <w:pPr>
              <w:pStyle w:val="28"/>
              <w:numPr>
                <w:ilvl w:val="0"/>
                <w:numId w:val="10"/>
              </w:numPr>
              <w:rPr>
                <w:rFonts w:hint="default" w:cs="Times New Roman"/>
                <w:b/>
                <w:bCs/>
              </w:rPr>
            </w:pPr>
          </w:p>
        </w:tc>
        <w:tc>
          <w:tcPr>
            <w:tcW w:w="340" w:type="pct"/>
            <w:vMerge w:val="continue"/>
            <w:vAlign w:val="center"/>
          </w:tcPr>
          <w:p w14:paraId="3D8CB012">
            <w:pPr>
              <w:pStyle w:val="28"/>
              <w:rPr>
                <w:rFonts w:hint="default" w:cs="Times New Roman"/>
              </w:rPr>
            </w:pPr>
          </w:p>
        </w:tc>
        <w:tc>
          <w:tcPr>
            <w:tcW w:w="2240" w:type="pct"/>
            <w:shd w:val="clear" w:color="auto" w:fill="auto"/>
            <w:noWrap/>
            <w:vAlign w:val="center"/>
          </w:tcPr>
          <w:p w14:paraId="238A293F">
            <w:pPr>
              <w:pStyle w:val="28"/>
              <w:rPr>
                <w:rFonts w:hint="default" w:cs="Times New Roman"/>
              </w:rPr>
            </w:pPr>
            <w:r>
              <w:rPr>
                <w:rFonts w:hint="default" w:cs="Times New Roman"/>
              </w:rPr>
              <w:t>落实《连云港市城市建筑垃圾管理办法》</w:t>
            </w:r>
          </w:p>
        </w:tc>
        <w:tc>
          <w:tcPr>
            <w:tcW w:w="866" w:type="pct"/>
            <w:shd w:val="clear" w:color="auto" w:fill="auto"/>
            <w:noWrap/>
            <w:vAlign w:val="center"/>
          </w:tcPr>
          <w:p w14:paraId="63A76DDF">
            <w:pPr>
              <w:pStyle w:val="28"/>
              <w:rPr>
                <w:rFonts w:hint="default" w:cs="Times New Roman"/>
              </w:rPr>
            </w:pPr>
            <w:r>
              <w:rPr>
                <w:rFonts w:cs="Times New Roman"/>
              </w:rPr>
              <w:t>区</w:t>
            </w:r>
            <w:r>
              <w:rPr>
                <w:rFonts w:hint="default" w:cs="Times New Roman"/>
              </w:rPr>
              <w:t>城管局</w:t>
            </w:r>
          </w:p>
        </w:tc>
        <w:tc>
          <w:tcPr>
            <w:tcW w:w="791" w:type="pct"/>
            <w:shd w:val="clear" w:color="auto" w:fill="auto"/>
            <w:noWrap/>
            <w:vAlign w:val="center"/>
          </w:tcPr>
          <w:p w14:paraId="69DC789F">
            <w:pPr>
              <w:pStyle w:val="28"/>
              <w:rPr>
                <w:rFonts w:hint="default" w:cs="Times New Roman"/>
              </w:rPr>
            </w:pPr>
            <w:r>
              <w:rPr>
                <w:rFonts w:hint="default" w:cs="Times New Roman"/>
              </w:rPr>
              <w:t>/</w:t>
            </w:r>
          </w:p>
        </w:tc>
        <w:tc>
          <w:tcPr>
            <w:tcW w:w="458" w:type="pct"/>
            <w:shd w:val="clear" w:color="auto" w:fill="auto"/>
            <w:noWrap/>
            <w:vAlign w:val="center"/>
          </w:tcPr>
          <w:p w14:paraId="11FB16CC">
            <w:pPr>
              <w:pStyle w:val="28"/>
              <w:rPr>
                <w:rFonts w:hint="default" w:cs="Times New Roman"/>
              </w:rPr>
            </w:pPr>
            <w:r>
              <w:rPr>
                <w:rFonts w:hint="default" w:cs="Times New Roman"/>
              </w:rPr>
              <w:t>2023-2025</w:t>
            </w:r>
          </w:p>
        </w:tc>
      </w:tr>
      <w:tr w14:paraId="0A657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02" w:type="pct"/>
            <w:shd w:val="clear" w:color="auto" w:fill="auto"/>
            <w:noWrap/>
            <w:vAlign w:val="center"/>
          </w:tcPr>
          <w:p w14:paraId="2492B0B5">
            <w:pPr>
              <w:pStyle w:val="28"/>
              <w:numPr>
                <w:ilvl w:val="0"/>
                <w:numId w:val="10"/>
              </w:numPr>
              <w:rPr>
                <w:rFonts w:hint="default" w:cs="Times New Roman"/>
                <w:b/>
                <w:bCs/>
              </w:rPr>
            </w:pPr>
          </w:p>
        </w:tc>
        <w:tc>
          <w:tcPr>
            <w:tcW w:w="340" w:type="pct"/>
            <w:vMerge w:val="continue"/>
            <w:vAlign w:val="center"/>
          </w:tcPr>
          <w:p w14:paraId="64A51D39">
            <w:pPr>
              <w:pStyle w:val="28"/>
              <w:rPr>
                <w:rFonts w:hint="default" w:cs="Times New Roman"/>
              </w:rPr>
            </w:pPr>
          </w:p>
        </w:tc>
        <w:tc>
          <w:tcPr>
            <w:tcW w:w="2240" w:type="pct"/>
            <w:shd w:val="clear" w:color="auto" w:fill="auto"/>
            <w:noWrap/>
            <w:vAlign w:val="center"/>
          </w:tcPr>
          <w:p w14:paraId="3C0B5BEB">
            <w:pPr>
              <w:pStyle w:val="28"/>
              <w:rPr>
                <w:rFonts w:hint="default" w:cs="Times New Roman"/>
              </w:rPr>
            </w:pPr>
            <w:r>
              <w:rPr>
                <w:rFonts w:hint="default" w:cs="Times New Roman"/>
              </w:rPr>
              <w:t>落实《海洋清漂专项行动实施方案》</w:t>
            </w:r>
          </w:p>
        </w:tc>
        <w:tc>
          <w:tcPr>
            <w:tcW w:w="866" w:type="pct"/>
            <w:shd w:val="clear" w:color="auto" w:fill="auto"/>
            <w:noWrap/>
            <w:vAlign w:val="center"/>
          </w:tcPr>
          <w:p w14:paraId="0C4032BE">
            <w:pPr>
              <w:pStyle w:val="28"/>
              <w:rPr>
                <w:rFonts w:hint="default" w:cs="Times New Roman"/>
              </w:rPr>
            </w:pPr>
            <w:r>
              <w:rPr>
                <w:rFonts w:hint="default" w:cs="Times New Roman"/>
              </w:rPr>
              <w:t>湾长办</w:t>
            </w:r>
          </w:p>
        </w:tc>
        <w:tc>
          <w:tcPr>
            <w:tcW w:w="791" w:type="pct"/>
            <w:shd w:val="clear" w:color="auto" w:fill="auto"/>
            <w:noWrap/>
            <w:vAlign w:val="center"/>
          </w:tcPr>
          <w:p w14:paraId="4050611A">
            <w:pPr>
              <w:pStyle w:val="28"/>
              <w:rPr>
                <w:rFonts w:hint="default" w:cs="Times New Roman"/>
              </w:rPr>
            </w:pPr>
            <w:r>
              <w:rPr>
                <w:rFonts w:hint="default" w:cs="Times New Roman"/>
              </w:rPr>
              <w:t>相关职责部门</w:t>
            </w:r>
          </w:p>
        </w:tc>
        <w:tc>
          <w:tcPr>
            <w:tcW w:w="458" w:type="pct"/>
            <w:shd w:val="clear" w:color="auto" w:fill="auto"/>
            <w:noWrap/>
            <w:vAlign w:val="center"/>
          </w:tcPr>
          <w:p w14:paraId="58354B30">
            <w:pPr>
              <w:pStyle w:val="28"/>
              <w:rPr>
                <w:rFonts w:hint="default" w:cs="Times New Roman"/>
              </w:rPr>
            </w:pPr>
            <w:r>
              <w:rPr>
                <w:rFonts w:hint="default" w:cs="Times New Roman"/>
              </w:rPr>
              <w:t>2023-2025</w:t>
            </w:r>
          </w:p>
        </w:tc>
      </w:tr>
      <w:tr w14:paraId="7FAC8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gridSpan w:val="6"/>
            <w:shd w:val="clear" w:color="auto" w:fill="auto"/>
            <w:noWrap/>
            <w:vAlign w:val="center"/>
          </w:tcPr>
          <w:p w14:paraId="1131ABBE">
            <w:pPr>
              <w:pStyle w:val="28"/>
              <w:rPr>
                <w:rFonts w:hint="default" w:cs="Times New Roman"/>
                <w:b/>
                <w:bCs/>
              </w:rPr>
            </w:pPr>
            <w:r>
              <w:rPr>
                <w:rFonts w:hint="default" w:cs="Times New Roman"/>
                <w:b/>
                <w:bCs/>
              </w:rPr>
              <w:t>二、技术体系建设</w:t>
            </w:r>
          </w:p>
        </w:tc>
      </w:tr>
      <w:tr w14:paraId="086C1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02" w:type="pct"/>
            <w:shd w:val="clear" w:color="auto" w:fill="auto"/>
            <w:noWrap/>
            <w:vAlign w:val="center"/>
          </w:tcPr>
          <w:p w14:paraId="681852F1">
            <w:pPr>
              <w:pStyle w:val="28"/>
              <w:numPr>
                <w:ilvl w:val="0"/>
                <w:numId w:val="11"/>
              </w:numPr>
              <w:rPr>
                <w:rFonts w:hint="default" w:cs="Times New Roman"/>
                <w:b/>
                <w:bCs/>
              </w:rPr>
            </w:pPr>
          </w:p>
        </w:tc>
        <w:tc>
          <w:tcPr>
            <w:tcW w:w="340" w:type="pct"/>
            <w:vMerge w:val="restart"/>
            <w:vAlign w:val="center"/>
          </w:tcPr>
          <w:p w14:paraId="5A574C26">
            <w:pPr>
              <w:pStyle w:val="28"/>
              <w:rPr>
                <w:rFonts w:hint="default" w:cs="Times New Roman"/>
              </w:rPr>
            </w:pPr>
            <w:r>
              <w:rPr>
                <w:rFonts w:hint="default" w:cs="Times New Roman"/>
              </w:rPr>
              <w:t>技术研究及应用</w:t>
            </w:r>
          </w:p>
        </w:tc>
        <w:tc>
          <w:tcPr>
            <w:tcW w:w="2240" w:type="pct"/>
            <w:shd w:val="clear" w:color="auto" w:fill="auto"/>
            <w:noWrap/>
            <w:vAlign w:val="center"/>
          </w:tcPr>
          <w:p w14:paraId="5DE131A5">
            <w:pPr>
              <w:pStyle w:val="28"/>
              <w:rPr>
                <w:rFonts w:hint="default" w:cs="Times New Roman"/>
              </w:rPr>
            </w:pPr>
            <w:r>
              <w:rPr>
                <w:rFonts w:hint="default" w:cs="Times New Roman"/>
              </w:rPr>
              <w:t>探索一般工业固体废物资源化利用技术及工艺</w:t>
            </w:r>
          </w:p>
        </w:tc>
        <w:tc>
          <w:tcPr>
            <w:tcW w:w="866" w:type="pct"/>
            <w:shd w:val="clear" w:color="auto" w:fill="auto"/>
            <w:noWrap/>
            <w:vAlign w:val="center"/>
          </w:tcPr>
          <w:p w14:paraId="59B6B018">
            <w:pPr>
              <w:pStyle w:val="28"/>
              <w:rPr>
                <w:rFonts w:hint="default" w:cs="Times New Roman"/>
              </w:rPr>
            </w:pPr>
            <w:r>
              <w:rPr>
                <w:rFonts w:cs="Times New Roman"/>
              </w:rPr>
              <w:t>区</w:t>
            </w:r>
            <w:r>
              <w:rPr>
                <w:rFonts w:hint="default" w:cs="Times New Roman"/>
              </w:rPr>
              <w:t>科技局、</w:t>
            </w:r>
            <w:r>
              <w:rPr>
                <w:rFonts w:cs="Times New Roman"/>
              </w:rPr>
              <w:t>区</w:t>
            </w:r>
            <w:r>
              <w:rPr>
                <w:rFonts w:hint="default" w:cs="Times New Roman"/>
              </w:rPr>
              <w:t>经发局</w:t>
            </w:r>
          </w:p>
        </w:tc>
        <w:tc>
          <w:tcPr>
            <w:tcW w:w="791" w:type="pct"/>
            <w:shd w:val="clear" w:color="auto" w:fill="auto"/>
            <w:noWrap/>
            <w:vAlign w:val="center"/>
          </w:tcPr>
          <w:p w14:paraId="78025A1A">
            <w:pPr>
              <w:pStyle w:val="28"/>
              <w:rPr>
                <w:rFonts w:hint="default" w:cs="Times New Roman"/>
              </w:rPr>
            </w:pPr>
            <w:r>
              <w:rPr>
                <w:rFonts w:hint="default" w:cs="Times New Roman"/>
              </w:rPr>
              <w:t>/</w:t>
            </w:r>
          </w:p>
        </w:tc>
        <w:tc>
          <w:tcPr>
            <w:tcW w:w="458" w:type="pct"/>
            <w:shd w:val="clear" w:color="auto" w:fill="auto"/>
            <w:noWrap/>
            <w:vAlign w:val="center"/>
          </w:tcPr>
          <w:p w14:paraId="40D14DD0">
            <w:pPr>
              <w:pStyle w:val="28"/>
              <w:rPr>
                <w:rFonts w:hint="default" w:cs="Times New Roman"/>
              </w:rPr>
            </w:pPr>
            <w:r>
              <w:rPr>
                <w:rFonts w:hint="default" w:cs="Times New Roman"/>
              </w:rPr>
              <w:t>2023-2025</w:t>
            </w:r>
          </w:p>
        </w:tc>
      </w:tr>
      <w:tr w14:paraId="4B0C6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02" w:type="pct"/>
            <w:shd w:val="clear" w:color="auto" w:fill="auto"/>
            <w:noWrap/>
            <w:vAlign w:val="center"/>
          </w:tcPr>
          <w:p w14:paraId="1F88A3BB">
            <w:pPr>
              <w:pStyle w:val="28"/>
              <w:numPr>
                <w:ilvl w:val="0"/>
                <w:numId w:val="11"/>
              </w:numPr>
              <w:rPr>
                <w:rFonts w:hint="default" w:cs="Times New Roman"/>
                <w:b/>
                <w:bCs/>
              </w:rPr>
            </w:pPr>
          </w:p>
        </w:tc>
        <w:tc>
          <w:tcPr>
            <w:tcW w:w="340" w:type="pct"/>
            <w:vMerge w:val="continue"/>
            <w:vAlign w:val="center"/>
          </w:tcPr>
          <w:p w14:paraId="356FC36E">
            <w:pPr>
              <w:pStyle w:val="28"/>
              <w:rPr>
                <w:rFonts w:hint="default" w:cs="Times New Roman"/>
              </w:rPr>
            </w:pPr>
          </w:p>
        </w:tc>
        <w:tc>
          <w:tcPr>
            <w:tcW w:w="2240" w:type="pct"/>
            <w:shd w:val="clear" w:color="auto" w:fill="auto"/>
            <w:noWrap/>
            <w:vAlign w:val="center"/>
          </w:tcPr>
          <w:p w14:paraId="0680C6D5">
            <w:pPr>
              <w:pStyle w:val="28"/>
              <w:rPr>
                <w:rFonts w:hint="default" w:cs="Times New Roman"/>
              </w:rPr>
            </w:pPr>
            <w:r>
              <w:rPr>
                <w:rFonts w:hint="default" w:cs="Times New Roman"/>
              </w:rPr>
              <w:t>推进一般固废工业盐的减量化技术应用（KVT）</w:t>
            </w:r>
          </w:p>
        </w:tc>
        <w:tc>
          <w:tcPr>
            <w:tcW w:w="866" w:type="pct"/>
            <w:shd w:val="clear" w:color="auto" w:fill="auto"/>
            <w:noWrap/>
            <w:vAlign w:val="center"/>
          </w:tcPr>
          <w:p w14:paraId="5DC7FBAD">
            <w:pPr>
              <w:pStyle w:val="28"/>
              <w:rPr>
                <w:rFonts w:hint="default" w:cs="Times New Roman"/>
              </w:rPr>
            </w:pPr>
            <w:r>
              <w:rPr>
                <w:rFonts w:cs="Times New Roman"/>
              </w:rPr>
              <w:t>连云</w:t>
            </w:r>
            <w:r>
              <w:rPr>
                <w:rFonts w:hint="default" w:cs="Times New Roman"/>
              </w:rPr>
              <w:t>生态环境局</w:t>
            </w:r>
          </w:p>
        </w:tc>
        <w:tc>
          <w:tcPr>
            <w:tcW w:w="791" w:type="pct"/>
            <w:shd w:val="clear" w:color="auto" w:fill="auto"/>
            <w:noWrap/>
            <w:vAlign w:val="center"/>
          </w:tcPr>
          <w:p w14:paraId="1A3017E8">
            <w:pPr>
              <w:pStyle w:val="28"/>
              <w:rPr>
                <w:rFonts w:hint="default" w:cs="Times New Roman"/>
              </w:rPr>
            </w:pPr>
            <w:r>
              <w:rPr>
                <w:rFonts w:hint="default" w:cs="Times New Roman"/>
              </w:rPr>
              <w:t>/</w:t>
            </w:r>
          </w:p>
        </w:tc>
        <w:tc>
          <w:tcPr>
            <w:tcW w:w="458" w:type="pct"/>
            <w:shd w:val="clear" w:color="auto" w:fill="auto"/>
            <w:noWrap/>
            <w:vAlign w:val="center"/>
          </w:tcPr>
          <w:p w14:paraId="7CE8DF64">
            <w:pPr>
              <w:pStyle w:val="28"/>
              <w:rPr>
                <w:rFonts w:hint="default" w:cs="Times New Roman"/>
              </w:rPr>
            </w:pPr>
            <w:r>
              <w:rPr>
                <w:rFonts w:hint="default" w:cs="Times New Roman"/>
              </w:rPr>
              <w:t>2023-2025</w:t>
            </w:r>
          </w:p>
        </w:tc>
      </w:tr>
      <w:tr w14:paraId="5966D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02" w:type="pct"/>
            <w:shd w:val="clear" w:color="auto" w:fill="auto"/>
            <w:noWrap/>
            <w:vAlign w:val="center"/>
          </w:tcPr>
          <w:p w14:paraId="190DD9F6">
            <w:pPr>
              <w:pStyle w:val="28"/>
              <w:numPr>
                <w:ilvl w:val="0"/>
                <w:numId w:val="11"/>
              </w:numPr>
              <w:rPr>
                <w:rFonts w:hint="default" w:cs="Times New Roman"/>
                <w:b/>
                <w:bCs/>
              </w:rPr>
            </w:pPr>
          </w:p>
        </w:tc>
        <w:tc>
          <w:tcPr>
            <w:tcW w:w="340" w:type="pct"/>
            <w:vMerge w:val="continue"/>
            <w:vAlign w:val="center"/>
          </w:tcPr>
          <w:p w14:paraId="352E341A">
            <w:pPr>
              <w:pStyle w:val="28"/>
              <w:rPr>
                <w:rFonts w:hint="default" w:cs="Times New Roman"/>
              </w:rPr>
            </w:pPr>
          </w:p>
        </w:tc>
        <w:tc>
          <w:tcPr>
            <w:tcW w:w="2240" w:type="pct"/>
            <w:shd w:val="clear" w:color="auto" w:fill="auto"/>
            <w:noWrap/>
            <w:vAlign w:val="center"/>
          </w:tcPr>
          <w:p w14:paraId="723B86D7">
            <w:pPr>
              <w:pStyle w:val="28"/>
              <w:rPr>
                <w:rFonts w:hint="default" w:cs="Times New Roman"/>
              </w:rPr>
            </w:pPr>
            <w:r>
              <w:rPr>
                <w:rFonts w:hint="default" w:cs="Times New Roman"/>
              </w:rPr>
              <w:t>推动农业绿色优质发展，提高绿色优质农产品比重</w:t>
            </w:r>
          </w:p>
        </w:tc>
        <w:tc>
          <w:tcPr>
            <w:tcW w:w="866" w:type="pct"/>
            <w:shd w:val="clear" w:color="auto" w:fill="auto"/>
            <w:noWrap/>
            <w:vAlign w:val="center"/>
          </w:tcPr>
          <w:p w14:paraId="3DAC175A">
            <w:pPr>
              <w:pStyle w:val="28"/>
              <w:rPr>
                <w:rFonts w:hint="default" w:cs="Times New Roman"/>
              </w:rPr>
            </w:pPr>
            <w:r>
              <w:rPr>
                <w:rFonts w:cs="Times New Roman"/>
              </w:rPr>
              <w:t>区</w:t>
            </w:r>
            <w:r>
              <w:rPr>
                <w:rFonts w:hint="default" w:cs="Times New Roman"/>
              </w:rPr>
              <w:t>农业农村局</w:t>
            </w:r>
          </w:p>
        </w:tc>
        <w:tc>
          <w:tcPr>
            <w:tcW w:w="791" w:type="pct"/>
            <w:shd w:val="clear" w:color="auto" w:fill="auto"/>
            <w:noWrap/>
            <w:vAlign w:val="center"/>
          </w:tcPr>
          <w:p w14:paraId="7DD222E7">
            <w:pPr>
              <w:pStyle w:val="28"/>
              <w:rPr>
                <w:rFonts w:hint="default" w:cs="Times New Roman"/>
              </w:rPr>
            </w:pPr>
            <w:r>
              <w:rPr>
                <w:rFonts w:cs="Times New Roman"/>
              </w:rPr>
              <w:t>区</w:t>
            </w:r>
            <w:r>
              <w:rPr>
                <w:rFonts w:hint="default" w:cs="Times New Roman"/>
              </w:rPr>
              <w:t>林海局、</w:t>
            </w:r>
            <w:r>
              <w:rPr>
                <w:rFonts w:cs="Times New Roman"/>
              </w:rPr>
              <w:t>区</w:t>
            </w:r>
            <w:r>
              <w:rPr>
                <w:rFonts w:hint="default" w:cs="Times New Roman"/>
              </w:rPr>
              <w:t>农林水利局</w:t>
            </w:r>
          </w:p>
        </w:tc>
        <w:tc>
          <w:tcPr>
            <w:tcW w:w="458" w:type="pct"/>
            <w:shd w:val="clear" w:color="auto" w:fill="auto"/>
            <w:noWrap/>
            <w:vAlign w:val="center"/>
          </w:tcPr>
          <w:p w14:paraId="10D8A1AD">
            <w:pPr>
              <w:pStyle w:val="28"/>
              <w:rPr>
                <w:rFonts w:hint="default" w:cs="Times New Roman"/>
              </w:rPr>
            </w:pPr>
            <w:r>
              <w:rPr>
                <w:rFonts w:hint="default" w:cs="Times New Roman"/>
              </w:rPr>
              <w:t>2023-2025</w:t>
            </w:r>
          </w:p>
        </w:tc>
      </w:tr>
      <w:tr w14:paraId="05284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gridSpan w:val="6"/>
            <w:shd w:val="clear" w:color="auto" w:fill="auto"/>
            <w:noWrap/>
            <w:vAlign w:val="center"/>
          </w:tcPr>
          <w:p w14:paraId="62B82995">
            <w:pPr>
              <w:pStyle w:val="28"/>
              <w:rPr>
                <w:rFonts w:hint="default" w:cs="Times New Roman"/>
                <w:b/>
                <w:bCs/>
              </w:rPr>
            </w:pPr>
            <w:r>
              <w:rPr>
                <w:rFonts w:hint="default" w:cs="Times New Roman"/>
                <w:b/>
                <w:bCs/>
              </w:rPr>
              <w:t>三、市场体系建设</w:t>
            </w:r>
          </w:p>
        </w:tc>
      </w:tr>
      <w:tr w14:paraId="08C31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02" w:type="pct"/>
            <w:shd w:val="clear" w:color="auto" w:fill="auto"/>
            <w:noWrap/>
            <w:vAlign w:val="center"/>
          </w:tcPr>
          <w:p w14:paraId="7FCAB42C">
            <w:pPr>
              <w:pStyle w:val="28"/>
              <w:numPr>
                <w:ilvl w:val="0"/>
                <w:numId w:val="12"/>
              </w:numPr>
              <w:rPr>
                <w:rFonts w:hint="default" w:cs="Times New Roman"/>
                <w:b/>
                <w:bCs/>
              </w:rPr>
            </w:pPr>
          </w:p>
        </w:tc>
        <w:tc>
          <w:tcPr>
            <w:tcW w:w="340" w:type="pct"/>
            <w:vMerge w:val="restart"/>
            <w:shd w:val="clear" w:color="auto" w:fill="auto"/>
            <w:vAlign w:val="center"/>
          </w:tcPr>
          <w:p w14:paraId="71322A85">
            <w:pPr>
              <w:pStyle w:val="28"/>
              <w:rPr>
                <w:rFonts w:hint="default" w:cs="Times New Roman"/>
              </w:rPr>
            </w:pPr>
            <w:r>
              <w:rPr>
                <w:rFonts w:hint="default" w:cs="Times New Roman"/>
              </w:rPr>
              <w:t>金融调控</w:t>
            </w:r>
          </w:p>
        </w:tc>
        <w:tc>
          <w:tcPr>
            <w:tcW w:w="2240" w:type="pct"/>
            <w:shd w:val="clear" w:color="auto" w:fill="auto"/>
            <w:noWrap/>
            <w:vAlign w:val="center"/>
          </w:tcPr>
          <w:p w14:paraId="3FABC6FF">
            <w:pPr>
              <w:pStyle w:val="28"/>
              <w:rPr>
                <w:rFonts w:hint="default" w:cs="Times New Roman"/>
              </w:rPr>
            </w:pPr>
            <w:r>
              <w:rPr>
                <w:rFonts w:hint="default" w:cs="Times New Roman"/>
              </w:rPr>
              <w:t>落实固体废物再生利用处置主体税收优惠政策</w:t>
            </w:r>
          </w:p>
        </w:tc>
        <w:tc>
          <w:tcPr>
            <w:tcW w:w="866" w:type="pct"/>
            <w:shd w:val="clear" w:color="auto" w:fill="auto"/>
            <w:noWrap/>
            <w:vAlign w:val="center"/>
          </w:tcPr>
          <w:p w14:paraId="2253DB7E">
            <w:pPr>
              <w:pStyle w:val="28"/>
              <w:rPr>
                <w:rFonts w:hint="default" w:cs="Times New Roman"/>
              </w:rPr>
            </w:pPr>
            <w:r>
              <w:rPr>
                <w:rFonts w:cs="Times New Roman"/>
              </w:rPr>
              <w:t>连云区</w:t>
            </w:r>
            <w:r>
              <w:rPr>
                <w:rFonts w:hint="default" w:cs="Times New Roman"/>
              </w:rPr>
              <w:t>税务局</w:t>
            </w:r>
          </w:p>
        </w:tc>
        <w:tc>
          <w:tcPr>
            <w:tcW w:w="791" w:type="pct"/>
            <w:shd w:val="clear" w:color="auto" w:fill="auto"/>
            <w:noWrap/>
            <w:vAlign w:val="center"/>
          </w:tcPr>
          <w:p w14:paraId="081E368E">
            <w:pPr>
              <w:pStyle w:val="28"/>
              <w:rPr>
                <w:rFonts w:hint="default" w:cs="Times New Roman"/>
              </w:rPr>
            </w:pPr>
            <w:r>
              <w:rPr>
                <w:rFonts w:hint="default" w:cs="Times New Roman"/>
              </w:rPr>
              <w:t>/</w:t>
            </w:r>
          </w:p>
        </w:tc>
        <w:tc>
          <w:tcPr>
            <w:tcW w:w="458" w:type="pct"/>
            <w:shd w:val="clear" w:color="auto" w:fill="auto"/>
            <w:noWrap/>
            <w:vAlign w:val="center"/>
          </w:tcPr>
          <w:p w14:paraId="5B0086A5">
            <w:pPr>
              <w:pStyle w:val="28"/>
              <w:rPr>
                <w:rFonts w:hint="default" w:cs="Times New Roman"/>
              </w:rPr>
            </w:pPr>
            <w:r>
              <w:rPr>
                <w:rFonts w:hint="default" w:cs="Times New Roman"/>
              </w:rPr>
              <w:t>2023-2025</w:t>
            </w:r>
          </w:p>
        </w:tc>
      </w:tr>
      <w:tr w14:paraId="0D6C2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02" w:type="pct"/>
            <w:shd w:val="clear" w:color="auto" w:fill="auto"/>
            <w:noWrap/>
            <w:vAlign w:val="center"/>
          </w:tcPr>
          <w:p w14:paraId="0C6363E6">
            <w:pPr>
              <w:pStyle w:val="28"/>
              <w:numPr>
                <w:ilvl w:val="0"/>
                <w:numId w:val="12"/>
              </w:numPr>
              <w:rPr>
                <w:rFonts w:hint="default" w:cs="Times New Roman"/>
                <w:b/>
                <w:bCs/>
              </w:rPr>
            </w:pPr>
          </w:p>
        </w:tc>
        <w:tc>
          <w:tcPr>
            <w:tcW w:w="340" w:type="pct"/>
            <w:vMerge w:val="continue"/>
            <w:vAlign w:val="center"/>
          </w:tcPr>
          <w:p w14:paraId="58585871">
            <w:pPr>
              <w:pStyle w:val="28"/>
              <w:rPr>
                <w:rFonts w:hint="default" w:cs="Times New Roman"/>
              </w:rPr>
            </w:pPr>
          </w:p>
        </w:tc>
        <w:tc>
          <w:tcPr>
            <w:tcW w:w="2240" w:type="pct"/>
            <w:shd w:val="clear" w:color="auto" w:fill="auto"/>
            <w:noWrap/>
            <w:vAlign w:val="center"/>
          </w:tcPr>
          <w:p w14:paraId="27B235E2">
            <w:pPr>
              <w:pStyle w:val="28"/>
              <w:rPr>
                <w:rFonts w:hint="default" w:cs="Times New Roman"/>
              </w:rPr>
            </w:pPr>
            <w:r>
              <w:rPr>
                <w:rFonts w:hint="default" w:cs="Times New Roman"/>
              </w:rPr>
              <w:t>推进绿色信贷投放，加大“无废城市”工程项目建设金融支持力度</w:t>
            </w:r>
          </w:p>
        </w:tc>
        <w:tc>
          <w:tcPr>
            <w:tcW w:w="866" w:type="pct"/>
            <w:shd w:val="clear" w:color="auto" w:fill="auto"/>
            <w:noWrap/>
            <w:vAlign w:val="center"/>
          </w:tcPr>
          <w:p w14:paraId="44320A01">
            <w:pPr>
              <w:pStyle w:val="28"/>
              <w:rPr>
                <w:rFonts w:hint="default" w:cs="Times New Roman"/>
              </w:rPr>
            </w:pPr>
            <w:r>
              <w:rPr>
                <w:rFonts w:cs="Times New Roman"/>
              </w:rPr>
              <w:t>区</w:t>
            </w:r>
            <w:r>
              <w:rPr>
                <w:rFonts w:hint="default" w:cs="Times New Roman"/>
              </w:rPr>
              <w:t>财政局</w:t>
            </w:r>
          </w:p>
        </w:tc>
        <w:tc>
          <w:tcPr>
            <w:tcW w:w="791" w:type="pct"/>
            <w:shd w:val="clear" w:color="auto" w:fill="auto"/>
            <w:noWrap/>
            <w:vAlign w:val="center"/>
          </w:tcPr>
          <w:p w14:paraId="5776D395">
            <w:pPr>
              <w:pStyle w:val="28"/>
              <w:rPr>
                <w:rFonts w:hint="default" w:cs="Times New Roman"/>
              </w:rPr>
            </w:pPr>
            <w:r>
              <w:rPr>
                <w:rFonts w:hint="default" w:cs="Times New Roman"/>
              </w:rPr>
              <w:t>/</w:t>
            </w:r>
          </w:p>
        </w:tc>
        <w:tc>
          <w:tcPr>
            <w:tcW w:w="458" w:type="pct"/>
            <w:shd w:val="clear" w:color="auto" w:fill="auto"/>
            <w:noWrap/>
            <w:vAlign w:val="center"/>
          </w:tcPr>
          <w:p w14:paraId="2E5512E3">
            <w:pPr>
              <w:pStyle w:val="28"/>
              <w:rPr>
                <w:rFonts w:hint="default" w:cs="Times New Roman"/>
              </w:rPr>
            </w:pPr>
            <w:r>
              <w:rPr>
                <w:rFonts w:hint="default" w:cs="Times New Roman"/>
              </w:rPr>
              <w:t>持续开展</w:t>
            </w:r>
          </w:p>
        </w:tc>
      </w:tr>
      <w:tr w14:paraId="62768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02" w:type="pct"/>
            <w:shd w:val="clear" w:color="auto" w:fill="auto"/>
            <w:noWrap/>
            <w:vAlign w:val="center"/>
          </w:tcPr>
          <w:p w14:paraId="6AFE5142">
            <w:pPr>
              <w:pStyle w:val="28"/>
              <w:numPr>
                <w:ilvl w:val="0"/>
                <w:numId w:val="12"/>
              </w:numPr>
              <w:rPr>
                <w:rFonts w:hint="default" w:cs="Times New Roman"/>
                <w:b/>
                <w:bCs/>
              </w:rPr>
            </w:pPr>
          </w:p>
        </w:tc>
        <w:tc>
          <w:tcPr>
            <w:tcW w:w="340" w:type="pct"/>
            <w:vMerge w:val="continue"/>
            <w:vAlign w:val="center"/>
          </w:tcPr>
          <w:p w14:paraId="23D485F3">
            <w:pPr>
              <w:pStyle w:val="28"/>
              <w:rPr>
                <w:rFonts w:hint="default" w:cs="Times New Roman"/>
              </w:rPr>
            </w:pPr>
          </w:p>
        </w:tc>
        <w:tc>
          <w:tcPr>
            <w:tcW w:w="2240" w:type="pct"/>
            <w:shd w:val="clear" w:color="auto" w:fill="auto"/>
            <w:noWrap/>
            <w:vAlign w:val="center"/>
          </w:tcPr>
          <w:p w14:paraId="543B724A">
            <w:pPr>
              <w:pStyle w:val="28"/>
              <w:rPr>
                <w:rFonts w:hint="default" w:cs="Times New Roman"/>
              </w:rPr>
            </w:pPr>
            <w:r>
              <w:rPr>
                <w:rFonts w:hint="default" w:cs="Times New Roman"/>
              </w:rPr>
              <w:t>开辟绿色信贷审批专项通道，围绕绿色类项目，在信贷规模、人力配备、风险容忍度方面给予支持。</w:t>
            </w:r>
          </w:p>
        </w:tc>
        <w:tc>
          <w:tcPr>
            <w:tcW w:w="866" w:type="pct"/>
            <w:shd w:val="clear" w:color="auto" w:fill="auto"/>
            <w:noWrap/>
            <w:vAlign w:val="center"/>
          </w:tcPr>
          <w:p w14:paraId="235F25EA">
            <w:pPr>
              <w:pStyle w:val="28"/>
              <w:rPr>
                <w:rFonts w:hint="default" w:cs="Times New Roman"/>
              </w:rPr>
            </w:pPr>
            <w:r>
              <w:rPr>
                <w:rFonts w:cs="Times New Roman"/>
              </w:rPr>
              <w:t>区</w:t>
            </w:r>
            <w:r>
              <w:rPr>
                <w:rFonts w:hint="default" w:cs="Times New Roman"/>
              </w:rPr>
              <w:t>财政局</w:t>
            </w:r>
          </w:p>
        </w:tc>
        <w:tc>
          <w:tcPr>
            <w:tcW w:w="791" w:type="pct"/>
            <w:shd w:val="clear" w:color="auto" w:fill="auto"/>
            <w:noWrap/>
            <w:vAlign w:val="center"/>
          </w:tcPr>
          <w:p w14:paraId="2B49EF0B">
            <w:pPr>
              <w:pStyle w:val="28"/>
              <w:rPr>
                <w:rFonts w:hint="default" w:cs="Times New Roman"/>
              </w:rPr>
            </w:pPr>
            <w:r>
              <w:rPr>
                <w:rFonts w:hint="default" w:cs="Times New Roman"/>
              </w:rPr>
              <w:t>/</w:t>
            </w:r>
          </w:p>
        </w:tc>
        <w:tc>
          <w:tcPr>
            <w:tcW w:w="458" w:type="pct"/>
            <w:shd w:val="clear" w:color="auto" w:fill="auto"/>
            <w:noWrap/>
            <w:vAlign w:val="center"/>
          </w:tcPr>
          <w:p w14:paraId="1385483A">
            <w:pPr>
              <w:pStyle w:val="28"/>
              <w:rPr>
                <w:rFonts w:hint="default" w:cs="Times New Roman"/>
              </w:rPr>
            </w:pPr>
            <w:r>
              <w:rPr>
                <w:rFonts w:hint="default" w:cs="Times New Roman"/>
              </w:rPr>
              <w:t>持续开展</w:t>
            </w:r>
          </w:p>
        </w:tc>
      </w:tr>
      <w:tr w14:paraId="01CFA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02" w:type="pct"/>
            <w:shd w:val="clear" w:color="auto" w:fill="auto"/>
            <w:noWrap/>
            <w:vAlign w:val="center"/>
          </w:tcPr>
          <w:p w14:paraId="16A85C5A">
            <w:pPr>
              <w:pStyle w:val="28"/>
              <w:numPr>
                <w:ilvl w:val="0"/>
                <w:numId w:val="12"/>
              </w:numPr>
              <w:rPr>
                <w:rFonts w:hint="default" w:cs="Times New Roman"/>
                <w:b/>
                <w:bCs/>
              </w:rPr>
            </w:pPr>
          </w:p>
        </w:tc>
        <w:tc>
          <w:tcPr>
            <w:tcW w:w="340" w:type="pct"/>
            <w:vMerge w:val="restart"/>
            <w:shd w:val="clear" w:color="auto" w:fill="auto"/>
            <w:vAlign w:val="center"/>
          </w:tcPr>
          <w:p w14:paraId="6E4F1B1A">
            <w:pPr>
              <w:pStyle w:val="28"/>
              <w:rPr>
                <w:rFonts w:hint="default" w:cs="Times New Roman"/>
              </w:rPr>
            </w:pPr>
            <w:r>
              <w:rPr>
                <w:rFonts w:hint="default" w:cs="Times New Roman"/>
              </w:rPr>
              <w:t>体系建设</w:t>
            </w:r>
          </w:p>
        </w:tc>
        <w:tc>
          <w:tcPr>
            <w:tcW w:w="2240" w:type="pct"/>
            <w:shd w:val="clear" w:color="auto" w:fill="auto"/>
            <w:noWrap/>
            <w:vAlign w:val="center"/>
          </w:tcPr>
          <w:p w14:paraId="1043A11F">
            <w:pPr>
              <w:pStyle w:val="28"/>
              <w:rPr>
                <w:rFonts w:hint="default" w:cs="Times New Roman"/>
              </w:rPr>
            </w:pPr>
            <w:r>
              <w:rPr>
                <w:rFonts w:hint="default" w:cs="Times New Roman"/>
              </w:rPr>
              <w:t>危险废物小微收集体系建设</w:t>
            </w:r>
          </w:p>
        </w:tc>
        <w:tc>
          <w:tcPr>
            <w:tcW w:w="866" w:type="pct"/>
            <w:shd w:val="clear" w:color="auto" w:fill="auto"/>
            <w:noWrap/>
            <w:vAlign w:val="center"/>
          </w:tcPr>
          <w:p w14:paraId="09418EAC">
            <w:pPr>
              <w:pStyle w:val="28"/>
              <w:rPr>
                <w:rFonts w:hint="default" w:cs="Times New Roman"/>
              </w:rPr>
            </w:pPr>
            <w:r>
              <w:rPr>
                <w:rFonts w:cs="Times New Roman"/>
              </w:rPr>
              <w:t>连云</w:t>
            </w:r>
            <w:r>
              <w:rPr>
                <w:rFonts w:hint="default" w:cs="Times New Roman"/>
              </w:rPr>
              <w:t>生态环境局</w:t>
            </w:r>
          </w:p>
        </w:tc>
        <w:tc>
          <w:tcPr>
            <w:tcW w:w="791" w:type="pct"/>
            <w:shd w:val="clear" w:color="auto" w:fill="auto"/>
            <w:noWrap/>
            <w:vAlign w:val="center"/>
          </w:tcPr>
          <w:p w14:paraId="29636032">
            <w:pPr>
              <w:pStyle w:val="28"/>
              <w:rPr>
                <w:rFonts w:hint="default" w:cs="Times New Roman"/>
              </w:rPr>
            </w:pPr>
            <w:r>
              <w:rPr>
                <w:rFonts w:hint="default" w:cs="Times New Roman"/>
              </w:rPr>
              <w:t>/</w:t>
            </w:r>
          </w:p>
        </w:tc>
        <w:tc>
          <w:tcPr>
            <w:tcW w:w="458" w:type="pct"/>
            <w:shd w:val="clear" w:color="auto" w:fill="auto"/>
            <w:noWrap/>
            <w:vAlign w:val="center"/>
          </w:tcPr>
          <w:p w14:paraId="23FC6DCA">
            <w:pPr>
              <w:pStyle w:val="28"/>
              <w:rPr>
                <w:rFonts w:hint="default" w:cs="Times New Roman"/>
              </w:rPr>
            </w:pPr>
            <w:r>
              <w:rPr>
                <w:rFonts w:hint="default" w:cs="Times New Roman"/>
              </w:rPr>
              <w:t>2023</w:t>
            </w:r>
          </w:p>
        </w:tc>
      </w:tr>
      <w:tr w14:paraId="1725C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02" w:type="pct"/>
            <w:shd w:val="clear" w:color="auto" w:fill="auto"/>
            <w:noWrap/>
            <w:vAlign w:val="center"/>
          </w:tcPr>
          <w:p w14:paraId="5ABDE8D6">
            <w:pPr>
              <w:pStyle w:val="28"/>
              <w:numPr>
                <w:ilvl w:val="0"/>
                <w:numId w:val="12"/>
              </w:numPr>
              <w:rPr>
                <w:rFonts w:hint="default" w:cs="Times New Roman"/>
                <w:b/>
                <w:bCs/>
              </w:rPr>
            </w:pPr>
          </w:p>
        </w:tc>
        <w:tc>
          <w:tcPr>
            <w:tcW w:w="340" w:type="pct"/>
            <w:vMerge w:val="continue"/>
            <w:vAlign w:val="center"/>
          </w:tcPr>
          <w:p w14:paraId="11761FF4">
            <w:pPr>
              <w:pStyle w:val="28"/>
              <w:rPr>
                <w:rFonts w:hint="default" w:cs="Times New Roman"/>
              </w:rPr>
            </w:pPr>
          </w:p>
        </w:tc>
        <w:tc>
          <w:tcPr>
            <w:tcW w:w="2240" w:type="pct"/>
            <w:shd w:val="clear" w:color="auto" w:fill="auto"/>
            <w:noWrap/>
            <w:vAlign w:val="center"/>
          </w:tcPr>
          <w:p w14:paraId="31394239">
            <w:pPr>
              <w:pStyle w:val="28"/>
              <w:rPr>
                <w:rFonts w:hint="default" w:cs="Times New Roman"/>
              </w:rPr>
            </w:pPr>
            <w:r>
              <w:rPr>
                <w:rFonts w:hint="default" w:cs="Times New Roman"/>
              </w:rPr>
              <w:t>社会源危险废物回收体系建设</w:t>
            </w:r>
          </w:p>
        </w:tc>
        <w:tc>
          <w:tcPr>
            <w:tcW w:w="866" w:type="pct"/>
            <w:shd w:val="clear" w:color="auto" w:fill="auto"/>
            <w:noWrap/>
            <w:vAlign w:val="center"/>
          </w:tcPr>
          <w:p w14:paraId="09CC79FA">
            <w:pPr>
              <w:pStyle w:val="28"/>
              <w:rPr>
                <w:rFonts w:hint="default" w:cs="Times New Roman"/>
              </w:rPr>
            </w:pPr>
            <w:r>
              <w:rPr>
                <w:rFonts w:cs="Times New Roman"/>
              </w:rPr>
              <w:t>连云</w:t>
            </w:r>
            <w:r>
              <w:rPr>
                <w:rFonts w:hint="default" w:cs="Times New Roman"/>
              </w:rPr>
              <w:t>生态环境局</w:t>
            </w:r>
          </w:p>
        </w:tc>
        <w:tc>
          <w:tcPr>
            <w:tcW w:w="791" w:type="pct"/>
            <w:shd w:val="clear" w:color="auto" w:fill="auto"/>
            <w:noWrap/>
            <w:vAlign w:val="center"/>
          </w:tcPr>
          <w:p w14:paraId="654BED93">
            <w:pPr>
              <w:pStyle w:val="28"/>
              <w:rPr>
                <w:rFonts w:hint="default" w:cs="Times New Roman"/>
              </w:rPr>
            </w:pPr>
            <w:r>
              <w:rPr>
                <w:rFonts w:cs="Times New Roman"/>
              </w:rPr>
              <w:t>区</w:t>
            </w:r>
            <w:r>
              <w:rPr>
                <w:rFonts w:hint="default" w:cs="Times New Roman"/>
              </w:rPr>
              <w:t>城管局</w:t>
            </w:r>
          </w:p>
        </w:tc>
        <w:tc>
          <w:tcPr>
            <w:tcW w:w="458" w:type="pct"/>
            <w:shd w:val="clear" w:color="auto" w:fill="auto"/>
            <w:noWrap/>
            <w:vAlign w:val="center"/>
          </w:tcPr>
          <w:p w14:paraId="609C7BC0">
            <w:pPr>
              <w:pStyle w:val="28"/>
              <w:rPr>
                <w:rFonts w:hint="default" w:cs="Times New Roman"/>
              </w:rPr>
            </w:pPr>
            <w:r>
              <w:rPr>
                <w:rFonts w:hint="default" w:cs="Times New Roman"/>
              </w:rPr>
              <w:t>2024</w:t>
            </w:r>
          </w:p>
        </w:tc>
      </w:tr>
      <w:tr w14:paraId="670BA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02" w:type="pct"/>
            <w:shd w:val="clear" w:color="auto" w:fill="auto"/>
            <w:noWrap/>
            <w:vAlign w:val="center"/>
          </w:tcPr>
          <w:p w14:paraId="4E7BA01E">
            <w:pPr>
              <w:pStyle w:val="28"/>
              <w:numPr>
                <w:ilvl w:val="0"/>
                <w:numId w:val="12"/>
              </w:numPr>
              <w:rPr>
                <w:rFonts w:hint="default" w:cs="Times New Roman"/>
                <w:b/>
                <w:bCs/>
              </w:rPr>
            </w:pPr>
          </w:p>
        </w:tc>
        <w:tc>
          <w:tcPr>
            <w:tcW w:w="340" w:type="pct"/>
            <w:vMerge w:val="continue"/>
            <w:vAlign w:val="center"/>
          </w:tcPr>
          <w:p w14:paraId="24E20008">
            <w:pPr>
              <w:pStyle w:val="28"/>
              <w:rPr>
                <w:rFonts w:hint="default" w:cs="Times New Roman"/>
              </w:rPr>
            </w:pPr>
          </w:p>
        </w:tc>
        <w:tc>
          <w:tcPr>
            <w:tcW w:w="2240" w:type="pct"/>
            <w:shd w:val="clear" w:color="auto" w:fill="auto"/>
            <w:noWrap/>
            <w:vAlign w:val="center"/>
          </w:tcPr>
          <w:p w14:paraId="6BA5379F">
            <w:pPr>
              <w:pStyle w:val="28"/>
              <w:rPr>
                <w:rFonts w:hint="default" w:cs="Times New Roman"/>
              </w:rPr>
            </w:pPr>
            <w:r>
              <w:rPr>
                <w:rFonts w:hint="default" w:cs="Times New Roman"/>
              </w:rPr>
              <w:t>完善农药包装废弃物回收利用体系</w:t>
            </w:r>
          </w:p>
        </w:tc>
        <w:tc>
          <w:tcPr>
            <w:tcW w:w="866" w:type="pct"/>
            <w:shd w:val="clear" w:color="auto" w:fill="auto"/>
            <w:noWrap/>
            <w:vAlign w:val="center"/>
          </w:tcPr>
          <w:p w14:paraId="0CA36F09">
            <w:pPr>
              <w:pStyle w:val="28"/>
              <w:rPr>
                <w:rFonts w:hint="default" w:cs="Times New Roman"/>
              </w:rPr>
            </w:pPr>
            <w:r>
              <w:rPr>
                <w:rFonts w:cs="Times New Roman"/>
              </w:rPr>
              <w:t>区供销总社</w:t>
            </w:r>
          </w:p>
        </w:tc>
        <w:tc>
          <w:tcPr>
            <w:tcW w:w="791" w:type="pct"/>
            <w:shd w:val="clear" w:color="auto" w:fill="auto"/>
            <w:noWrap/>
            <w:vAlign w:val="center"/>
          </w:tcPr>
          <w:p w14:paraId="3878D499">
            <w:pPr>
              <w:pStyle w:val="28"/>
              <w:rPr>
                <w:rFonts w:hint="default" w:cs="Times New Roman"/>
              </w:rPr>
            </w:pPr>
            <w:r>
              <w:rPr>
                <w:rFonts w:cs="Times New Roman"/>
              </w:rPr>
              <w:t>区供销总社</w:t>
            </w:r>
          </w:p>
        </w:tc>
        <w:tc>
          <w:tcPr>
            <w:tcW w:w="458" w:type="pct"/>
            <w:shd w:val="clear" w:color="auto" w:fill="auto"/>
            <w:noWrap/>
            <w:vAlign w:val="center"/>
          </w:tcPr>
          <w:p w14:paraId="29F1BA03">
            <w:pPr>
              <w:pStyle w:val="28"/>
              <w:rPr>
                <w:rFonts w:hint="default" w:cs="Times New Roman"/>
              </w:rPr>
            </w:pPr>
            <w:r>
              <w:rPr>
                <w:rFonts w:hint="default" w:cs="Times New Roman"/>
              </w:rPr>
              <w:t>2024</w:t>
            </w:r>
          </w:p>
        </w:tc>
      </w:tr>
      <w:tr w14:paraId="5C60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02" w:type="pct"/>
            <w:shd w:val="clear" w:color="auto" w:fill="auto"/>
            <w:noWrap/>
            <w:vAlign w:val="center"/>
          </w:tcPr>
          <w:p w14:paraId="313FA2AE">
            <w:pPr>
              <w:pStyle w:val="28"/>
              <w:numPr>
                <w:ilvl w:val="0"/>
                <w:numId w:val="12"/>
              </w:numPr>
              <w:rPr>
                <w:rFonts w:hint="default" w:cs="Times New Roman"/>
                <w:b/>
                <w:bCs/>
              </w:rPr>
            </w:pPr>
          </w:p>
        </w:tc>
        <w:tc>
          <w:tcPr>
            <w:tcW w:w="340" w:type="pct"/>
            <w:vMerge w:val="continue"/>
            <w:vAlign w:val="center"/>
          </w:tcPr>
          <w:p w14:paraId="09D2CB5F">
            <w:pPr>
              <w:pStyle w:val="28"/>
              <w:rPr>
                <w:rFonts w:hint="default" w:cs="Times New Roman"/>
              </w:rPr>
            </w:pPr>
          </w:p>
        </w:tc>
        <w:tc>
          <w:tcPr>
            <w:tcW w:w="2240" w:type="pct"/>
            <w:shd w:val="clear" w:color="auto" w:fill="auto"/>
            <w:noWrap/>
            <w:vAlign w:val="center"/>
          </w:tcPr>
          <w:p w14:paraId="43674046">
            <w:pPr>
              <w:pStyle w:val="28"/>
              <w:rPr>
                <w:rFonts w:hint="default" w:cs="Times New Roman"/>
              </w:rPr>
            </w:pPr>
            <w:r>
              <w:rPr>
                <w:rFonts w:hint="default" w:cs="Times New Roman"/>
              </w:rPr>
              <w:t>加强商务部再生资源回收信息化平台应用</w:t>
            </w:r>
          </w:p>
        </w:tc>
        <w:tc>
          <w:tcPr>
            <w:tcW w:w="866" w:type="pct"/>
            <w:shd w:val="clear" w:color="auto" w:fill="auto"/>
            <w:noWrap/>
            <w:vAlign w:val="center"/>
          </w:tcPr>
          <w:p w14:paraId="1A5A12E4">
            <w:pPr>
              <w:pStyle w:val="28"/>
              <w:rPr>
                <w:rFonts w:hint="default" w:cs="Times New Roman"/>
              </w:rPr>
            </w:pPr>
            <w:r>
              <w:rPr>
                <w:rFonts w:cs="Times New Roman"/>
              </w:rPr>
              <w:t>区</w:t>
            </w:r>
            <w:r>
              <w:rPr>
                <w:rFonts w:hint="default" w:cs="Times New Roman"/>
              </w:rPr>
              <w:t>商务局</w:t>
            </w:r>
          </w:p>
        </w:tc>
        <w:tc>
          <w:tcPr>
            <w:tcW w:w="791" w:type="pct"/>
            <w:shd w:val="clear" w:color="auto" w:fill="auto"/>
            <w:noWrap/>
            <w:vAlign w:val="center"/>
          </w:tcPr>
          <w:p w14:paraId="7A659151">
            <w:pPr>
              <w:pStyle w:val="28"/>
              <w:rPr>
                <w:rFonts w:hint="default" w:cs="Times New Roman"/>
              </w:rPr>
            </w:pPr>
            <w:r>
              <w:rPr>
                <w:rFonts w:cs="Times New Roman"/>
              </w:rPr>
              <w:t>区</w:t>
            </w:r>
            <w:r>
              <w:rPr>
                <w:rFonts w:hint="default" w:cs="Times New Roman"/>
              </w:rPr>
              <w:t>城管局、</w:t>
            </w:r>
            <w:r>
              <w:rPr>
                <w:rFonts w:cs="Times New Roman"/>
              </w:rPr>
              <w:t>区</w:t>
            </w:r>
            <w:r>
              <w:rPr>
                <w:rFonts w:hint="default" w:cs="Times New Roman"/>
              </w:rPr>
              <w:t>经发局、</w:t>
            </w:r>
            <w:r>
              <w:rPr>
                <w:rFonts w:cs="Times New Roman"/>
              </w:rPr>
              <w:t>连云</w:t>
            </w:r>
            <w:r>
              <w:rPr>
                <w:rFonts w:hint="default" w:cs="Times New Roman"/>
              </w:rPr>
              <w:t>生态环境局</w:t>
            </w:r>
          </w:p>
        </w:tc>
        <w:tc>
          <w:tcPr>
            <w:tcW w:w="458" w:type="pct"/>
            <w:shd w:val="clear" w:color="auto" w:fill="auto"/>
            <w:noWrap/>
            <w:vAlign w:val="center"/>
          </w:tcPr>
          <w:p w14:paraId="46E9C4CA">
            <w:pPr>
              <w:pStyle w:val="28"/>
              <w:rPr>
                <w:rFonts w:hint="default" w:cs="Times New Roman"/>
              </w:rPr>
            </w:pPr>
            <w:r>
              <w:rPr>
                <w:rFonts w:hint="default" w:cs="Times New Roman"/>
              </w:rPr>
              <w:t>2023-2025</w:t>
            </w:r>
          </w:p>
        </w:tc>
      </w:tr>
      <w:tr w14:paraId="29DA0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02" w:type="pct"/>
            <w:shd w:val="clear" w:color="auto" w:fill="auto"/>
            <w:noWrap/>
            <w:vAlign w:val="center"/>
          </w:tcPr>
          <w:p w14:paraId="779E08DB">
            <w:pPr>
              <w:pStyle w:val="28"/>
              <w:numPr>
                <w:ilvl w:val="0"/>
                <w:numId w:val="12"/>
              </w:numPr>
              <w:rPr>
                <w:rFonts w:hint="default" w:cs="Times New Roman"/>
                <w:b/>
                <w:bCs/>
              </w:rPr>
            </w:pPr>
          </w:p>
        </w:tc>
        <w:tc>
          <w:tcPr>
            <w:tcW w:w="340" w:type="pct"/>
            <w:vMerge w:val="continue"/>
            <w:vAlign w:val="center"/>
          </w:tcPr>
          <w:p w14:paraId="2E4A5F0C">
            <w:pPr>
              <w:pStyle w:val="28"/>
              <w:rPr>
                <w:rFonts w:hint="default" w:cs="Times New Roman"/>
              </w:rPr>
            </w:pPr>
          </w:p>
        </w:tc>
        <w:tc>
          <w:tcPr>
            <w:tcW w:w="2240" w:type="pct"/>
            <w:shd w:val="clear" w:color="auto" w:fill="auto"/>
            <w:noWrap/>
            <w:vAlign w:val="center"/>
          </w:tcPr>
          <w:p w14:paraId="63E89FAF">
            <w:pPr>
              <w:pStyle w:val="28"/>
              <w:rPr>
                <w:rFonts w:hint="default" w:cs="Times New Roman"/>
              </w:rPr>
            </w:pPr>
            <w:r>
              <w:rPr>
                <w:rFonts w:hint="default" w:cs="Times New Roman"/>
              </w:rPr>
              <w:t>建立建筑垃圾规范收集体系</w:t>
            </w:r>
          </w:p>
        </w:tc>
        <w:tc>
          <w:tcPr>
            <w:tcW w:w="866" w:type="pct"/>
            <w:shd w:val="clear" w:color="auto" w:fill="auto"/>
            <w:noWrap/>
            <w:vAlign w:val="center"/>
          </w:tcPr>
          <w:p w14:paraId="01898315">
            <w:pPr>
              <w:pStyle w:val="28"/>
              <w:rPr>
                <w:rFonts w:hint="default" w:cs="Times New Roman"/>
              </w:rPr>
            </w:pPr>
            <w:r>
              <w:rPr>
                <w:rFonts w:cs="Times New Roman"/>
              </w:rPr>
              <w:t>区</w:t>
            </w:r>
            <w:r>
              <w:rPr>
                <w:rFonts w:hint="default" w:cs="Times New Roman"/>
              </w:rPr>
              <w:t>城管局</w:t>
            </w:r>
          </w:p>
        </w:tc>
        <w:tc>
          <w:tcPr>
            <w:tcW w:w="791" w:type="pct"/>
            <w:shd w:val="clear" w:color="auto" w:fill="auto"/>
            <w:noWrap/>
            <w:vAlign w:val="center"/>
          </w:tcPr>
          <w:p w14:paraId="34BD660B">
            <w:pPr>
              <w:pStyle w:val="28"/>
              <w:rPr>
                <w:rFonts w:hint="default" w:cs="Times New Roman"/>
              </w:rPr>
            </w:pPr>
            <w:r>
              <w:rPr>
                <w:rFonts w:hint="default" w:cs="Times New Roman"/>
              </w:rPr>
              <w:t>/</w:t>
            </w:r>
          </w:p>
        </w:tc>
        <w:tc>
          <w:tcPr>
            <w:tcW w:w="458" w:type="pct"/>
            <w:shd w:val="clear" w:color="auto" w:fill="auto"/>
            <w:noWrap/>
            <w:vAlign w:val="center"/>
          </w:tcPr>
          <w:p w14:paraId="346147A8">
            <w:pPr>
              <w:pStyle w:val="28"/>
              <w:rPr>
                <w:rFonts w:hint="default" w:cs="Times New Roman"/>
              </w:rPr>
            </w:pPr>
            <w:r>
              <w:rPr>
                <w:rFonts w:hint="default" w:cs="Times New Roman"/>
              </w:rPr>
              <w:t>2023</w:t>
            </w:r>
          </w:p>
        </w:tc>
      </w:tr>
      <w:tr w14:paraId="255DF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02" w:type="pct"/>
            <w:shd w:val="clear" w:color="auto" w:fill="auto"/>
            <w:noWrap/>
            <w:vAlign w:val="center"/>
          </w:tcPr>
          <w:p w14:paraId="33E536C0">
            <w:pPr>
              <w:pStyle w:val="28"/>
              <w:numPr>
                <w:ilvl w:val="0"/>
                <w:numId w:val="12"/>
              </w:numPr>
              <w:rPr>
                <w:rFonts w:hint="default" w:cs="Times New Roman"/>
                <w:b/>
                <w:bCs/>
              </w:rPr>
            </w:pPr>
          </w:p>
        </w:tc>
        <w:tc>
          <w:tcPr>
            <w:tcW w:w="340" w:type="pct"/>
            <w:vMerge w:val="continue"/>
            <w:vAlign w:val="center"/>
          </w:tcPr>
          <w:p w14:paraId="199CA8CF">
            <w:pPr>
              <w:pStyle w:val="28"/>
              <w:rPr>
                <w:rFonts w:hint="default" w:cs="Times New Roman"/>
              </w:rPr>
            </w:pPr>
          </w:p>
        </w:tc>
        <w:tc>
          <w:tcPr>
            <w:tcW w:w="2240" w:type="pct"/>
            <w:shd w:val="clear" w:color="auto" w:fill="auto"/>
            <w:noWrap/>
            <w:vAlign w:val="center"/>
          </w:tcPr>
          <w:p w14:paraId="7CA74264">
            <w:pPr>
              <w:pStyle w:val="28"/>
              <w:rPr>
                <w:rFonts w:hint="default" w:cs="Times New Roman"/>
              </w:rPr>
            </w:pPr>
            <w:r>
              <w:rPr>
                <w:rFonts w:hint="default" w:cs="Times New Roman"/>
              </w:rPr>
              <w:t>建立废弃快递包装物回收体系</w:t>
            </w:r>
          </w:p>
        </w:tc>
        <w:tc>
          <w:tcPr>
            <w:tcW w:w="866" w:type="pct"/>
            <w:shd w:val="clear" w:color="auto" w:fill="auto"/>
            <w:noWrap/>
            <w:vAlign w:val="center"/>
          </w:tcPr>
          <w:p w14:paraId="3928D46B">
            <w:pPr>
              <w:pStyle w:val="28"/>
              <w:rPr>
                <w:rFonts w:hint="default" w:cs="Times New Roman"/>
              </w:rPr>
            </w:pPr>
            <w:r>
              <w:rPr>
                <w:rFonts w:cs="Times New Roman"/>
              </w:rPr>
              <w:t>连云</w:t>
            </w:r>
            <w:r>
              <w:rPr>
                <w:rFonts w:hint="default" w:cs="Times New Roman"/>
              </w:rPr>
              <w:t>邮政管理局</w:t>
            </w:r>
          </w:p>
        </w:tc>
        <w:tc>
          <w:tcPr>
            <w:tcW w:w="791" w:type="pct"/>
            <w:shd w:val="clear" w:color="auto" w:fill="auto"/>
            <w:noWrap/>
            <w:vAlign w:val="center"/>
          </w:tcPr>
          <w:p w14:paraId="547342D5">
            <w:pPr>
              <w:pStyle w:val="28"/>
              <w:rPr>
                <w:rFonts w:hint="default" w:cs="Times New Roman"/>
              </w:rPr>
            </w:pPr>
            <w:r>
              <w:rPr>
                <w:rFonts w:cs="Times New Roman"/>
              </w:rPr>
              <w:t>区</w:t>
            </w:r>
            <w:r>
              <w:rPr>
                <w:rFonts w:hint="default" w:cs="Times New Roman"/>
              </w:rPr>
              <w:t>城管局</w:t>
            </w:r>
          </w:p>
        </w:tc>
        <w:tc>
          <w:tcPr>
            <w:tcW w:w="458" w:type="pct"/>
            <w:shd w:val="clear" w:color="auto" w:fill="auto"/>
            <w:noWrap/>
            <w:vAlign w:val="center"/>
          </w:tcPr>
          <w:p w14:paraId="5C94C2BA">
            <w:pPr>
              <w:pStyle w:val="28"/>
              <w:rPr>
                <w:rFonts w:hint="default" w:cs="Times New Roman"/>
              </w:rPr>
            </w:pPr>
            <w:r>
              <w:rPr>
                <w:rFonts w:hint="default" w:cs="Times New Roman"/>
              </w:rPr>
              <w:t>2023</w:t>
            </w:r>
          </w:p>
        </w:tc>
      </w:tr>
      <w:tr w14:paraId="04C0A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gridSpan w:val="6"/>
            <w:shd w:val="clear" w:color="auto" w:fill="auto"/>
            <w:noWrap/>
            <w:vAlign w:val="center"/>
          </w:tcPr>
          <w:p w14:paraId="4E3E07B8">
            <w:pPr>
              <w:pStyle w:val="28"/>
              <w:rPr>
                <w:rFonts w:hint="default" w:cs="Times New Roman"/>
                <w:b/>
                <w:bCs/>
              </w:rPr>
            </w:pPr>
            <w:r>
              <w:rPr>
                <w:rFonts w:hint="default" w:cs="Times New Roman"/>
                <w:b/>
                <w:bCs/>
              </w:rPr>
              <w:t>四、监管体系建设</w:t>
            </w:r>
          </w:p>
        </w:tc>
      </w:tr>
      <w:tr w14:paraId="50A5B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02" w:type="pct"/>
            <w:shd w:val="clear" w:color="auto" w:fill="auto"/>
            <w:noWrap/>
            <w:vAlign w:val="center"/>
          </w:tcPr>
          <w:p w14:paraId="476D9773">
            <w:pPr>
              <w:pStyle w:val="28"/>
              <w:numPr>
                <w:ilvl w:val="0"/>
                <w:numId w:val="13"/>
              </w:numPr>
              <w:rPr>
                <w:rFonts w:hint="default" w:cs="Times New Roman"/>
                <w:b/>
                <w:bCs/>
              </w:rPr>
            </w:pPr>
          </w:p>
        </w:tc>
        <w:tc>
          <w:tcPr>
            <w:tcW w:w="340" w:type="pct"/>
            <w:vMerge w:val="restart"/>
            <w:shd w:val="clear" w:color="auto" w:fill="auto"/>
            <w:vAlign w:val="center"/>
          </w:tcPr>
          <w:p w14:paraId="32EA9B74">
            <w:pPr>
              <w:pStyle w:val="28"/>
              <w:rPr>
                <w:rFonts w:hint="default" w:cs="Times New Roman"/>
              </w:rPr>
            </w:pPr>
            <w:r>
              <w:rPr>
                <w:rFonts w:hint="default" w:cs="Times New Roman"/>
              </w:rPr>
              <w:t>能力建设</w:t>
            </w:r>
          </w:p>
        </w:tc>
        <w:tc>
          <w:tcPr>
            <w:tcW w:w="2240" w:type="pct"/>
            <w:shd w:val="clear" w:color="auto" w:fill="auto"/>
            <w:noWrap/>
            <w:vAlign w:val="center"/>
          </w:tcPr>
          <w:p w14:paraId="52898186">
            <w:pPr>
              <w:pStyle w:val="28"/>
              <w:rPr>
                <w:rFonts w:hint="default" w:cs="Times New Roman"/>
              </w:rPr>
            </w:pPr>
            <w:r>
              <w:rPr>
                <w:rFonts w:hint="default" w:cs="Times New Roman"/>
              </w:rPr>
              <w:t>建立厨余垃圾收集、运输、处置监管体系</w:t>
            </w:r>
          </w:p>
        </w:tc>
        <w:tc>
          <w:tcPr>
            <w:tcW w:w="866" w:type="pct"/>
            <w:shd w:val="clear" w:color="auto" w:fill="auto"/>
            <w:noWrap/>
            <w:vAlign w:val="center"/>
          </w:tcPr>
          <w:p w14:paraId="1AD926B6">
            <w:pPr>
              <w:pStyle w:val="28"/>
              <w:rPr>
                <w:rFonts w:hint="default" w:cs="Times New Roman"/>
              </w:rPr>
            </w:pPr>
            <w:r>
              <w:rPr>
                <w:rFonts w:cs="Times New Roman"/>
              </w:rPr>
              <w:t>区</w:t>
            </w:r>
            <w:r>
              <w:rPr>
                <w:rFonts w:hint="default" w:cs="Times New Roman"/>
              </w:rPr>
              <w:t>城管局</w:t>
            </w:r>
          </w:p>
        </w:tc>
        <w:tc>
          <w:tcPr>
            <w:tcW w:w="791" w:type="pct"/>
            <w:shd w:val="clear" w:color="auto" w:fill="auto"/>
            <w:noWrap/>
            <w:vAlign w:val="center"/>
          </w:tcPr>
          <w:p w14:paraId="4C497B10">
            <w:pPr>
              <w:pStyle w:val="28"/>
              <w:rPr>
                <w:rFonts w:hint="default" w:cs="Times New Roman"/>
              </w:rPr>
            </w:pPr>
            <w:r>
              <w:rPr>
                <w:rFonts w:hint="default" w:cs="Times New Roman"/>
              </w:rPr>
              <w:t>/</w:t>
            </w:r>
          </w:p>
        </w:tc>
        <w:tc>
          <w:tcPr>
            <w:tcW w:w="458" w:type="pct"/>
            <w:shd w:val="clear" w:color="auto" w:fill="auto"/>
            <w:noWrap/>
            <w:vAlign w:val="center"/>
          </w:tcPr>
          <w:p w14:paraId="37978D8F">
            <w:pPr>
              <w:pStyle w:val="28"/>
              <w:rPr>
                <w:rFonts w:hint="default" w:cs="Times New Roman"/>
              </w:rPr>
            </w:pPr>
            <w:r>
              <w:rPr>
                <w:rFonts w:hint="default" w:cs="Times New Roman"/>
              </w:rPr>
              <w:t>2025</w:t>
            </w:r>
          </w:p>
        </w:tc>
      </w:tr>
      <w:tr w14:paraId="53CD6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02" w:type="pct"/>
            <w:shd w:val="clear" w:color="auto" w:fill="auto"/>
            <w:noWrap/>
            <w:vAlign w:val="center"/>
          </w:tcPr>
          <w:p w14:paraId="4DD2A708">
            <w:pPr>
              <w:pStyle w:val="28"/>
              <w:numPr>
                <w:ilvl w:val="0"/>
                <w:numId w:val="13"/>
              </w:numPr>
              <w:rPr>
                <w:rFonts w:hint="default" w:cs="Times New Roman"/>
                <w:b/>
                <w:bCs/>
              </w:rPr>
            </w:pPr>
          </w:p>
        </w:tc>
        <w:tc>
          <w:tcPr>
            <w:tcW w:w="340" w:type="pct"/>
            <w:vMerge w:val="continue"/>
            <w:vAlign w:val="center"/>
          </w:tcPr>
          <w:p w14:paraId="5EDBFB9A">
            <w:pPr>
              <w:pStyle w:val="28"/>
              <w:rPr>
                <w:rFonts w:hint="default" w:cs="Times New Roman"/>
              </w:rPr>
            </w:pPr>
          </w:p>
        </w:tc>
        <w:tc>
          <w:tcPr>
            <w:tcW w:w="2240" w:type="pct"/>
            <w:shd w:val="clear" w:color="auto" w:fill="auto"/>
            <w:noWrap/>
            <w:vAlign w:val="center"/>
          </w:tcPr>
          <w:p w14:paraId="26CDE7E6">
            <w:pPr>
              <w:pStyle w:val="28"/>
              <w:rPr>
                <w:rFonts w:hint="default" w:cs="Times New Roman"/>
              </w:rPr>
            </w:pPr>
            <w:r>
              <w:rPr>
                <w:rFonts w:hint="default" w:cs="Times New Roman"/>
              </w:rPr>
              <w:t>严格渣土车辆运输规范化管理</w:t>
            </w:r>
          </w:p>
        </w:tc>
        <w:tc>
          <w:tcPr>
            <w:tcW w:w="866" w:type="pct"/>
            <w:shd w:val="clear" w:color="auto" w:fill="auto"/>
            <w:noWrap/>
            <w:vAlign w:val="center"/>
          </w:tcPr>
          <w:p w14:paraId="46647195">
            <w:pPr>
              <w:pStyle w:val="28"/>
              <w:rPr>
                <w:rFonts w:hint="default" w:cs="Times New Roman"/>
              </w:rPr>
            </w:pPr>
            <w:r>
              <w:rPr>
                <w:rFonts w:cs="Times New Roman"/>
              </w:rPr>
              <w:t>区</w:t>
            </w:r>
            <w:r>
              <w:rPr>
                <w:rFonts w:hint="default" w:cs="Times New Roman"/>
              </w:rPr>
              <w:t>城管局</w:t>
            </w:r>
          </w:p>
        </w:tc>
        <w:tc>
          <w:tcPr>
            <w:tcW w:w="791" w:type="pct"/>
            <w:shd w:val="clear" w:color="auto" w:fill="auto"/>
            <w:noWrap/>
            <w:vAlign w:val="center"/>
          </w:tcPr>
          <w:p w14:paraId="6116DEE8">
            <w:pPr>
              <w:pStyle w:val="28"/>
              <w:rPr>
                <w:rFonts w:hint="default" w:cs="Times New Roman"/>
              </w:rPr>
            </w:pPr>
            <w:r>
              <w:rPr>
                <w:rFonts w:hint="default" w:cs="Times New Roman"/>
              </w:rPr>
              <w:t>/</w:t>
            </w:r>
          </w:p>
        </w:tc>
        <w:tc>
          <w:tcPr>
            <w:tcW w:w="458" w:type="pct"/>
            <w:shd w:val="clear" w:color="auto" w:fill="auto"/>
            <w:noWrap/>
            <w:vAlign w:val="center"/>
          </w:tcPr>
          <w:p w14:paraId="159C80C4">
            <w:pPr>
              <w:pStyle w:val="28"/>
              <w:rPr>
                <w:rFonts w:hint="default" w:cs="Times New Roman"/>
              </w:rPr>
            </w:pPr>
            <w:r>
              <w:rPr>
                <w:rFonts w:hint="default" w:cs="Times New Roman"/>
              </w:rPr>
              <w:t>2023-2025</w:t>
            </w:r>
          </w:p>
        </w:tc>
      </w:tr>
      <w:tr w14:paraId="36A68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02" w:type="pct"/>
            <w:shd w:val="clear" w:color="auto" w:fill="auto"/>
            <w:noWrap/>
            <w:vAlign w:val="center"/>
          </w:tcPr>
          <w:p w14:paraId="4CDA0BB6">
            <w:pPr>
              <w:pStyle w:val="28"/>
              <w:numPr>
                <w:ilvl w:val="0"/>
                <w:numId w:val="13"/>
              </w:numPr>
              <w:rPr>
                <w:rFonts w:hint="default" w:cs="Times New Roman"/>
                <w:b/>
                <w:bCs/>
              </w:rPr>
            </w:pPr>
          </w:p>
        </w:tc>
        <w:tc>
          <w:tcPr>
            <w:tcW w:w="340" w:type="pct"/>
            <w:vMerge w:val="continue"/>
            <w:vAlign w:val="center"/>
          </w:tcPr>
          <w:p w14:paraId="4C51FEA4">
            <w:pPr>
              <w:pStyle w:val="28"/>
              <w:rPr>
                <w:rFonts w:hint="default" w:cs="Times New Roman"/>
              </w:rPr>
            </w:pPr>
          </w:p>
        </w:tc>
        <w:tc>
          <w:tcPr>
            <w:tcW w:w="2240" w:type="pct"/>
            <w:shd w:val="clear" w:color="auto" w:fill="auto"/>
            <w:noWrap/>
            <w:vAlign w:val="center"/>
          </w:tcPr>
          <w:p w14:paraId="0201BC3D">
            <w:pPr>
              <w:pStyle w:val="28"/>
              <w:rPr>
                <w:rFonts w:hint="default" w:cs="Times New Roman"/>
              </w:rPr>
            </w:pPr>
            <w:r>
              <w:rPr>
                <w:rFonts w:hint="default" w:cs="Times New Roman"/>
              </w:rPr>
              <w:t>实施排污总量控制制度</w:t>
            </w:r>
          </w:p>
        </w:tc>
        <w:tc>
          <w:tcPr>
            <w:tcW w:w="866" w:type="pct"/>
            <w:shd w:val="clear" w:color="auto" w:fill="auto"/>
            <w:noWrap/>
            <w:vAlign w:val="center"/>
          </w:tcPr>
          <w:p w14:paraId="2F271653">
            <w:pPr>
              <w:pStyle w:val="28"/>
              <w:rPr>
                <w:rFonts w:hint="default" w:cs="Times New Roman"/>
              </w:rPr>
            </w:pPr>
            <w:r>
              <w:rPr>
                <w:rFonts w:cs="Times New Roman"/>
              </w:rPr>
              <w:t>连云</w:t>
            </w:r>
            <w:r>
              <w:rPr>
                <w:rFonts w:hint="default" w:cs="Times New Roman"/>
              </w:rPr>
              <w:t>生态环境局</w:t>
            </w:r>
          </w:p>
        </w:tc>
        <w:tc>
          <w:tcPr>
            <w:tcW w:w="791" w:type="pct"/>
            <w:shd w:val="clear" w:color="auto" w:fill="auto"/>
            <w:noWrap/>
            <w:vAlign w:val="center"/>
          </w:tcPr>
          <w:p w14:paraId="5389F4B7">
            <w:pPr>
              <w:pStyle w:val="28"/>
              <w:rPr>
                <w:rFonts w:hint="default" w:cs="Times New Roman"/>
              </w:rPr>
            </w:pPr>
            <w:r>
              <w:rPr>
                <w:rFonts w:hint="default" w:cs="Times New Roman"/>
              </w:rPr>
              <w:t>/</w:t>
            </w:r>
          </w:p>
        </w:tc>
        <w:tc>
          <w:tcPr>
            <w:tcW w:w="458" w:type="pct"/>
            <w:shd w:val="clear" w:color="auto" w:fill="auto"/>
            <w:noWrap/>
            <w:vAlign w:val="center"/>
          </w:tcPr>
          <w:p w14:paraId="72A84AEE">
            <w:pPr>
              <w:pStyle w:val="28"/>
              <w:rPr>
                <w:rFonts w:hint="default" w:cs="Times New Roman"/>
              </w:rPr>
            </w:pPr>
            <w:r>
              <w:rPr>
                <w:rFonts w:hint="default" w:cs="Times New Roman"/>
              </w:rPr>
              <w:t>2023-2025</w:t>
            </w:r>
          </w:p>
        </w:tc>
      </w:tr>
      <w:tr w14:paraId="05C6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02" w:type="pct"/>
            <w:shd w:val="clear" w:color="auto" w:fill="auto"/>
            <w:noWrap/>
            <w:vAlign w:val="center"/>
          </w:tcPr>
          <w:p w14:paraId="34D133E2">
            <w:pPr>
              <w:pStyle w:val="28"/>
              <w:numPr>
                <w:ilvl w:val="0"/>
                <w:numId w:val="13"/>
              </w:numPr>
              <w:rPr>
                <w:rFonts w:hint="default" w:cs="Times New Roman"/>
                <w:b/>
                <w:bCs/>
              </w:rPr>
            </w:pPr>
          </w:p>
        </w:tc>
        <w:tc>
          <w:tcPr>
            <w:tcW w:w="340" w:type="pct"/>
            <w:vMerge w:val="continue"/>
            <w:vAlign w:val="center"/>
          </w:tcPr>
          <w:p w14:paraId="05273B1F">
            <w:pPr>
              <w:pStyle w:val="28"/>
              <w:rPr>
                <w:rFonts w:hint="default" w:cs="Times New Roman"/>
              </w:rPr>
            </w:pPr>
          </w:p>
        </w:tc>
        <w:tc>
          <w:tcPr>
            <w:tcW w:w="2240" w:type="pct"/>
            <w:shd w:val="clear" w:color="auto" w:fill="auto"/>
            <w:noWrap/>
            <w:vAlign w:val="center"/>
          </w:tcPr>
          <w:p w14:paraId="32349963">
            <w:pPr>
              <w:pStyle w:val="28"/>
              <w:rPr>
                <w:rFonts w:hint="default" w:cs="Times New Roman"/>
              </w:rPr>
            </w:pPr>
            <w:r>
              <w:rPr>
                <w:rFonts w:hint="default" w:cs="Times New Roman"/>
              </w:rPr>
              <w:t>推进装修垃圾分类资源化利用</w:t>
            </w:r>
          </w:p>
        </w:tc>
        <w:tc>
          <w:tcPr>
            <w:tcW w:w="866" w:type="pct"/>
            <w:shd w:val="clear" w:color="auto" w:fill="auto"/>
            <w:noWrap/>
            <w:vAlign w:val="center"/>
          </w:tcPr>
          <w:p w14:paraId="0B6F3D75">
            <w:pPr>
              <w:pStyle w:val="28"/>
              <w:rPr>
                <w:rFonts w:hint="default" w:cs="Times New Roman"/>
              </w:rPr>
            </w:pPr>
            <w:r>
              <w:rPr>
                <w:rFonts w:cs="Times New Roman"/>
              </w:rPr>
              <w:t>区</w:t>
            </w:r>
            <w:r>
              <w:rPr>
                <w:rFonts w:hint="default" w:cs="Times New Roman"/>
              </w:rPr>
              <w:t>城管局</w:t>
            </w:r>
          </w:p>
        </w:tc>
        <w:tc>
          <w:tcPr>
            <w:tcW w:w="791" w:type="pct"/>
            <w:shd w:val="clear" w:color="auto" w:fill="auto"/>
            <w:noWrap/>
            <w:vAlign w:val="center"/>
          </w:tcPr>
          <w:p w14:paraId="56C42EEA">
            <w:pPr>
              <w:pStyle w:val="28"/>
              <w:rPr>
                <w:rFonts w:hint="default" w:cs="Times New Roman"/>
              </w:rPr>
            </w:pPr>
            <w:r>
              <w:rPr>
                <w:rFonts w:hint="default" w:cs="Times New Roman"/>
              </w:rPr>
              <w:t>/</w:t>
            </w:r>
          </w:p>
        </w:tc>
        <w:tc>
          <w:tcPr>
            <w:tcW w:w="458" w:type="pct"/>
            <w:shd w:val="clear" w:color="auto" w:fill="auto"/>
            <w:noWrap/>
            <w:vAlign w:val="center"/>
          </w:tcPr>
          <w:p w14:paraId="3DAC1029">
            <w:pPr>
              <w:pStyle w:val="28"/>
              <w:rPr>
                <w:rFonts w:hint="default" w:cs="Times New Roman"/>
              </w:rPr>
            </w:pPr>
            <w:r>
              <w:rPr>
                <w:rFonts w:hint="default" w:cs="Times New Roman"/>
              </w:rPr>
              <w:t>2023-2025</w:t>
            </w:r>
          </w:p>
        </w:tc>
      </w:tr>
      <w:tr w14:paraId="30D83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02" w:type="pct"/>
            <w:shd w:val="clear" w:color="auto" w:fill="auto"/>
            <w:noWrap/>
            <w:vAlign w:val="center"/>
          </w:tcPr>
          <w:p w14:paraId="2D6192DB">
            <w:pPr>
              <w:pStyle w:val="28"/>
              <w:numPr>
                <w:ilvl w:val="0"/>
                <w:numId w:val="13"/>
              </w:numPr>
              <w:rPr>
                <w:rFonts w:hint="default" w:cs="Times New Roman"/>
                <w:b/>
                <w:bCs/>
              </w:rPr>
            </w:pPr>
          </w:p>
        </w:tc>
        <w:tc>
          <w:tcPr>
            <w:tcW w:w="340" w:type="pct"/>
            <w:vMerge w:val="restart"/>
            <w:shd w:val="clear" w:color="auto" w:fill="auto"/>
            <w:vAlign w:val="center"/>
          </w:tcPr>
          <w:p w14:paraId="25E25215">
            <w:pPr>
              <w:pStyle w:val="28"/>
              <w:rPr>
                <w:rFonts w:hint="default" w:cs="Times New Roman"/>
              </w:rPr>
            </w:pPr>
            <w:r>
              <w:rPr>
                <w:rFonts w:hint="default" w:cs="Times New Roman"/>
              </w:rPr>
              <w:t>专项行动</w:t>
            </w:r>
          </w:p>
        </w:tc>
        <w:tc>
          <w:tcPr>
            <w:tcW w:w="2240" w:type="pct"/>
            <w:shd w:val="clear" w:color="auto" w:fill="auto"/>
            <w:noWrap/>
            <w:vAlign w:val="center"/>
          </w:tcPr>
          <w:p w14:paraId="5A08E6E6">
            <w:pPr>
              <w:pStyle w:val="28"/>
              <w:rPr>
                <w:rFonts w:hint="default" w:cs="Times New Roman"/>
              </w:rPr>
            </w:pPr>
            <w:r>
              <w:rPr>
                <w:rFonts w:hint="default" w:cs="Times New Roman"/>
              </w:rPr>
              <w:t>开展“清废行动”专项整治</w:t>
            </w:r>
          </w:p>
        </w:tc>
        <w:tc>
          <w:tcPr>
            <w:tcW w:w="866" w:type="pct"/>
            <w:shd w:val="clear" w:color="auto" w:fill="auto"/>
            <w:noWrap/>
            <w:vAlign w:val="center"/>
          </w:tcPr>
          <w:p w14:paraId="038D460C">
            <w:pPr>
              <w:pStyle w:val="28"/>
              <w:rPr>
                <w:rFonts w:hint="default" w:cs="Times New Roman"/>
              </w:rPr>
            </w:pPr>
            <w:r>
              <w:rPr>
                <w:rFonts w:cs="Times New Roman"/>
              </w:rPr>
              <w:t>连云</w:t>
            </w:r>
            <w:r>
              <w:rPr>
                <w:rFonts w:hint="default" w:cs="Times New Roman"/>
              </w:rPr>
              <w:t>生态环境局</w:t>
            </w:r>
          </w:p>
        </w:tc>
        <w:tc>
          <w:tcPr>
            <w:tcW w:w="791" w:type="pct"/>
            <w:shd w:val="clear" w:color="auto" w:fill="auto"/>
            <w:noWrap/>
            <w:vAlign w:val="center"/>
          </w:tcPr>
          <w:p w14:paraId="0C201A80">
            <w:pPr>
              <w:pStyle w:val="28"/>
              <w:rPr>
                <w:rFonts w:hint="default" w:cs="Times New Roman"/>
              </w:rPr>
            </w:pPr>
            <w:r>
              <w:rPr>
                <w:rFonts w:cs="Times New Roman"/>
              </w:rPr>
              <w:t>区</w:t>
            </w:r>
            <w:r>
              <w:rPr>
                <w:rFonts w:hint="default" w:cs="Times New Roman"/>
              </w:rPr>
              <w:t>住建局、</w:t>
            </w:r>
            <w:r>
              <w:rPr>
                <w:rFonts w:cs="Times New Roman"/>
              </w:rPr>
              <w:t>区</w:t>
            </w:r>
            <w:r>
              <w:rPr>
                <w:rFonts w:hint="default" w:cs="Times New Roman"/>
              </w:rPr>
              <w:t>农业农村局、</w:t>
            </w:r>
            <w:r>
              <w:rPr>
                <w:rFonts w:cs="Times New Roman"/>
              </w:rPr>
              <w:t>连云</w:t>
            </w:r>
            <w:r>
              <w:rPr>
                <w:rFonts w:hint="default" w:cs="Times New Roman"/>
              </w:rPr>
              <w:t>公安</w:t>
            </w:r>
            <w:r>
              <w:rPr>
                <w:rFonts w:cs="Times New Roman"/>
              </w:rPr>
              <w:t>分</w:t>
            </w:r>
            <w:r>
              <w:rPr>
                <w:rFonts w:hint="default" w:cs="Times New Roman"/>
              </w:rPr>
              <w:t>局等</w:t>
            </w:r>
          </w:p>
        </w:tc>
        <w:tc>
          <w:tcPr>
            <w:tcW w:w="458" w:type="pct"/>
            <w:shd w:val="clear" w:color="auto" w:fill="auto"/>
            <w:noWrap/>
            <w:vAlign w:val="center"/>
          </w:tcPr>
          <w:p w14:paraId="5462BBB7">
            <w:pPr>
              <w:pStyle w:val="28"/>
              <w:rPr>
                <w:rFonts w:hint="default" w:cs="Times New Roman"/>
              </w:rPr>
            </w:pPr>
            <w:r>
              <w:rPr>
                <w:rFonts w:hint="default" w:cs="Times New Roman"/>
              </w:rPr>
              <w:t>2023</w:t>
            </w:r>
          </w:p>
        </w:tc>
      </w:tr>
      <w:tr w14:paraId="024DB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02" w:type="pct"/>
            <w:shd w:val="clear" w:color="auto" w:fill="auto"/>
            <w:noWrap/>
            <w:vAlign w:val="center"/>
          </w:tcPr>
          <w:p w14:paraId="3B7FD56C">
            <w:pPr>
              <w:pStyle w:val="28"/>
              <w:numPr>
                <w:ilvl w:val="0"/>
                <w:numId w:val="13"/>
              </w:numPr>
              <w:rPr>
                <w:rFonts w:hint="default" w:cs="Times New Roman"/>
                <w:b/>
                <w:bCs/>
              </w:rPr>
            </w:pPr>
          </w:p>
        </w:tc>
        <w:tc>
          <w:tcPr>
            <w:tcW w:w="340" w:type="pct"/>
            <w:vMerge w:val="continue"/>
            <w:vAlign w:val="center"/>
          </w:tcPr>
          <w:p w14:paraId="485EF02A">
            <w:pPr>
              <w:pStyle w:val="28"/>
              <w:rPr>
                <w:rFonts w:hint="default" w:cs="Times New Roman"/>
              </w:rPr>
            </w:pPr>
          </w:p>
        </w:tc>
        <w:tc>
          <w:tcPr>
            <w:tcW w:w="2240" w:type="pct"/>
            <w:shd w:val="clear" w:color="auto" w:fill="auto"/>
            <w:noWrap/>
            <w:vAlign w:val="center"/>
          </w:tcPr>
          <w:p w14:paraId="4615D68A">
            <w:pPr>
              <w:pStyle w:val="28"/>
              <w:rPr>
                <w:rFonts w:hint="default" w:cs="Times New Roman"/>
              </w:rPr>
            </w:pPr>
            <w:r>
              <w:rPr>
                <w:rFonts w:hint="default" w:cs="Times New Roman"/>
              </w:rPr>
              <w:t>开展农药包装废弃物回收监测评价</w:t>
            </w:r>
          </w:p>
        </w:tc>
        <w:tc>
          <w:tcPr>
            <w:tcW w:w="866" w:type="pct"/>
            <w:shd w:val="clear" w:color="auto" w:fill="auto"/>
            <w:noWrap/>
            <w:vAlign w:val="center"/>
          </w:tcPr>
          <w:p w14:paraId="63D49A09">
            <w:pPr>
              <w:pStyle w:val="28"/>
              <w:rPr>
                <w:rFonts w:hint="default" w:cs="Times New Roman"/>
              </w:rPr>
            </w:pPr>
            <w:r>
              <w:rPr>
                <w:rFonts w:cs="Times New Roman"/>
              </w:rPr>
              <w:t>区供销总社</w:t>
            </w:r>
          </w:p>
        </w:tc>
        <w:tc>
          <w:tcPr>
            <w:tcW w:w="791" w:type="pct"/>
            <w:shd w:val="clear" w:color="auto" w:fill="auto"/>
            <w:noWrap/>
            <w:vAlign w:val="center"/>
          </w:tcPr>
          <w:p w14:paraId="2D3509F7">
            <w:pPr>
              <w:pStyle w:val="28"/>
              <w:rPr>
                <w:rFonts w:hint="default" w:cs="Times New Roman"/>
              </w:rPr>
            </w:pPr>
            <w:r>
              <w:rPr>
                <w:rFonts w:hint="default" w:cs="Times New Roman"/>
              </w:rPr>
              <w:t>/</w:t>
            </w:r>
          </w:p>
        </w:tc>
        <w:tc>
          <w:tcPr>
            <w:tcW w:w="458" w:type="pct"/>
            <w:shd w:val="clear" w:color="auto" w:fill="auto"/>
            <w:noWrap/>
            <w:vAlign w:val="center"/>
          </w:tcPr>
          <w:p w14:paraId="224D3183">
            <w:pPr>
              <w:pStyle w:val="28"/>
              <w:rPr>
                <w:rFonts w:hint="default" w:cs="Times New Roman"/>
              </w:rPr>
            </w:pPr>
            <w:r>
              <w:rPr>
                <w:rFonts w:hint="default" w:cs="Times New Roman"/>
              </w:rPr>
              <w:t>2024</w:t>
            </w:r>
          </w:p>
        </w:tc>
      </w:tr>
      <w:tr w14:paraId="66DB0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02" w:type="pct"/>
            <w:shd w:val="clear" w:color="auto" w:fill="auto"/>
            <w:noWrap/>
            <w:vAlign w:val="center"/>
          </w:tcPr>
          <w:p w14:paraId="5DB35132">
            <w:pPr>
              <w:pStyle w:val="28"/>
              <w:numPr>
                <w:ilvl w:val="0"/>
                <w:numId w:val="13"/>
              </w:numPr>
              <w:rPr>
                <w:rFonts w:hint="default" w:cs="Times New Roman"/>
                <w:b/>
                <w:bCs/>
              </w:rPr>
            </w:pPr>
          </w:p>
        </w:tc>
        <w:tc>
          <w:tcPr>
            <w:tcW w:w="340" w:type="pct"/>
            <w:vMerge w:val="continue"/>
            <w:vAlign w:val="center"/>
          </w:tcPr>
          <w:p w14:paraId="14A50005">
            <w:pPr>
              <w:pStyle w:val="28"/>
              <w:rPr>
                <w:rFonts w:hint="default" w:cs="Times New Roman"/>
              </w:rPr>
            </w:pPr>
          </w:p>
        </w:tc>
        <w:tc>
          <w:tcPr>
            <w:tcW w:w="2240" w:type="pct"/>
            <w:shd w:val="clear" w:color="auto" w:fill="auto"/>
            <w:noWrap/>
            <w:vAlign w:val="center"/>
          </w:tcPr>
          <w:p w14:paraId="569AC1DA">
            <w:pPr>
              <w:pStyle w:val="28"/>
              <w:rPr>
                <w:rFonts w:hint="default" w:cs="Times New Roman"/>
              </w:rPr>
            </w:pPr>
            <w:r>
              <w:rPr>
                <w:rFonts w:hint="default" w:cs="Times New Roman"/>
              </w:rPr>
              <w:t>开展渔港、码头专项整治行动</w:t>
            </w:r>
          </w:p>
        </w:tc>
        <w:tc>
          <w:tcPr>
            <w:tcW w:w="866" w:type="pct"/>
            <w:shd w:val="clear" w:color="auto" w:fill="auto"/>
            <w:noWrap/>
            <w:vAlign w:val="center"/>
          </w:tcPr>
          <w:p w14:paraId="4CC2F257">
            <w:pPr>
              <w:pStyle w:val="28"/>
              <w:rPr>
                <w:rFonts w:hint="default" w:cs="Times New Roman"/>
              </w:rPr>
            </w:pPr>
            <w:r>
              <w:rPr>
                <w:rFonts w:cs="Times New Roman"/>
              </w:rPr>
              <w:t>区</w:t>
            </w:r>
            <w:r>
              <w:rPr>
                <w:rFonts w:hint="default" w:cs="Times New Roman"/>
              </w:rPr>
              <w:t>林业和海洋局</w:t>
            </w:r>
          </w:p>
        </w:tc>
        <w:tc>
          <w:tcPr>
            <w:tcW w:w="791" w:type="pct"/>
            <w:shd w:val="clear" w:color="auto" w:fill="auto"/>
            <w:noWrap/>
            <w:vAlign w:val="center"/>
          </w:tcPr>
          <w:p w14:paraId="67012593">
            <w:pPr>
              <w:pStyle w:val="28"/>
              <w:rPr>
                <w:rFonts w:hint="default" w:cs="Times New Roman"/>
              </w:rPr>
            </w:pPr>
            <w:r>
              <w:rPr>
                <w:rFonts w:cs="Times New Roman"/>
              </w:rPr>
              <w:t>连云</w:t>
            </w:r>
            <w:r>
              <w:rPr>
                <w:rFonts w:hint="default" w:cs="Times New Roman"/>
              </w:rPr>
              <w:t>生态环境局</w:t>
            </w:r>
          </w:p>
        </w:tc>
        <w:tc>
          <w:tcPr>
            <w:tcW w:w="458" w:type="pct"/>
            <w:shd w:val="clear" w:color="auto" w:fill="auto"/>
            <w:noWrap/>
            <w:vAlign w:val="center"/>
          </w:tcPr>
          <w:p w14:paraId="2A331325">
            <w:pPr>
              <w:pStyle w:val="28"/>
              <w:rPr>
                <w:rFonts w:hint="default" w:cs="Times New Roman"/>
              </w:rPr>
            </w:pPr>
            <w:r>
              <w:rPr>
                <w:rFonts w:hint="default" w:cs="Times New Roman"/>
              </w:rPr>
              <w:t>2024</w:t>
            </w:r>
          </w:p>
        </w:tc>
      </w:tr>
    </w:tbl>
    <w:p w14:paraId="2BCDC717">
      <w:pPr>
        <w:ind w:firstLine="640"/>
      </w:pPr>
    </w:p>
    <w:p w14:paraId="09F3DFBF">
      <w:pPr>
        <w:pStyle w:val="3"/>
        <w:sectPr>
          <w:pgSz w:w="16838" w:h="11906" w:orient="landscape"/>
          <w:pgMar w:top="1440" w:right="1440" w:bottom="1440" w:left="1440" w:header="851" w:footer="992" w:gutter="0"/>
          <w:cols w:space="425" w:num="1"/>
          <w:docGrid w:type="lines" w:linePitch="312" w:charSpace="0"/>
        </w:sectPr>
      </w:pPr>
    </w:p>
    <w:p w14:paraId="149F65D8">
      <w:pPr>
        <w:pStyle w:val="3"/>
      </w:pPr>
      <w:bookmarkStart w:id="104" w:name="_Toc15887"/>
      <w:r>
        <w:rPr>
          <w:rFonts w:hint="eastAsia"/>
        </w:rPr>
        <w:t xml:space="preserve">附件4 </w:t>
      </w:r>
    </w:p>
    <w:p w14:paraId="0E923229">
      <w:pPr>
        <w:pStyle w:val="3"/>
        <w:jc w:val="center"/>
      </w:pPr>
      <w:r>
        <w:rPr>
          <w:rFonts w:hint="eastAsia"/>
        </w:rPr>
        <w:t>连云区“无废城市”建设责任清单</w:t>
      </w:r>
      <w:bookmarkEnd w:id="104"/>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4"/>
        <w:gridCol w:w="1735"/>
        <w:gridCol w:w="11625"/>
      </w:tblGrid>
      <w:tr w14:paraId="3E7F0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blHeader/>
        </w:trPr>
        <w:tc>
          <w:tcPr>
            <w:tcW w:w="287" w:type="pct"/>
            <w:shd w:val="clear" w:color="auto" w:fill="auto"/>
            <w:vAlign w:val="center"/>
          </w:tcPr>
          <w:p w14:paraId="3B413006">
            <w:pPr>
              <w:pStyle w:val="28"/>
              <w:rPr>
                <w:rFonts w:hint="default"/>
                <w:b/>
                <w:bCs/>
              </w:rPr>
            </w:pPr>
            <w:r>
              <w:rPr>
                <w:b/>
                <w:bCs/>
              </w:rPr>
              <w:t>序号</w:t>
            </w:r>
          </w:p>
        </w:tc>
        <w:tc>
          <w:tcPr>
            <w:tcW w:w="612" w:type="pct"/>
            <w:shd w:val="clear" w:color="auto" w:fill="auto"/>
            <w:vAlign w:val="center"/>
          </w:tcPr>
          <w:p w14:paraId="0DFE2E7B">
            <w:pPr>
              <w:pStyle w:val="28"/>
              <w:rPr>
                <w:rFonts w:hint="default"/>
                <w:b/>
                <w:bCs/>
              </w:rPr>
            </w:pPr>
            <w:r>
              <w:rPr>
                <w:b/>
                <w:bCs/>
              </w:rPr>
              <w:t>牵头部门</w:t>
            </w:r>
          </w:p>
        </w:tc>
        <w:tc>
          <w:tcPr>
            <w:tcW w:w="4100" w:type="pct"/>
            <w:shd w:val="clear" w:color="auto" w:fill="auto"/>
            <w:vAlign w:val="center"/>
          </w:tcPr>
          <w:p w14:paraId="2E68628D">
            <w:pPr>
              <w:pStyle w:val="28"/>
              <w:rPr>
                <w:rFonts w:hint="default"/>
                <w:b/>
                <w:bCs/>
              </w:rPr>
            </w:pPr>
            <w:r>
              <w:rPr>
                <w:b/>
                <w:bCs/>
              </w:rPr>
              <w:t>责任内容</w:t>
            </w:r>
          </w:p>
        </w:tc>
      </w:tr>
      <w:tr w14:paraId="0F624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shd w:val="clear" w:color="auto" w:fill="auto"/>
            <w:vAlign w:val="center"/>
          </w:tcPr>
          <w:p w14:paraId="00E5EA45">
            <w:pPr>
              <w:pStyle w:val="28"/>
              <w:numPr>
                <w:ilvl w:val="0"/>
                <w:numId w:val="14"/>
              </w:numPr>
              <w:rPr>
                <w:rFonts w:hint="default"/>
              </w:rPr>
            </w:pPr>
          </w:p>
        </w:tc>
        <w:tc>
          <w:tcPr>
            <w:tcW w:w="612" w:type="pct"/>
            <w:shd w:val="clear" w:color="auto" w:fill="auto"/>
            <w:vAlign w:val="center"/>
          </w:tcPr>
          <w:p w14:paraId="37C383FF">
            <w:pPr>
              <w:pStyle w:val="28"/>
              <w:rPr>
                <w:rFonts w:hint="default"/>
              </w:rPr>
            </w:pPr>
            <w:r>
              <w:t>无废办</w:t>
            </w:r>
          </w:p>
        </w:tc>
        <w:tc>
          <w:tcPr>
            <w:tcW w:w="4100" w:type="pct"/>
            <w:shd w:val="clear" w:color="auto" w:fill="auto"/>
            <w:vAlign w:val="center"/>
          </w:tcPr>
          <w:p w14:paraId="75035C25">
            <w:pPr>
              <w:pStyle w:val="28"/>
              <w:jc w:val="left"/>
              <w:rPr>
                <w:rFonts w:hint="default"/>
              </w:rPr>
            </w:pPr>
            <w:r>
              <w:t>1、明确成员单位职责分工，建立协作调度机制，建立联席会议制度和重大事项会商制度</w:t>
            </w:r>
          </w:p>
          <w:p w14:paraId="14F1178D">
            <w:pPr>
              <w:pStyle w:val="28"/>
              <w:jc w:val="left"/>
              <w:rPr>
                <w:rFonts w:hint="default"/>
              </w:rPr>
            </w:pPr>
            <w:r>
              <w:t>2、制定《连云区“无废城市”建设实施方案（2022-2025）》。</w:t>
            </w:r>
          </w:p>
          <w:p w14:paraId="2F70B059">
            <w:pPr>
              <w:pStyle w:val="28"/>
              <w:jc w:val="left"/>
              <w:rPr>
                <w:rFonts w:hint="default"/>
              </w:rPr>
            </w:pPr>
            <w:r>
              <w:t>3、制定《连云区“无废城市”建设工作宣传方案》。</w:t>
            </w:r>
          </w:p>
          <w:p w14:paraId="03A5F476">
            <w:pPr>
              <w:pStyle w:val="28"/>
              <w:jc w:val="left"/>
              <w:rPr>
                <w:rFonts w:hint="default"/>
              </w:rPr>
            </w:pPr>
            <w:r>
              <w:t>4、制定“无废城市”建设考核机制，纳入市污染防治攻坚成效考核。</w:t>
            </w:r>
          </w:p>
          <w:p w14:paraId="03EA2043">
            <w:pPr>
              <w:pStyle w:val="28"/>
              <w:jc w:val="left"/>
              <w:rPr>
                <w:rFonts w:hint="default"/>
              </w:rPr>
            </w:pPr>
            <w:r>
              <w:t>5、开展“无废细胞”建设不少于15个（</w:t>
            </w:r>
            <w:r>
              <w:rPr>
                <w:rFonts w:cs="Times New Roman"/>
              </w:rPr>
              <w:t>暂定15个，具体数量根据连云港市“无废细胞”建设相关要求确定</w:t>
            </w:r>
            <w:r>
              <w:t>），牵头开展“无废机关”建设。</w:t>
            </w:r>
          </w:p>
        </w:tc>
      </w:tr>
      <w:tr w14:paraId="391C3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shd w:val="clear" w:color="auto" w:fill="auto"/>
            <w:vAlign w:val="center"/>
          </w:tcPr>
          <w:p w14:paraId="43FCE2E0">
            <w:pPr>
              <w:pStyle w:val="28"/>
              <w:numPr>
                <w:ilvl w:val="0"/>
                <w:numId w:val="14"/>
              </w:numPr>
              <w:rPr>
                <w:rFonts w:hint="default"/>
              </w:rPr>
            </w:pPr>
          </w:p>
        </w:tc>
        <w:tc>
          <w:tcPr>
            <w:tcW w:w="612" w:type="pct"/>
            <w:shd w:val="clear" w:color="auto" w:fill="auto"/>
            <w:vAlign w:val="center"/>
          </w:tcPr>
          <w:p w14:paraId="00BD89E1">
            <w:pPr>
              <w:pStyle w:val="28"/>
              <w:rPr>
                <w:rFonts w:hint="default"/>
              </w:rPr>
            </w:pPr>
            <w:r>
              <w:t>湾长办</w:t>
            </w:r>
          </w:p>
        </w:tc>
        <w:tc>
          <w:tcPr>
            <w:tcW w:w="4100" w:type="pct"/>
            <w:shd w:val="clear" w:color="auto" w:fill="auto"/>
            <w:vAlign w:val="center"/>
          </w:tcPr>
          <w:p w14:paraId="5B31B5CA">
            <w:pPr>
              <w:pStyle w:val="28"/>
              <w:jc w:val="left"/>
              <w:rPr>
                <w:rFonts w:hint="default"/>
              </w:rPr>
            </w:pPr>
            <w:r>
              <w:t>1、落实《海洋清漂专项行动实施方案》。</w:t>
            </w:r>
          </w:p>
          <w:p w14:paraId="4C067ABB">
            <w:pPr>
              <w:pStyle w:val="28"/>
              <w:jc w:val="left"/>
              <w:rPr>
                <w:rFonts w:hint="default"/>
              </w:rPr>
            </w:pPr>
            <w:r>
              <w:t>2、推进“美丽海湾”建设，提升“无废”海滩比例。</w:t>
            </w:r>
          </w:p>
          <w:p w14:paraId="3B944E5B">
            <w:pPr>
              <w:pStyle w:val="28"/>
              <w:jc w:val="left"/>
              <w:rPr>
                <w:rFonts w:hint="default"/>
              </w:rPr>
            </w:pPr>
            <w:r>
              <w:t>3、制定“海上环卫制度”工作方案，推进海洋垃圾治理。</w:t>
            </w:r>
          </w:p>
          <w:p w14:paraId="6A9BC529">
            <w:pPr>
              <w:pStyle w:val="28"/>
              <w:jc w:val="left"/>
              <w:rPr>
                <w:rFonts w:hint="default"/>
              </w:rPr>
            </w:pPr>
            <w:r>
              <w:t>4、开展全区入海排污口调查和整治。</w:t>
            </w:r>
          </w:p>
        </w:tc>
      </w:tr>
      <w:tr w14:paraId="46903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shd w:val="clear" w:color="auto" w:fill="auto"/>
            <w:vAlign w:val="center"/>
          </w:tcPr>
          <w:p w14:paraId="2A244F1B">
            <w:pPr>
              <w:pStyle w:val="28"/>
              <w:numPr>
                <w:ilvl w:val="0"/>
                <w:numId w:val="14"/>
              </w:numPr>
              <w:rPr>
                <w:rFonts w:hint="default"/>
              </w:rPr>
            </w:pPr>
          </w:p>
        </w:tc>
        <w:tc>
          <w:tcPr>
            <w:tcW w:w="612" w:type="pct"/>
            <w:shd w:val="clear" w:color="auto" w:fill="auto"/>
            <w:vAlign w:val="center"/>
          </w:tcPr>
          <w:p w14:paraId="0ACDD91D">
            <w:pPr>
              <w:pStyle w:val="28"/>
              <w:rPr>
                <w:rFonts w:hint="default"/>
              </w:rPr>
            </w:pPr>
            <w:r>
              <w:t>区经发局</w:t>
            </w:r>
          </w:p>
        </w:tc>
        <w:tc>
          <w:tcPr>
            <w:tcW w:w="4100" w:type="pct"/>
            <w:shd w:val="clear" w:color="auto" w:fill="auto"/>
            <w:vAlign w:val="center"/>
          </w:tcPr>
          <w:p w14:paraId="77C814E7">
            <w:pPr>
              <w:pStyle w:val="28"/>
              <w:jc w:val="left"/>
              <w:rPr>
                <w:rFonts w:hint="default"/>
              </w:rPr>
            </w:pPr>
            <w:r>
              <w:t>1、落实《连云港市碳达峰实施方案》。</w:t>
            </w:r>
          </w:p>
          <w:p w14:paraId="62739E5B">
            <w:pPr>
              <w:pStyle w:val="28"/>
              <w:jc w:val="left"/>
              <w:rPr>
                <w:rFonts w:hint="default"/>
              </w:rPr>
            </w:pPr>
            <w:r>
              <w:t>2、推动连云大宗工业固体废物综合利用片区建设。</w:t>
            </w:r>
          </w:p>
          <w:p w14:paraId="3705EF5D">
            <w:pPr>
              <w:pStyle w:val="28"/>
              <w:jc w:val="left"/>
              <w:rPr>
                <w:rFonts w:hint="default"/>
              </w:rPr>
            </w:pPr>
            <w:r>
              <w:t>3、优化生产力布局，推进产业绿色发展，培育壮大新动能。构建绿色制造体系，引导工业企业开展绿色化改造，推广环保节能低碳新技术新产品应用。</w:t>
            </w:r>
          </w:p>
          <w:p w14:paraId="647FCBE9">
            <w:pPr>
              <w:pStyle w:val="28"/>
              <w:jc w:val="left"/>
              <w:rPr>
                <w:rFonts w:hint="default"/>
              </w:rPr>
            </w:pPr>
            <w:r>
              <w:t>4、组织拟订有利于资源节约和绿色低碳发展的全区综合性产业政策，推动产业结构调整。</w:t>
            </w:r>
          </w:p>
          <w:p w14:paraId="679A0FEB">
            <w:pPr>
              <w:pStyle w:val="28"/>
              <w:jc w:val="left"/>
              <w:rPr>
                <w:rFonts w:hint="default"/>
              </w:rPr>
            </w:pPr>
            <w:r>
              <w:t>5、协助有关部门健全环境信用评价体系，协助开展工业固体废物贮存场所环境污染专项整治行动，协助制定《一般工业固体废物基础信息清单》和《一般工业固体废物收集、利用、处置单位监管源清单》。</w:t>
            </w:r>
          </w:p>
          <w:p w14:paraId="0FC48F9A">
            <w:pPr>
              <w:pStyle w:val="28"/>
              <w:jc w:val="left"/>
              <w:rPr>
                <w:rFonts w:hint="default"/>
              </w:rPr>
            </w:pPr>
            <w:r>
              <w:t>6、推动省级及以上绿色工厂建设。</w:t>
            </w:r>
          </w:p>
          <w:p w14:paraId="1ED66DCD">
            <w:pPr>
              <w:pStyle w:val="28"/>
              <w:jc w:val="left"/>
              <w:rPr>
                <w:rFonts w:hint="default"/>
              </w:rPr>
            </w:pPr>
            <w:r>
              <w:t>7、按职责分工负责有关清洁生产促进工作，依法依规牵头组织利用综合标准淘汰落后产能工作。</w:t>
            </w:r>
          </w:p>
        </w:tc>
      </w:tr>
      <w:tr w14:paraId="1BCFB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shd w:val="clear" w:color="auto" w:fill="auto"/>
            <w:vAlign w:val="center"/>
          </w:tcPr>
          <w:p w14:paraId="33BF68CC">
            <w:pPr>
              <w:pStyle w:val="28"/>
              <w:numPr>
                <w:ilvl w:val="0"/>
                <w:numId w:val="14"/>
              </w:numPr>
              <w:rPr>
                <w:rFonts w:hint="default"/>
              </w:rPr>
            </w:pPr>
          </w:p>
        </w:tc>
        <w:tc>
          <w:tcPr>
            <w:tcW w:w="612" w:type="pct"/>
            <w:shd w:val="clear" w:color="auto" w:fill="auto"/>
            <w:vAlign w:val="center"/>
          </w:tcPr>
          <w:p w14:paraId="5D6436E5">
            <w:pPr>
              <w:pStyle w:val="28"/>
              <w:rPr>
                <w:rFonts w:hint="default"/>
              </w:rPr>
            </w:pPr>
            <w:r>
              <w:rPr>
                <w:rFonts w:cs="Times New Roman"/>
              </w:rPr>
              <w:t>连云</w:t>
            </w:r>
            <w:r>
              <w:rPr>
                <w:rFonts w:hint="default" w:cs="Times New Roman"/>
              </w:rPr>
              <w:t>生态环境局</w:t>
            </w:r>
          </w:p>
        </w:tc>
        <w:tc>
          <w:tcPr>
            <w:tcW w:w="4100" w:type="pct"/>
            <w:shd w:val="clear" w:color="auto" w:fill="auto"/>
            <w:vAlign w:val="center"/>
          </w:tcPr>
          <w:p w14:paraId="30E4A967">
            <w:pPr>
              <w:pStyle w:val="28"/>
              <w:jc w:val="left"/>
              <w:rPr>
                <w:rFonts w:hint="default"/>
              </w:rPr>
            </w:pPr>
            <w:r>
              <w:t>1、统筹全区“无废城市”建设工作。</w:t>
            </w:r>
          </w:p>
          <w:p w14:paraId="02B02DD3">
            <w:pPr>
              <w:pStyle w:val="28"/>
              <w:jc w:val="left"/>
              <w:rPr>
                <w:rFonts w:hint="default"/>
              </w:rPr>
            </w:pPr>
            <w:r>
              <w:t>2、落实《连云港市“十四五”时期生态环境基础设施建设规划》连云区相关内容。</w:t>
            </w:r>
          </w:p>
          <w:p w14:paraId="4C5E5AD3">
            <w:pPr>
              <w:pStyle w:val="28"/>
              <w:jc w:val="left"/>
              <w:rPr>
                <w:rFonts w:hint="default"/>
              </w:rPr>
            </w:pPr>
            <w:r>
              <w:t>3、制定《一般工业固体废物基础信息清单》《一般工业固体废物收集、利用、处置单位监管源清单》。</w:t>
            </w:r>
          </w:p>
          <w:p w14:paraId="75F55CBE">
            <w:pPr>
              <w:pStyle w:val="28"/>
              <w:jc w:val="left"/>
              <w:rPr>
                <w:rFonts w:hint="default"/>
              </w:rPr>
            </w:pPr>
            <w:r>
              <w:t>4、开展工业固体废物贮存场所环境污染专项整治行动、“清废行动”专项整治行动。</w:t>
            </w:r>
          </w:p>
          <w:p w14:paraId="3BFCABEA">
            <w:pPr>
              <w:pStyle w:val="28"/>
              <w:jc w:val="left"/>
              <w:rPr>
                <w:rFonts w:hint="default"/>
              </w:rPr>
            </w:pPr>
            <w:r>
              <w:t>5、落实《连云港市危险废物分级分类管理方案》，推动危险废物经营单位落实环境污染责任保险全覆盖，建设危险废物小微收集体系、社会源危险废物回收体系建设。</w:t>
            </w:r>
          </w:p>
          <w:p w14:paraId="3160D83D">
            <w:pPr>
              <w:pStyle w:val="28"/>
              <w:jc w:val="left"/>
              <w:rPr>
                <w:rFonts w:hint="default"/>
              </w:rPr>
            </w:pPr>
            <w:r>
              <w:t>6、推进一般固废工业盐的减量化技术应用（KVT），提高碱渣综合利用量、一般工业固体废物综合利用率、工业危险废物综合利用率、石膏类废物综合利用率、工业污泥无害化处理率、化工废盐利用处置率。</w:t>
            </w:r>
          </w:p>
          <w:p w14:paraId="255B91D2">
            <w:pPr>
              <w:pStyle w:val="28"/>
              <w:jc w:val="left"/>
              <w:rPr>
                <w:rFonts w:hint="default"/>
              </w:rPr>
            </w:pPr>
            <w:r>
              <w:t>7、实施排污总量控制制度。</w:t>
            </w:r>
          </w:p>
          <w:p w14:paraId="1668A217">
            <w:pPr>
              <w:pStyle w:val="28"/>
              <w:jc w:val="left"/>
              <w:rPr>
                <w:rFonts w:hint="default"/>
              </w:rPr>
            </w:pPr>
            <w:r>
              <w:t>8、提出固体废物领域固定资产投资规模和方向、参与指导推动循环经济和生态环保产业发展，按职责分工组织开展强制性清洁生产审核工作，开展工业企业清洁生产审核。</w:t>
            </w:r>
          </w:p>
          <w:p w14:paraId="73347AE6">
            <w:pPr>
              <w:pStyle w:val="28"/>
              <w:jc w:val="left"/>
              <w:rPr>
                <w:rFonts w:hint="default"/>
              </w:rPr>
            </w:pPr>
            <w:r>
              <w:t>9、负责固体废物污染防治的监督管理。落实固体废物环境污染防治管理制度。</w:t>
            </w:r>
          </w:p>
          <w:p w14:paraId="2EC4F01A">
            <w:pPr>
              <w:pStyle w:val="28"/>
              <w:jc w:val="left"/>
              <w:rPr>
                <w:rFonts w:hint="default"/>
              </w:rPr>
            </w:pPr>
            <w:r>
              <w:t>10、负责涉固体废物环境准入的监督管理。按国家和省、市规定组织审查建设项目环境影响评价文件。</w:t>
            </w:r>
          </w:p>
          <w:p w14:paraId="3C29015F">
            <w:pPr>
              <w:pStyle w:val="28"/>
              <w:jc w:val="left"/>
              <w:rPr>
                <w:rFonts w:hint="default"/>
              </w:rPr>
            </w:pPr>
            <w:r>
              <w:t>11、组织指导和协调“无废城市”建设宣传教育工作。组织开展环境日等生态环保重大宣传活动，推动社会组织和公众参与“无废城市”建设。</w:t>
            </w:r>
          </w:p>
          <w:p w14:paraId="2EE5284B">
            <w:pPr>
              <w:pStyle w:val="28"/>
              <w:jc w:val="left"/>
              <w:rPr>
                <w:rFonts w:hint="default"/>
              </w:rPr>
            </w:pPr>
            <w:r>
              <w:t>12、组织实施环境信用体系建设，及时归集、管理社会主体环境信用信息，将相关信用信息和信用评价结果及时推送市公共信用信息平台，对纳入失信联合惩戒对象名单的社会主体，推动相关部门依法依规采取联合惩戒措施。</w:t>
            </w:r>
          </w:p>
          <w:p w14:paraId="26381A3C">
            <w:pPr>
              <w:pStyle w:val="28"/>
              <w:jc w:val="left"/>
              <w:rPr>
                <w:rFonts w:hint="default"/>
              </w:rPr>
            </w:pPr>
            <w:r>
              <w:t>13、组织开展“无废工厂”建设。</w:t>
            </w:r>
          </w:p>
        </w:tc>
      </w:tr>
      <w:tr w14:paraId="60742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shd w:val="clear" w:color="auto" w:fill="auto"/>
            <w:vAlign w:val="center"/>
          </w:tcPr>
          <w:p w14:paraId="3FA03FD3">
            <w:pPr>
              <w:pStyle w:val="28"/>
              <w:numPr>
                <w:ilvl w:val="0"/>
                <w:numId w:val="14"/>
              </w:numPr>
              <w:rPr>
                <w:rFonts w:hint="default"/>
              </w:rPr>
            </w:pPr>
          </w:p>
        </w:tc>
        <w:tc>
          <w:tcPr>
            <w:tcW w:w="612" w:type="pct"/>
            <w:shd w:val="clear" w:color="auto" w:fill="auto"/>
            <w:vAlign w:val="center"/>
          </w:tcPr>
          <w:p w14:paraId="0A9D83B6">
            <w:pPr>
              <w:pStyle w:val="28"/>
              <w:rPr>
                <w:rFonts w:hint="default"/>
              </w:rPr>
            </w:pPr>
            <w:r>
              <w:t>区城管局</w:t>
            </w:r>
          </w:p>
        </w:tc>
        <w:tc>
          <w:tcPr>
            <w:tcW w:w="4100" w:type="pct"/>
            <w:shd w:val="clear" w:color="auto" w:fill="auto"/>
            <w:vAlign w:val="center"/>
          </w:tcPr>
          <w:p w14:paraId="350AF2D4">
            <w:pPr>
              <w:pStyle w:val="28"/>
              <w:jc w:val="left"/>
              <w:rPr>
                <w:rFonts w:hint="default"/>
              </w:rPr>
            </w:pPr>
            <w:r>
              <w:t>1、落实《连云港市生活垃圾治理实施方案》和《连云港市有害垃圾处理方案》。</w:t>
            </w:r>
          </w:p>
          <w:p w14:paraId="61FDB19E">
            <w:pPr>
              <w:pStyle w:val="28"/>
              <w:jc w:val="left"/>
              <w:rPr>
                <w:rFonts w:hint="default"/>
              </w:rPr>
            </w:pPr>
            <w:r>
              <w:t>2、推动城市居民小区生活垃圾分类覆盖率上升，提高生活垃圾回收利用率，提高有害垃圾处置率。</w:t>
            </w:r>
          </w:p>
          <w:p w14:paraId="140A4872">
            <w:pPr>
              <w:pStyle w:val="28"/>
              <w:jc w:val="left"/>
              <w:rPr>
                <w:rFonts w:hint="default"/>
              </w:rPr>
            </w:pPr>
            <w:r>
              <w:t>3、建立餐厨垃圾收集、运输、处置监管体系。</w:t>
            </w:r>
          </w:p>
          <w:p w14:paraId="4469B8D4">
            <w:pPr>
              <w:pStyle w:val="28"/>
              <w:jc w:val="left"/>
              <w:rPr>
                <w:rFonts w:hint="default"/>
              </w:rPr>
            </w:pPr>
            <w:r>
              <w:t>4、落实《连云港市城市建筑垃圾管理办法》，建立建筑垃圾规范收集体系，推进装修垃圾分类资源化利用，严格渣土车辆运输规范化管理。</w:t>
            </w:r>
          </w:p>
          <w:p w14:paraId="4F5DA53E">
            <w:pPr>
              <w:pStyle w:val="28"/>
              <w:jc w:val="left"/>
              <w:rPr>
                <w:rFonts w:hint="default"/>
              </w:rPr>
            </w:pPr>
            <w:r>
              <w:t>5、负责城镇生活垃圾分类、清扫、收集运输和处置的监督管理，推进城镇建筑垃圾和餐厨垃圾资源化、无害化处置。</w:t>
            </w:r>
          </w:p>
          <w:p w14:paraId="3A533C38">
            <w:pPr>
              <w:pStyle w:val="28"/>
              <w:jc w:val="left"/>
              <w:rPr>
                <w:rFonts w:hint="default"/>
              </w:rPr>
            </w:pPr>
            <w:r>
              <w:t>6、组织指导城市环境综合整治和村庄环境长效管理。</w:t>
            </w:r>
          </w:p>
          <w:p w14:paraId="4992A96D">
            <w:pPr>
              <w:pStyle w:val="28"/>
              <w:jc w:val="left"/>
              <w:rPr>
                <w:rFonts w:hint="default"/>
              </w:rPr>
            </w:pPr>
            <w:r>
              <w:t>7、协助建立废弃快递包装物回收体系，协助加强商务部再生资源回收信息化平台应用，协助社会源危险废物回收体系建设。</w:t>
            </w:r>
          </w:p>
          <w:p w14:paraId="0DF8396E">
            <w:pPr>
              <w:pStyle w:val="28"/>
              <w:jc w:val="left"/>
              <w:rPr>
                <w:rFonts w:hint="default"/>
              </w:rPr>
            </w:pPr>
            <w:r>
              <w:t>8、与住建局一起组织开展“无废工地”建设。</w:t>
            </w:r>
          </w:p>
        </w:tc>
      </w:tr>
      <w:tr w14:paraId="2B686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shd w:val="clear" w:color="auto" w:fill="auto"/>
            <w:vAlign w:val="center"/>
          </w:tcPr>
          <w:p w14:paraId="3723E48D">
            <w:pPr>
              <w:pStyle w:val="28"/>
              <w:numPr>
                <w:ilvl w:val="0"/>
                <w:numId w:val="14"/>
              </w:numPr>
              <w:rPr>
                <w:rFonts w:hint="default"/>
              </w:rPr>
            </w:pPr>
          </w:p>
        </w:tc>
        <w:tc>
          <w:tcPr>
            <w:tcW w:w="612" w:type="pct"/>
            <w:shd w:val="clear" w:color="auto" w:fill="auto"/>
            <w:vAlign w:val="center"/>
          </w:tcPr>
          <w:p w14:paraId="14B34FD1">
            <w:pPr>
              <w:pStyle w:val="28"/>
              <w:rPr>
                <w:rFonts w:hint="default"/>
              </w:rPr>
            </w:pPr>
            <w:r>
              <w:t>区农业农村局</w:t>
            </w:r>
          </w:p>
        </w:tc>
        <w:tc>
          <w:tcPr>
            <w:tcW w:w="4100" w:type="pct"/>
            <w:shd w:val="clear" w:color="auto" w:fill="auto"/>
            <w:vAlign w:val="center"/>
          </w:tcPr>
          <w:p w14:paraId="0A803D63">
            <w:pPr>
              <w:pStyle w:val="28"/>
              <w:jc w:val="left"/>
              <w:rPr>
                <w:rFonts w:hint="default"/>
              </w:rPr>
            </w:pPr>
            <w:r>
              <w:t>1、承担农业绿色发展任务，实施现代绿色生态农业发展。</w:t>
            </w:r>
          </w:p>
          <w:p w14:paraId="6704D219">
            <w:pPr>
              <w:pStyle w:val="28"/>
              <w:jc w:val="left"/>
              <w:rPr>
                <w:rFonts w:hint="default"/>
              </w:rPr>
            </w:pPr>
            <w:r>
              <w:t>2、推动农业绿色优质发展，提高农业绿色优质农产品比重。</w:t>
            </w:r>
          </w:p>
          <w:p w14:paraId="441B9839">
            <w:pPr>
              <w:pStyle w:val="28"/>
              <w:jc w:val="left"/>
              <w:rPr>
                <w:rFonts w:hint="default"/>
              </w:rPr>
            </w:pPr>
            <w:r>
              <w:t>3、协助开展“清废行动”专项整治。</w:t>
            </w:r>
          </w:p>
        </w:tc>
      </w:tr>
      <w:tr w14:paraId="2989C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shd w:val="clear" w:color="auto" w:fill="auto"/>
            <w:vAlign w:val="center"/>
          </w:tcPr>
          <w:p w14:paraId="34C57318">
            <w:pPr>
              <w:pStyle w:val="28"/>
              <w:numPr>
                <w:ilvl w:val="0"/>
                <w:numId w:val="14"/>
              </w:numPr>
              <w:rPr>
                <w:rFonts w:hint="default"/>
              </w:rPr>
            </w:pPr>
          </w:p>
        </w:tc>
        <w:tc>
          <w:tcPr>
            <w:tcW w:w="612" w:type="pct"/>
            <w:shd w:val="clear" w:color="auto" w:fill="auto"/>
            <w:vAlign w:val="center"/>
          </w:tcPr>
          <w:p w14:paraId="13246327">
            <w:pPr>
              <w:pStyle w:val="28"/>
              <w:rPr>
                <w:rFonts w:hint="default"/>
              </w:rPr>
            </w:pPr>
            <w:r>
              <w:t>区住建局</w:t>
            </w:r>
          </w:p>
        </w:tc>
        <w:tc>
          <w:tcPr>
            <w:tcW w:w="4100" w:type="pct"/>
            <w:shd w:val="clear" w:color="auto" w:fill="auto"/>
            <w:vAlign w:val="center"/>
          </w:tcPr>
          <w:p w14:paraId="110F4A13">
            <w:pPr>
              <w:pStyle w:val="28"/>
              <w:jc w:val="left"/>
              <w:rPr>
                <w:rFonts w:hint="default"/>
              </w:rPr>
            </w:pPr>
            <w:r>
              <w:t>1、建立绿色建筑和装配式建筑长效推进机制，推动绿色建筑、装配式建筑占比提升，落实《连云港市试点装配式建筑实施意见》，提高城镇污水污泥无害化处置率。</w:t>
            </w:r>
          </w:p>
          <w:p w14:paraId="3C6FC85C">
            <w:pPr>
              <w:pStyle w:val="28"/>
              <w:jc w:val="left"/>
              <w:rPr>
                <w:rFonts w:hint="default"/>
              </w:rPr>
            </w:pPr>
            <w:r>
              <w:t>2、组织开展“无废小区”建设，与城管局一起组织开展“无废工地”建设。</w:t>
            </w:r>
          </w:p>
          <w:p w14:paraId="765D8744">
            <w:pPr>
              <w:pStyle w:val="28"/>
              <w:jc w:val="left"/>
              <w:rPr>
                <w:rFonts w:hint="default"/>
              </w:rPr>
            </w:pPr>
            <w:r>
              <w:t>3、协助开展“清废行动”专项整治。</w:t>
            </w:r>
          </w:p>
        </w:tc>
      </w:tr>
      <w:tr w14:paraId="05E6A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shd w:val="clear" w:color="auto" w:fill="auto"/>
            <w:vAlign w:val="center"/>
          </w:tcPr>
          <w:p w14:paraId="19439E2D">
            <w:pPr>
              <w:pStyle w:val="28"/>
              <w:numPr>
                <w:ilvl w:val="0"/>
                <w:numId w:val="14"/>
              </w:numPr>
              <w:rPr>
                <w:rFonts w:hint="default"/>
              </w:rPr>
            </w:pPr>
          </w:p>
        </w:tc>
        <w:tc>
          <w:tcPr>
            <w:tcW w:w="612" w:type="pct"/>
            <w:shd w:val="clear" w:color="auto" w:fill="auto"/>
            <w:vAlign w:val="center"/>
          </w:tcPr>
          <w:p w14:paraId="43B2E587">
            <w:pPr>
              <w:pStyle w:val="28"/>
              <w:rPr>
                <w:rFonts w:hint="default"/>
              </w:rPr>
            </w:pPr>
            <w:r>
              <w:t>区林业和海洋局</w:t>
            </w:r>
          </w:p>
        </w:tc>
        <w:tc>
          <w:tcPr>
            <w:tcW w:w="4100" w:type="pct"/>
            <w:shd w:val="clear" w:color="auto" w:fill="auto"/>
            <w:vAlign w:val="center"/>
          </w:tcPr>
          <w:p w14:paraId="0D2336FB">
            <w:pPr>
              <w:pStyle w:val="28"/>
              <w:jc w:val="left"/>
              <w:rPr>
                <w:rFonts w:hint="default"/>
              </w:rPr>
            </w:pPr>
            <w:r>
              <w:t>1、开展渔港、码头专项整治行动。</w:t>
            </w:r>
          </w:p>
          <w:p w14:paraId="6F5D135D">
            <w:pPr>
              <w:pStyle w:val="28"/>
              <w:jc w:val="left"/>
              <w:rPr>
                <w:rFonts w:hint="default"/>
              </w:rPr>
            </w:pPr>
            <w:r>
              <w:t>2、协助落实《海洋清漂专项行动实施方案》。</w:t>
            </w:r>
          </w:p>
          <w:p w14:paraId="10DBD7AF">
            <w:pPr>
              <w:pStyle w:val="28"/>
              <w:jc w:val="left"/>
              <w:rPr>
                <w:rFonts w:hint="default"/>
              </w:rPr>
            </w:pPr>
            <w:r>
              <w:t>3、负责推进海洋渔业转型升级，调整优化全区水域滩涂养殖，推广玻璃钢插杆养殖、贝藻间养等生态养殖模式。</w:t>
            </w:r>
          </w:p>
          <w:p w14:paraId="7716C9AB">
            <w:pPr>
              <w:pStyle w:val="28"/>
              <w:jc w:val="left"/>
              <w:rPr>
                <w:rFonts w:hint="default"/>
              </w:rPr>
            </w:pPr>
            <w:r>
              <w:t>4、负责促进渔旅融合发展，推动单一渔业生产港向现代化综合产业港转型。</w:t>
            </w:r>
          </w:p>
          <w:p w14:paraId="741B61AF">
            <w:pPr>
              <w:pStyle w:val="28"/>
              <w:jc w:val="left"/>
              <w:rPr>
                <w:rFonts w:hint="default"/>
              </w:rPr>
            </w:pPr>
            <w:r>
              <w:t>5、参与海洋资源调查监测评价，合理配置海洋资源。</w:t>
            </w:r>
          </w:p>
          <w:p w14:paraId="54576DAB">
            <w:pPr>
              <w:pStyle w:val="28"/>
              <w:jc w:val="left"/>
              <w:rPr>
                <w:rFonts w:hint="default"/>
              </w:rPr>
            </w:pPr>
            <w:r>
              <w:t>6、协助开展全区入海排污口调查和整治。</w:t>
            </w:r>
          </w:p>
        </w:tc>
      </w:tr>
      <w:tr w14:paraId="6E2F0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shd w:val="clear" w:color="auto" w:fill="auto"/>
            <w:vAlign w:val="center"/>
          </w:tcPr>
          <w:p w14:paraId="75490A19">
            <w:pPr>
              <w:pStyle w:val="28"/>
              <w:numPr>
                <w:ilvl w:val="0"/>
                <w:numId w:val="14"/>
              </w:numPr>
              <w:rPr>
                <w:rFonts w:hint="default"/>
              </w:rPr>
            </w:pPr>
          </w:p>
        </w:tc>
        <w:tc>
          <w:tcPr>
            <w:tcW w:w="612" w:type="pct"/>
            <w:shd w:val="clear" w:color="auto" w:fill="auto"/>
            <w:vAlign w:val="center"/>
          </w:tcPr>
          <w:p w14:paraId="091288CE">
            <w:pPr>
              <w:pStyle w:val="28"/>
              <w:rPr>
                <w:rFonts w:hint="default"/>
              </w:rPr>
            </w:pPr>
            <w:r>
              <w:t>区商务局</w:t>
            </w:r>
          </w:p>
        </w:tc>
        <w:tc>
          <w:tcPr>
            <w:tcW w:w="4100" w:type="pct"/>
            <w:shd w:val="clear" w:color="auto" w:fill="auto"/>
            <w:vAlign w:val="center"/>
          </w:tcPr>
          <w:p w14:paraId="753B01BD">
            <w:pPr>
              <w:pStyle w:val="28"/>
              <w:jc w:val="left"/>
              <w:rPr>
                <w:rFonts w:hint="default"/>
              </w:rPr>
            </w:pPr>
            <w:r>
              <w:t>1、推进流通领域相关环节的资源节约和生态环境保护。</w:t>
            </w:r>
          </w:p>
          <w:p w14:paraId="00E4A137">
            <w:pPr>
              <w:pStyle w:val="28"/>
              <w:jc w:val="left"/>
              <w:rPr>
                <w:rFonts w:hint="default"/>
              </w:rPr>
            </w:pPr>
            <w:r>
              <w:t>2、负责再生资源回收体系建设。</w:t>
            </w:r>
          </w:p>
          <w:p w14:paraId="0126C096">
            <w:pPr>
              <w:pStyle w:val="28"/>
              <w:jc w:val="left"/>
              <w:rPr>
                <w:rFonts w:hint="default"/>
              </w:rPr>
            </w:pPr>
            <w:r>
              <w:t>3、开展创建绿色商场，促进电子商务平台绿色发展。</w:t>
            </w:r>
          </w:p>
          <w:p w14:paraId="24E3B5C8">
            <w:pPr>
              <w:pStyle w:val="28"/>
              <w:jc w:val="left"/>
              <w:rPr>
                <w:rFonts w:hint="default"/>
              </w:rPr>
            </w:pPr>
            <w:r>
              <w:t>4、加强商务部再生资源回收信息化平台应用。</w:t>
            </w:r>
          </w:p>
        </w:tc>
      </w:tr>
      <w:tr w14:paraId="1D25C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shd w:val="clear" w:color="auto" w:fill="auto"/>
            <w:vAlign w:val="center"/>
          </w:tcPr>
          <w:p w14:paraId="22195B2E">
            <w:pPr>
              <w:pStyle w:val="28"/>
              <w:numPr>
                <w:ilvl w:val="0"/>
                <w:numId w:val="14"/>
              </w:numPr>
              <w:rPr>
                <w:rFonts w:hint="default"/>
              </w:rPr>
            </w:pPr>
          </w:p>
        </w:tc>
        <w:tc>
          <w:tcPr>
            <w:tcW w:w="612" w:type="pct"/>
            <w:shd w:val="clear" w:color="auto" w:fill="auto"/>
            <w:vAlign w:val="center"/>
          </w:tcPr>
          <w:p w14:paraId="0BF5F387">
            <w:pPr>
              <w:pStyle w:val="28"/>
              <w:rPr>
                <w:rFonts w:hint="default"/>
              </w:rPr>
            </w:pPr>
            <w:r>
              <w:t>区卫健委</w:t>
            </w:r>
          </w:p>
        </w:tc>
        <w:tc>
          <w:tcPr>
            <w:tcW w:w="4100" w:type="pct"/>
            <w:shd w:val="clear" w:color="auto" w:fill="auto"/>
            <w:vAlign w:val="center"/>
          </w:tcPr>
          <w:p w14:paraId="3F094557">
            <w:pPr>
              <w:pStyle w:val="28"/>
              <w:jc w:val="left"/>
              <w:rPr>
                <w:rFonts w:hint="default"/>
              </w:rPr>
            </w:pPr>
            <w:r>
              <w:t>1、监督管理医疗卫生机构加强医疗废物的收集、贮存、处置工作。</w:t>
            </w:r>
          </w:p>
          <w:p w14:paraId="79CAAF30">
            <w:pPr>
              <w:pStyle w:val="28"/>
              <w:jc w:val="left"/>
              <w:rPr>
                <w:rFonts w:hint="default"/>
              </w:rPr>
            </w:pPr>
            <w:r>
              <w:t>2、提高医疗卫生机构可回收物回收率和医疗废物收集处置体系覆盖率。</w:t>
            </w:r>
          </w:p>
          <w:p w14:paraId="60F36683">
            <w:pPr>
              <w:pStyle w:val="28"/>
              <w:jc w:val="left"/>
              <w:rPr>
                <w:rFonts w:hint="default"/>
              </w:rPr>
            </w:pPr>
            <w:r>
              <w:t>3、协助做好与环境污染有关疾病的预防和控制。</w:t>
            </w:r>
          </w:p>
          <w:p w14:paraId="0B49EA1E">
            <w:pPr>
              <w:pStyle w:val="28"/>
              <w:jc w:val="left"/>
              <w:rPr>
                <w:rFonts w:hint="default"/>
              </w:rPr>
            </w:pPr>
            <w:r>
              <w:t>4、组织开展“无废医院”建设。</w:t>
            </w:r>
          </w:p>
        </w:tc>
      </w:tr>
      <w:tr w14:paraId="5C12F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shd w:val="clear" w:color="auto" w:fill="auto"/>
            <w:vAlign w:val="center"/>
          </w:tcPr>
          <w:p w14:paraId="3DB4FA1D">
            <w:pPr>
              <w:pStyle w:val="28"/>
              <w:numPr>
                <w:ilvl w:val="0"/>
                <w:numId w:val="14"/>
              </w:numPr>
              <w:rPr>
                <w:rFonts w:hint="default"/>
              </w:rPr>
            </w:pPr>
          </w:p>
        </w:tc>
        <w:tc>
          <w:tcPr>
            <w:tcW w:w="612" w:type="pct"/>
            <w:shd w:val="clear" w:color="auto" w:fill="auto"/>
            <w:vAlign w:val="center"/>
          </w:tcPr>
          <w:p w14:paraId="660D0976">
            <w:pPr>
              <w:pStyle w:val="28"/>
              <w:rPr>
                <w:rFonts w:hint="default"/>
              </w:rPr>
            </w:pPr>
            <w:r>
              <w:t>连云邮政管理局</w:t>
            </w:r>
          </w:p>
        </w:tc>
        <w:tc>
          <w:tcPr>
            <w:tcW w:w="4100" w:type="pct"/>
            <w:shd w:val="clear" w:color="auto" w:fill="auto"/>
            <w:vAlign w:val="center"/>
          </w:tcPr>
          <w:p w14:paraId="4D5F36A9">
            <w:pPr>
              <w:pStyle w:val="28"/>
              <w:jc w:val="left"/>
              <w:rPr>
                <w:rFonts w:hint="default"/>
              </w:rPr>
            </w:pPr>
            <w:r>
              <w:t>1、建立废弃快递包装物回收体系。</w:t>
            </w:r>
          </w:p>
          <w:p w14:paraId="7729C69F">
            <w:pPr>
              <w:pStyle w:val="28"/>
              <w:jc w:val="left"/>
              <w:rPr>
                <w:rFonts w:hint="default"/>
              </w:rPr>
            </w:pPr>
            <w:r>
              <w:t>2、提高快递绿色包装使用率。</w:t>
            </w:r>
          </w:p>
          <w:p w14:paraId="17C62E0C">
            <w:pPr>
              <w:pStyle w:val="28"/>
              <w:jc w:val="left"/>
              <w:rPr>
                <w:rFonts w:hint="default"/>
              </w:rPr>
            </w:pPr>
            <w:r>
              <w:t>3、组织推动快递行业使用符合标准的包装物，推进快递包装减量化，促进快递包装废弃物回收和综合利用。</w:t>
            </w:r>
          </w:p>
        </w:tc>
      </w:tr>
      <w:tr w14:paraId="53E97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shd w:val="clear" w:color="auto" w:fill="auto"/>
            <w:vAlign w:val="center"/>
          </w:tcPr>
          <w:p w14:paraId="24227A0C">
            <w:pPr>
              <w:pStyle w:val="28"/>
              <w:numPr>
                <w:ilvl w:val="0"/>
                <w:numId w:val="14"/>
              </w:numPr>
              <w:rPr>
                <w:rFonts w:hint="default"/>
              </w:rPr>
            </w:pPr>
          </w:p>
        </w:tc>
        <w:tc>
          <w:tcPr>
            <w:tcW w:w="612" w:type="pct"/>
            <w:shd w:val="clear" w:color="auto" w:fill="auto"/>
            <w:vAlign w:val="center"/>
          </w:tcPr>
          <w:p w14:paraId="5830A7B1">
            <w:pPr>
              <w:pStyle w:val="28"/>
              <w:rPr>
                <w:rFonts w:hint="default"/>
              </w:rPr>
            </w:pPr>
            <w:r>
              <w:t>区供销总社</w:t>
            </w:r>
          </w:p>
        </w:tc>
        <w:tc>
          <w:tcPr>
            <w:tcW w:w="4100" w:type="pct"/>
            <w:shd w:val="clear" w:color="auto" w:fill="auto"/>
            <w:vAlign w:val="center"/>
          </w:tcPr>
          <w:p w14:paraId="03794BFF">
            <w:pPr>
              <w:pStyle w:val="28"/>
              <w:jc w:val="left"/>
              <w:rPr>
                <w:rFonts w:hint="default"/>
              </w:rPr>
            </w:pPr>
            <w:r>
              <w:t>1、推进废弃农药包装物回收处置管理工作，落实《连云港市农药包装废弃物管理办法》，完善农药包装废弃物回收利用体系，开展农药包装废弃物回收监测评价，提高农药包装废弃物回收覆盖率。</w:t>
            </w:r>
          </w:p>
        </w:tc>
      </w:tr>
      <w:tr w14:paraId="7E409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shd w:val="clear" w:color="auto" w:fill="auto"/>
            <w:vAlign w:val="center"/>
          </w:tcPr>
          <w:p w14:paraId="5FC0371E">
            <w:pPr>
              <w:pStyle w:val="28"/>
              <w:numPr>
                <w:ilvl w:val="0"/>
                <w:numId w:val="14"/>
              </w:numPr>
              <w:rPr>
                <w:rFonts w:hint="default"/>
              </w:rPr>
            </w:pPr>
          </w:p>
        </w:tc>
        <w:tc>
          <w:tcPr>
            <w:tcW w:w="612" w:type="pct"/>
            <w:shd w:val="clear" w:color="auto" w:fill="auto"/>
            <w:vAlign w:val="center"/>
          </w:tcPr>
          <w:p w14:paraId="0960627C">
            <w:pPr>
              <w:pStyle w:val="28"/>
              <w:rPr>
                <w:rFonts w:hint="default"/>
              </w:rPr>
            </w:pPr>
            <w:r>
              <w:t>连云公安分局</w:t>
            </w:r>
          </w:p>
        </w:tc>
        <w:tc>
          <w:tcPr>
            <w:tcW w:w="4100" w:type="pct"/>
            <w:shd w:val="clear" w:color="auto" w:fill="auto"/>
            <w:vAlign w:val="center"/>
          </w:tcPr>
          <w:p w14:paraId="114DDCA9">
            <w:pPr>
              <w:pStyle w:val="28"/>
              <w:jc w:val="left"/>
              <w:rPr>
                <w:rFonts w:hint="default"/>
              </w:rPr>
            </w:pPr>
            <w:r>
              <w:t>1、依法侦办涉嫌固体废物犯罪刑事案件以及属于公安机关管辖范围内的因固体废物领域违法行为适用行政拘留处罚的案件，查处阻碍生态环境保护部门执行职务的违法犯罪行为，促进固体废物领域生态环境行政执法与刑事司法联动。</w:t>
            </w:r>
          </w:p>
          <w:p w14:paraId="616AE010">
            <w:pPr>
              <w:pStyle w:val="28"/>
              <w:jc w:val="left"/>
              <w:rPr>
                <w:rFonts w:hint="default"/>
              </w:rPr>
            </w:pPr>
            <w:r>
              <w:t>2、协助政府相关职能部门开展敏感和重大突发环境事件的调查处置以及涉环保项目群体性事件的处置工作。</w:t>
            </w:r>
          </w:p>
          <w:p w14:paraId="72A04D53">
            <w:pPr>
              <w:pStyle w:val="28"/>
              <w:jc w:val="left"/>
              <w:rPr>
                <w:rFonts w:hint="default"/>
              </w:rPr>
            </w:pPr>
            <w:r>
              <w:t>3、协助开展“清废行动”专项整治。</w:t>
            </w:r>
          </w:p>
        </w:tc>
      </w:tr>
      <w:tr w14:paraId="47D4A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shd w:val="clear" w:color="auto" w:fill="auto"/>
            <w:vAlign w:val="center"/>
          </w:tcPr>
          <w:p w14:paraId="4CA905DB">
            <w:pPr>
              <w:pStyle w:val="28"/>
              <w:numPr>
                <w:ilvl w:val="0"/>
                <w:numId w:val="14"/>
              </w:numPr>
              <w:rPr>
                <w:rFonts w:hint="default"/>
              </w:rPr>
            </w:pPr>
          </w:p>
        </w:tc>
        <w:tc>
          <w:tcPr>
            <w:tcW w:w="612" w:type="pct"/>
            <w:shd w:val="clear" w:color="auto" w:fill="auto"/>
            <w:vAlign w:val="center"/>
          </w:tcPr>
          <w:p w14:paraId="3A61F0C2">
            <w:pPr>
              <w:pStyle w:val="28"/>
              <w:rPr>
                <w:rFonts w:hint="default"/>
              </w:rPr>
            </w:pPr>
            <w:r>
              <w:t>区应急管理局</w:t>
            </w:r>
          </w:p>
        </w:tc>
        <w:tc>
          <w:tcPr>
            <w:tcW w:w="4100" w:type="pct"/>
            <w:shd w:val="clear" w:color="auto" w:fill="auto"/>
            <w:vAlign w:val="center"/>
          </w:tcPr>
          <w:p w14:paraId="637C98C1">
            <w:pPr>
              <w:pStyle w:val="28"/>
              <w:jc w:val="left"/>
              <w:rPr>
                <w:rFonts w:hint="default"/>
              </w:rPr>
            </w:pPr>
            <w:r>
              <w:t>1、负责职责范围内冶金、建材、轻工、工业企业类商贸等工矿商贸行业和危险化学品生产经营单位的安全生产监督管理，督促企业管控安全风险，依法查处生产经营单位违反安全生产法律法规的行为。</w:t>
            </w:r>
          </w:p>
          <w:p w14:paraId="7356C9FF">
            <w:pPr>
              <w:pStyle w:val="28"/>
              <w:jc w:val="left"/>
              <w:rPr>
                <w:rFonts w:hint="default"/>
              </w:rPr>
            </w:pPr>
            <w:r>
              <w:t>2、及时通报威胁环境的生产安全事故、地质灾害可能引发的次生突发生态环境事件信息，防范因生产安全事故造成的次生环境污染事件。</w:t>
            </w:r>
          </w:p>
        </w:tc>
      </w:tr>
      <w:tr w14:paraId="67438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shd w:val="clear" w:color="auto" w:fill="auto"/>
            <w:vAlign w:val="center"/>
          </w:tcPr>
          <w:p w14:paraId="294BEC09">
            <w:pPr>
              <w:pStyle w:val="28"/>
              <w:numPr>
                <w:ilvl w:val="0"/>
                <w:numId w:val="14"/>
              </w:numPr>
              <w:rPr>
                <w:rFonts w:hint="default"/>
              </w:rPr>
            </w:pPr>
          </w:p>
        </w:tc>
        <w:tc>
          <w:tcPr>
            <w:tcW w:w="612" w:type="pct"/>
            <w:shd w:val="clear" w:color="auto" w:fill="auto"/>
            <w:vAlign w:val="center"/>
          </w:tcPr>
          <w:p w14:paraId="5717C74C">
            <w:pPr>
              <w:pStyle w:val="28"/>
              <w:rPr>
                <w:rFonts w:hint="default"/>
              </w:rPr>
            </w:pPr>
            <w:r>
              <w:t>区科技局</w:t>
            </w:r>
          </w:p>
        </w:tc>
        <w:tc>
          <w:tcPr>
            <w:tcW w:w="4100" w:type="pct"/>
            <w:shd w:val="clear" w:color="auto" w:fill="auto"/>
            <w:vAlign w:val="center"/>
          </w:tcPr>
          <w:p w14:paraId="18AFB357">
            <w:pPr>
              <w:pStyle w:val="28"/>
              <w:jc w:val="left"/>
              <w:rPr>
                <w:rFonts w:hint="default"/>
              </w:rPr>
            </w:pPr>
            <w:r>
              <w:t>1、探索一般工业固体废物资源化利用技术及工艺。</w:t>
            </w:r>
          </w:p>
          <w:p w14:paraId="1B385A55">
            <w:pPr>
              <w:pStyle w:val="28"/>
              <w:jc w:val="left"/>
              <w:rPr>
                <w:rFonts w:hint="default"/>
              </w:rPr>
            </w:pPr>
            <w:r>
              <w:t>2、负责督促科研机构规范安全处置危险废物。</w:t>
            </w:r>
          </w:p>
        </w:tc>
      </w:tr>
      <w:tr w14:paraId="63181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shd w:val="clear" w:color="auto" w:fill="auto"/>
            <w:vAlign w:val="center"/>
          </w:tcPr>
          <w:p w14:paraId="26E9D611">
            <w:pPr>
              <w:pStyle w:val="28"/>
              <w:numPr>
                <w:ilvl w:val="0"/>
                <w:numId w:val="14"/>
              </w:numPr>
              <w:rPr>
                <w:rFonts w:hint="default"/>
              </w:rPr>
            </w:pPr>
          </w:p>
        </w:tc>
        <w:tc>
          <w:tcPr>
            <w:tcW w:w="612" w:type="pct"/>
            <w:shd w:val="clear" w:color="auto" w:fill="auto"/>
            <w:vAlign w:val="center"/>
          </w:tcPr>
          <w:p w14:paraId="416DFC3F">
            <w:pPr>
              <w:pStyle w:val="28"/>
              <w:rPr>
                <w:rFonts w:hint="default"/>
              </w:rPr>
            </w:pPr>
            <w:r>
              <w:t>区财政局</w:t>
            </w:r>
          </w:p>
        </w:tc>
        <w:tc>
          <w:tcPr>
            <w:tcW w:w="4100" w:type="pct"/>
            <w:shd w:val="clear" w:color="auto" w:fill="auto"/>
            <w:vAlign w:val="center"/>
          </w:tcPr>
          <w:p w14:paraId="2C7A54DB">
            <w:pPr>
              <w:pStyle w:val="28"/>
              <w:jc w:val="left"/>
              <w:rPr>
                <w:rFonts w:hint="default"/>
              </w:rPr>
            </w:pPr>
            <w:r>
              <w:t>1、参与制定有利于固体废物利用处置和污染防治的财政政策。做好“无废城市”建设项目资金保障。</w:t>
            </w:r>
          </w:p>
          <w:p w14:paraId="6D528113">
            <w:pPr>
              <w:pStyle w:val="28"/>
              <w:jc w:val="left"/>
              <w:rPr>
                <w:rFonts w:hint="default"/>
              </w:rPr>
            </w:pPr>
            <w:r>
              <w:t>2、依职能开展涉固体废物生态环境损害赔偿相关工作。</w:t>
            </w:r>
          </w:p>
        </w:tc>
      </w:tr>
      <w:tr w14:paraId="00EAA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shd w:val="clear" w:color="auto" w:fill="auto"/>
            <w:vAlign w:val="center"/>
          </w:tcPr>
          <w:p w14:paraId="42320AF9">
            <w:pPr>
              <w:pStyle w:val="28"/>
              <w:numPr>
                <w:ilvl w:val="0"/>
                <w:numId w:val="14"/>
              </w:numPr>
              <w:rPr>
                <w:rFonts w:hint="default"/>
              </w:rPr>
            </w:pPr>
          </w:p>
        </w:tc>
        <w:tc>
          <w:tcPr>
            <w:tcW w:w="612" w:type="pct"/>
            <w:shd w:val="clear" w:color="auto" w:fill="auto"/>
            <w:vAlign w:val="center"/>
          </w:tcPr>
          <w:p w14:paraId="7D19C763">
            <w:pPr>
              <w:pStyle w:val="28"/>
              <w:rPr>
                <w:rFonts w:hint="default"/>
              </w:rPr>
            </w:pPr>
            <w:r>
              <w:t>区审计局</w:t>
            </w:r>
          </w:p>
        </w:tc>
        <w:tc>
          <w:tcPr>
            <w:tcW w:w="4100" w:type="pct"/>
            <w:shd w:val="clear" w:color="auto" w:fill="auto"/>
            <w:vAlign w:val="center"/>
          </w:tcPr>
          <w:p w14:paraId="262028C1">
            <w:pPr>
              <w:pStyle w:val="28"/>
              <w:jc w:val="left"/>
              <w:rPr>
                <w:rFonts w:hint="default"/>
              </w:rPr>
            </w:pPr>
            <w:r>
              <w:t>1、加强生态环境保护治理专项资金的监督，开展专项资金审计，提高专项资金使用效益。</w:t>
            </w:r>
          </w:p>
        </w:tc>
      </w:tr>
      <w:tr w14:paraId="3E088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shd w:val="clear" w:color="auto" w:fill="auto"/>
            <w:vAlign w:val="center"/>
          </w:tcPr>
          <w:p w14:paraId="31037B21">
            <w:pPr>
              <w:pStyle w:val="28"/>
              <w:numPr>
                <w:ilvl w:val="0"/>
                <w:numId w:val="14"/>
              </w:numPr>
              <w:rPr>
                <w:rFonts w:hint="default"/>
              </w:rPr>
            </w:pPr>
          </w:p>
        </w:tc>
        <w:tc>
          <w:tcPr>
            <w:tcW w:w="612" w:type="pct"/>
            <w:shd w:val="clear" w:color="auto" w:fill="auto"/>
            <w:vAlign w:val="center"/>
          </w:tcPr>
          <w:p w14:paraId="0A45CECF">
            <w:pPr>
              <w:pStyle w:val="28"/>
              <w:rPr>
                <w:rFonts w:hint="default"/>
              </w:rPr>
            </w:pPr>
            <w:r>
              <w:t>连云区税务局</w:t>
            </w:r>
          </w:p>
        </w:tc>
        <w:tc>
          <w:tcPr>
            <w:tcW w:w="4100" w:type="pct"/>
            <w:shd w:val="clear" w:color="auto" w:fill="auto"/>
            <w:vAlign w:val="center"/>
          </w:tcPr>
          <w:p w14:paraId="671CA579">
            <w:pPr>
              <w:pStyle w:val="28"/>
              <w:jc w:val="left"/>
              <w:rPr>
                <w:rFonts w:hint="default"/>
              </w:rPr>
            </w:pPr>
            <w:r>
              <w:t>1、落实固体废物再生利用处置主体税收优惠政策。</w:t>
            </w:r>
          </w:p>
        </w:tc>
      </w:tr>
      <w:tr w14:paraId="139A2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shd w:val="clear" w:color="auto" w:fill="auto"/>
            <w:vAlign w:val="center"/>
          </w:tcPr>
          <w:p w14:paraId="05DE05FB">
            <w:pPr>
              <w:pStyle w:val="28"/>
              <w:numPr>
                <w:ilvl w:val="0"/>
                <w:numId w:val="14"/>
              </w:numPr>
              <w:rPr>
                <w:rFonts w:hint="default"/>
              </w:rPr>
            </w:pPr>
          </w:p>
        </w:tc>
        <w:tc>
          <w:tcPr>
            <w:tcW w:w="612" w:type="pct"/>
            <w:shd w:val="clear" w:color="auto" w:fill="auto"/>
            <w:vAlign w:val="center"/>
          </w:tcPr>
          <w:p w14:paraId="581DB4B8">
            <w:pPr>
              <w:pStyle w:val="28"/>
              <w:rPr>
                <w:rFonts w:hint="default"/>
              </w:rPr>
            </w:pPr>
            <w:r>
              <w:t>区教育局</w:t>
            </w:r>
          </w:p>
        </w:tc>
        <w:tc>
          <w:tcPr>
            <w:tcW w:w="4100" w:type="pct"/>
            <w:shd w:val="clear" w:color="auto" w:fill="auto"/>
            <w:vAlign w:val="center"/>
          </w:tcPr>
          <w:p w14:paraId="14E983E8">
            <w:pPr>
              <w:pStyle w:val="28"/>
              <w:jc w:val="left"/>
              <w:rPr>
                <w:rFonts w:hint="default"/>
              </w:rPr>
            </w:pPr>
            <w:r>
              <w:t>1、在相关学科教学、课内课外活动以及学校管理各个环节中宣传、引导勤俭节约、绿色低碳消费。</w:t>
            </w:r>
          </w:p>
          <w:p w14:paraId="03593298">
            <w:pPr>
              <w:pStyle w:val="28"/>
              <w:jc w:val="left"/>
              <w:rPr>
                <w:rFonts w:hint="default"/>
              </w:rPr>
            </w:pPr>
            <w:r>
              <w:t>2、组织开展“无废学校”创建行动。</w:t>
            </w:r>
          </w:p>
          <w:p w14:paraId="42385FB5">
            <w:pPr>
              <w:pStyle w:val="28"/>
              <w:jc w:val="left"/>
              <w:rPr>
                <w:rFonts w:hint="default"/>
              </w:rPr>
            </w:pPr>
            <w:r>
              <w:t>3、负责督促教育机构规范安全处置危险废物。</w:t>
            </w:r>
          </w:p>
        </w:tc>
      </w:tr>
      <w:tr w14:paraId="0695F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shd w:val="clear" w:color="auto" w:fill="auto"/>
            <w:vAlign w:val="center"/>
          </w:tcPr>
          <w:p w14:paraId="178B5A7C">
            <w:pPr>
              <w:pStyle w:val="28"/>
              <w:numPr>
                <w:ilvl w:val="0"/>
                <w:numId w:val="14"/>
              </w:numPr>
              <w:rPr>
                <w:rFonts w:hint="default"/>
              </w:rPr>
            </w:pPr>
          </w:p>
        </w:tc>
        <w:tc>
          <w:tcPr>
            <w:tcW w:w="612" w:type="pct"/>
            <w:shd w:val="clear" w:color="auto" w:fill="auto"/>
            <w:vAlign w:val="center"/>
          </w:tcPr>
          <w:p w14:paraId="043293FD">
            <w:pPr>
              <w:pStyle w:val="28"/>
              <w:rPr>
                <w:rFonts w:hint="default"/>
              </w:rPr>
            </w:pPr>
            <w:r>
              <w:t>区文体和旅游局</w:t>
            </w:r>
          </w:p>
        </w:tc>
        <w:tc>
          <w:tcPr>
            <w:tcW w:w="4100" w:type="pct"/>
            <w:shd w:val="clear" w:color="auto" w:fill="auto"/>
            <w:vAlign w:val="center"/>
          </w:tcPr>
          <w:p w14:paraId="43A7C97A">
            <w:pPr>
              <w:pStyle w:val="28"/>
              <w:jc w:val="left"/>
              <w:rPr>
                <w:rFonts w:hint="default"/>
              </w:rPr>
            </w:pPr>
            <w:r>
              <w:t>1、科学合理利用旅游资源，防止环境污染和生态破坏。</w:t>
            </w:r>
          </w:p>
          <w:p w14:paraId="0AB3D1F8">
            <w:pPr>
              <w:pStyle w:val="28"/>
              <w:jc w:val="left"/>
              <w:rPr>
                <w:rFonts w:hint="default"/>
              </w:rPr>
            </w:pPr>
            <w:r>
              <w:t>2、协助有关部门做好各类旅游景区景点、旅游宾馆、农家乐的生态环境保护和污染防治工作，加强旅游者、旅游经营者生态环境保护意识，引导开展文明旅游。</w:t>
            </w:r>
          </w:p>
          <w:p w14:paraId="7925078D">
            <w:pPr>
              <w:pStyle w:val="28"/>
              <w:jc w:val="left"/>
              <w:rPr>
                <w:rFonts w:hint="default"/>
              </w:rPr>
            </w:pPr>
            <w:r>
              <w:t>3、组织开展“无废景区”创建行动。</w:t>
            </w:r>
          </w:p>
          <w:p w14:paraId="55B34F75">
            <w:pPr>
              <w:pStyle w:val="28"/>
              <w:jc w:val="left"/>
              <w:rPr>
                <w:rFonts w:hint="default"/>
              </w:rPr>
            </w:pPr>
            <w:r>
              <w:t>4、配合相关部门，指导广播和电视媒体发布生态环境保护公益广告。</w:t>
            </w:r>
          </w:p>
        </w:tc>
      </w:tr>
    </w:tbl>
    <w:p w14:paraId="1C610A9E">
      <w:pPr>
        <w:pStyle w:val="3"/>
        <w:spacing w:line="20" w:lineRule="exact"/>
        <w:sectPr>
          <w:pgSz w:w="16838" w:h="11906" w:orient="landscape"/>
          <w:pgMar w:top="1440" w:right="1440" w:bottom="1440" w:left="1440" w:header="851" w:footer="992" w:gutter="0"/>
          <w:cols w:space="425" w:num="1"/>
          <w:docGrid w:type="lines" w:linePitch="312" w:charSpace="0"/>
        </w:sectPr>
      </w:pPr>
    </w:p>
    <w:p w14:paraId="7DBA5D14">
      <w:pPr>
        <w:pStyle w:val="3"/>
      </w:pPr>
      <w:bookmarkStart w:id="105" w:name="_Toc25234"/>
      <w:r>
        <w:rPr>
          <w:rFonts w:hint="eastAsia"/>
        </w:rPr>
        <w:t xml:space="preserve">附件5 </w:t>
      </w:r>
    </w:p>
    <w:p w14:paraId="7BC2819A">
      <w:pPr>
        <w:pStyle w:val="3"/>
        <w:jc w:val="center"/>
      </w:pPr>
      <w:r>
        <w:rPr>
          <w:rFonts w:hint="eastAsia"/>
        </w:rPr>
        <w:t>连云区“无废城市”建设项目清单</w:t>
      </w:r>
      <w:bookmarkEnd w:id="105"/>
    </w:p>
    <w:tbl>
      <w:tblPr>
        <w:tblStyle w:val="21"/>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2911"/>
        <w:gridCol w:w="2154"/>
        <w:gridCol w:w="4107"/>
        <w:gridCol w:w="1292"/>
        <w:gridCol w:w="1431"/>
        <w:gridCol w:w="1489"/>
      </w:tblGrid>
      <w:tr w14:paraId="79A0D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 w:type="pct"/>
            <w:vAlign w:val="center"/>
          </w:tcPr>
          <w:p w14:paraId="285487CB">
            <w:pPr>
              <w:pStyle w:val="28"/>
              <w:rPr>
                <w:rFonts w:hint="default" w:cs="Times New Roman"/>
                <w:b/>
                <w:bCs/>
              </w:rPr>
            </w:pPr>
            <w:r>
              <w:rPr>
                <w:rFonts w:hint="default" w:cs="Times New Roman"/>
                <w:b/>
                <w:bCs/>
              </w:rPr>
              <w:t>序号</w:t>
            </w:r>
          </w:p>
        </w:tc>
        <w:tc>
          <w:tcPr>
            <w:tcW w:w="1027" w:type="pct"/>
            <w:vAlign w:val="center"/>
          </w:tcPr>
          <w:p w14:paraId="07DB3551">
            <w:pPr>
              <w:pStyle w:val="28"/>
              <w:rPr>
                <w:rFonts w:hint="default" w:cs="Times New Roman"/>
                <w:b/>
                <w:bCs/>
              </w:rPr>
            </w:pPr>
            <w:r>
              <w:rPr>
                <w:rFonts w:hint="default" w:cs="Times New Roman"/>
                <w:b/>
                <w:bCs/>
              </w:rPr>
              <w:t>项目名称</w:t>
            </w:r>
          </w:p>
        </w:tc>
        <w:tc>
          <w:tcPr>
            <w:tcW w:w="760" w:type="pct"/>
            <w:vAlign w:val="center"/>
          </w:tcPr>
          <w:p w14:paraId="522E71E2">
            <w:pPr>
              <w:pStyle w:val="28"/>
              <w:rPr>
                <w:rFonts w:hint="default" w:cs="Times New Roman"/>
                <w:b/>
                <w:bCs/>
              </w:rPr>
            </w:pPr>
            <w:r>
              <w:rPr>
                <w:rFonts w:hint="default" w:cs="Times New Roman"/>
                <w:b/>
                <w:bCs/>
              </w:rPr>
              <w:t>实施主体</w:t>
            </w:r>
          </w:p>
        </w:tc>
        <w:tc>
          <w:tcPr>
            <w:tcW w:w="1449" w:type="pct"/>
            <w:vAlign w:val="center"/>
          </w:tcPr>
          <w:p w14:paraId="26E978B3">
            <w:pPr>
              <w:pStyle w:val="28"/>
              <w:rPr>
                <w:rFonts w:hint="default" w:cs="Times New Roman"/>
                <w:b/>
                <w:bCs/>
              </w:rPr>
            </w:pPr>
            <w:r>
              <w:rPr>
                <w:rFonts w:hint="default" w:cs="Times New Roman"/>
                <w:b/>
                <w:bCs/>
              </w:rPr>
              <w:t>工程建设内容</w:t>
            </w:r>
          </w:p>
        </w:tc>
        <w:tc>
          <w:tcPr>
            <w:tcW w:w="456" w:type="pct"/>
            <w:vAlign w:val="center"/>
          </w:tcPr>
          <w:p w14:paraId="4E528607">
            <w:pPr>
              <w:pStyle w:val="28"/>
              <w:rPr>
                <w:rFonts w:hint="default" w:cs="Times New Roman"/>
                <w:b/>
                <w:bCs/>
              </w:rPr>
            </w:pPr>
            <w:r>
              <w:rPr>
                <w:rFonts w:hint="default" w:cs="Times New Roman"/>
                <w:b/>
                <w:bCs/>
              </w:rPr>
              <w:t>总投资（万元）</w:t>
            </w:r>
          </w:p>
        </w:tc>
        <w:tc>
          <w:tcPr>
            <w:tcW w:w="505" w:type="pct"/>
            <w:vAlign w:val="center"/>
          </w:tcPr>
          <w:p w14:paraId="42FC1A7A">
            <w:pPr>
              <w:pStyle w:val="28"/>
              <w:rPr>
                <w:rFonts w:hint="default" w:cs="Times New Roman"/>
                <w:b/>
                <w:bCs/>
              </w:rPr>
            </w:pPr>
            <w:r>
              <w:rPr>
                <w:rFonts w:hint="default" w:cs="Times New Roman"/>
                <w:b/>
                <w:bCs/>
              </w:rPr>
              <w:t>建设期限</w:t>
            </w:r>
          </w:p>
        </w:tc>
        <w:tc>
          <w:tcPr>
            <w:tcW w:w="525" w:type="pct"/>
            <w:vAlign w:val="center"/>
          </w:tcPr>
          <w:p w14:paraId="0244B55F">
            <w:pPr>
              <w:pStyle w:val="28"/>
              <w:rPr>
                <w:rFonts w:hint="default" w:cs="Times New Roman"/>
                <w:b/>
                <w:bCs/>
              </w:rPr>
            </w:pPr>
            <w:r>
              <w:rPr>
                <w:rFonts w:hint="default" w:cs="Times New Roman"/>
                <w:b/>
                <w:bCs/>
              </w:rPr>
              <w:t>备注</w:t>
            </w:r>
          </w:p>
        </w:tc>
      </w:tr>
      <w:tr w14:paraId="68606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 w:type="pct"/>
            <w:vAlign w:val="center"/>
          </w:tcPr>
          <w:p w14:paraId="0B4A4A90">
            <w:pPr>
              <w:pStyle w:val="28"/>
              <w:rPr>
                <w:rFonts w:hint="default" w:cs="Times New Roman"/>
              </w:rPr>
            </w:pPr>
            <w:r>
              <w:rPr>
                <w:rFonts w:hint="default" w:cs="Times New Roman"/>
              </w:rPr>
              <w:t>1</w:t>
            </w:r>
          </w:p>
        </w:tc>
        <w:tc>
          <w:tcPr>
            <w:tcW w:w="1027" w:type="pct"/>
            <w:vAlign w:val="center"/>
          </w:tcPr>
          <w:p w14:paraId="0B036523">
            <w:pPr>
              <w:pStyle w:val="28"/>
              <w:rPr>
                <w:rFonts w:hint="default" w:cs="Times New Roman"/>
              </w:rPr>
            </w:pPr>
            <w:r>
              <w:rPr>
                <w:rFonts w:hint="default" w:cs="Times New Roman"/>
              </w:rPr>
              <w:t>连云港碱渣治理与资源化利用创新示范项目</w:t>
            </w:r>
          </w:p>
        </w:tc>
        <w:tc>
          <w:tcPr>
            <w:tcW w:w="760" w:type="pct"/>
            <w:vAlign w:val="center"/>
          </w:tcPr>
          <w:p w14:paraId="77DA4306">
            <w:pPr>
              <w:pStyle w:val="28"/>
              <w:rPr>
                <w:rFonts w:hint="default" w:cs="Times New Roman"/>
              </w:rPr>
            </w:pPr>
            <w:r>
              <w:rPr>
                <w:rFonts w:hint="default" w:cs="Times New Roman"/>
              </w:rPr>
              <w:t>中核生态环境有限公司</w:t>
            </w:r>
          </w:p>
        </w:tc>
        <w:tc>
          <w:tcPr>
            <w:tcW w:w="1449" w:type="pct"/>
            <w:vAlign w:val="center"/>
          </w:tcPr>
          <w:p w14:paraId="62919779">
            <w:pPr>
              <w:pStyle w:val="28"/>
              <w:rPr>
                <w:rFonts w:hint="default" w:cs="Times New Roman"/>
              </w:rPr>
            </w:pPr>
            <w:r>
              <w:rPr>
                <w:rFonts w:hint="default" w:cs="Times New Roman"/>
              </w:rPr>
              <w:t>主要通过对碱渣的处理制备成可以用于填垫的工程土</w:t>
            </w:r>
          </w:p>
        </w:tc>
        <w:tc>
          <w:tcPr>
            <w:tcW w:w="456" w:type="pct"/>
            <w:vAlign w:val="center"/>
          </w:tcPr>
          <w:p w14:paraId="79FE6950">
            <w:pPr>
              <w:pStyle w:val="28"/>
              <w:rPr>
                <w:rFonts w:hint="default" w:cs="Times New Roman"/>
              </w:rPr>
            </w:pPr>
            <w:r>
              <w:rPr>
                <w:rFonts w:hint="default" w:cs="Times New Roman"/>
              </w:rPr>
              <w:t>647137</w:t>
            </w:r>
          </w:p>
        </w:tc>
        <w:tc>
          <w:tcPr>
            <w:tcW w:w="505" w:type="pct"/>
            <w:vAlign w:val="center"/>
          </w:tcPr>
          <w:p w14:paraId="211642FC">
            <w:pPr>
              <w:pStyle w:val="28"/>
              <w:rPr>
                <w:rFonts w:hint="default" w:cs="Times New Roman"/>
              </w:rPr>
            </w:pPr>
            <w:r>
              <w:rPr>
                <w:rFonts w:hint="default" w:cs="Times New Roman"/>
              </w:rPr>
              <w:t>2022-2025</w:t>
            </w:r>
          </w:p>
        </w:tc>
        <w:tc>
          <w:tcPr>
            <w:tcW w:w="525" w:type="pct"/>
            <w:vAlign w:val="center"/>
          </w:tcPr>
          <w:p w14:paraId="7688619E">
            <w:pPr>
              <w:pStyle w:val="28"/>
              <w:rPr>
                <w:rFonts w:hint="default" w:cs="Times New Roman"/>
              </w:rPr>
            </w:pPr>
            <w:r>
              <w:rPr>
                <w:rFonts w:hint="default" w:cs="Times New Roman"/>
              </w:rPr>
              <w:t>市级方案中的工程项目</w:t>
            </w:r>
          </w:p>
        </w:tc>
      </w:tr>
      <w:tr w14:paraId="79405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 w:type="pct"/>
            <w:vAlign w:val="center"/>
          </w:tcPr>
          <w:p w14:paraId="24191679">
            <w:pPr>
              <w:pStyle w:val="28"/>
              <w:rPr>
                <w:rFonts w:hint="default" w:cs="Times New Roman"/>
              </w:rPr>
            </w:pPr>
            <w:r>
              <w:rPr>
                <w:rFonts w:hint="default" w:cs="Times New Roman"/>
              </w:rPr>
              <w:t>2</w:t>
            </w:r>
          </w:p>
        </w:tc>
        <w:tc>
          <w:tcPr>
            <w:tcW w:w="1027" w:type="pct"/>
            <w:vAlign w:val="center"/>
          </w:tcPr>
          <w:p w14:paraId="0D31FC5C">
            <w:pPr>
              <w:pStyle w:val="28"/>
              <w:rPr>
                <w:rFonts w:hint="default" w:cs="Times New Roman"/>
              </w:rPr>
            </w:pPr>
            <w:r>
              <w:rPr>
                <w:rFonts w:hint="default" w:cs="Times New Roman"/>
              </w:rPr>
              <w:t>连云港港旗台作业区研发试验基地项目</w:t>
            </w:r>
          </w:p>
        </w:tc>
        <w:tc>
          <w:tcPr>
            <w:tcW w:w="760" w:type="pct"/>
            <w:vAlign w:val="center"/>
          </w:tcPr>
          <w:p w14:paraId="3B3FC932">
            <w:pPr>
              <w:pStyle w:val="28"/>
              <w:rPr>
                <w:rFonts w:hint="default" w:cs="Times New Roman"/>
              </w:rPr>
            </w:pPr>
            <w:r>
              <w:rPr>
                <w:rFonts w:hint="default" w:cs="Times New Roman"/>
              </w:rPr>
              <w:t>江苏筑港建设集团有限公司</w:t>
            </w:r>
          </w:p>
        </w:tc>
        <w:tc>
          <w:tcPr>
            <w:tcW w:w="1449" w:type="pct"/>
            <w:vAlign w:val="center"/>
          </w:tcPr>
          <w:p w14:paraId="38826057">
            <w:pPr>
              <w:pStyle w:val="28"/>
              <w:rPr>
                <w:rFonts w:hint="default" w:cs="Times New Roman"/>
              </w:rPr>
            </w:pPr>
            <w:r>
              <w:rPr>
                <w:rFonts w:hint="default" w:cs="Times New Roman"/>
              </w:rPr>
              <w:t>利用连云港恒鑫通矿业有限公司的磁选尾矿渣等一般固废和淤泥生产制作复合固化土，实现尾矿渣等大宗固废的综合利用</w:t>
            </w:r>
          </w:p>
        </w:tc>
        <w:tc>
          <w:tcPr>
            <w:tcW w:w="456" w:type="pct"/>
            <w:vAlign w:val="center"/>
          </w:tcPr>
          <w:p w14:paraId="6632BF7A">
            <w:pPr>
              <w:pStyle w:val="28"/>
              <w:rPr>
                <w:rFonts w:hint="default" w:cs="Times New Roman"/>
              </w:rPr>
            </w:pPr>
            <w:r>
              <w:rPr>
                <w:rFonts w:hint="default" w:cs="Times New Roman"/>
              </w:rPr>
              <w:t>1200</w:t>
            </w:r>
          </w:p>
        </w:tc>
        <w:tc>
          <w:tcPr>
            <w:tcW w:w="505" w:type="pct"/>
            <w:vAlign w:val="center"/>
          </w:tcPr>
          <w:p w14:paraId="6A5FD6EF">
            <w:pPr>
              <w:pStyle w:val="28"/>
              <w:rPr>
                <w:rFonts w:hint="default" w:cs="Times New Roman"/>
              </w:rPr>
            </w:pPr>
            <w:r>
              <w:rPr>
                <w:rFonts w:hint="default" w:cs="Times New Roman"/>
              </w:rPr>
              <w:t>2023-2024</w:t>
            </w:r>
          </w:p>
        </w:tc>
        <w:tc>
          <w:tcPr>
            <w:tcW w:w="525" w:type="pct"/>
            <w:vAlign w:val="center"/>
          </w:tcPr>
          <w:p w14:paraId="43554E93">
            <w:pPr>
              <w:pStyle w:val="28"/>
              <w:rPr>
                <w:rFonts w:hint="default" w:cs="Times New Roman"/>
              </w:rPr>
            </w:pPr>
            <w:r>
              <w:rPr>
                <w:rFonts w:hint="default" w:cs="Times New Roman"/>
              </w:rPr>
              <w:t>本方案新增</w:t>
            </w:r>
          </w:p>
        </w:tc>
      </w:tr>
      <w:tr w14:paraId="59536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 w:type="pct"/>
            <w:vAlign w:val="center"/>
          </w:tcPr>
          <w:p w14:paraId="02262690">
            <w:pPr>
              <w:pStyle w:val="28"/>
              <w:rPr>
                <w:rFonts w:hint="default" w:cs="Times New Roman"/>
              </w:rPr>
            </w:pPr>
            <w:r>
              <w:rPr>
                <w:rFonts w:hint="default" w:cs="Times New Roman"/>
              </w:rPr>
              <w:t>3</w:t>
            </w:r>
          </w:p>
        </w:tc>
        <w:tc>
          <w:tcPr>
            <w:tcW w:w="1027" w:type="pct"/>
            <w:vAlign w:val="center"/>
          </w:tcPr>
          <w:p w14:paraId="6C2A530E">
            <w:pPr>
              <w:pStyle w:val="28"/>
              <w:rPr>
                <w:rFonts w:hint="default" w:cs="Times New Roman"/>
              </w:rPr>
            </w:pPr>
            <w:r>
              <w:rPr>
                <w:rFonts w:hint="default" w:cs="Times New Roman"/>
              </w:rPr>
              <w:t>铁尾矿综合利用项目</w:t>
            </w:r>
          </w:p>
        </w:tc>
        <w:tc>
          <w:tcPr>
            <w:tcW w:w="760" w:type="pct"/>
            <w:vAlign w:val="center"/>
          </w:tcPr>
          <w:p w14:paraId="128B8B85">
            <w:pPr>
              <w:pStyle w:val="28"/>
              <w:rPr>
                <w:rFonts w:hint="default" w:cs="Times New Roman"/>
              </w:rPr>
            </w:pPr>
            <w:r>
              <w:rPr>
                <w:rFonts w:hint="default" w:cs="Times New Roman"/>
              </w:rPr>
              <w:t>连云港恒鑫通矿业有限公司</w:t>
            </w:r>
          </w:p>
        </w:tc>
        <w:tc>
          <w:tcPr>
            <w:tcW w:w="1449" w:type="pct"/>
            <w:vAlign w:val="center"/>
          </w:tcPr>
          <w:p w14:paraId="6F123B60">
            <w:pPr>
              <w:pStyle w:val="28"/>
              <w:rPr>
                <w:rFonts w:hint="default" w:cs="Times New Roman"/>
              </w:rPr>
            </w:pPr>
            <w:r>
              <w:rPr>
                <w:rFonts w:hint="default" w:cs="Times New Roman"/>
              </w:rPr>
              <w:t>利用铁尾矿生产地质聚合物工程材料，可处理恒鑫通的铁尾矿约277万t/a</w:t>
            </w:r>
          </w:p>
        </w:tc>
        <w:tc>
          <w:tcPr>
            <w:tcW w:w="456" w:type="pct"/>
            <w:vAlign w:val="center"/>
          </w:tcPr>
          <w:p w14:paraId="56878B42">
            <w:pPr>
              <w:pStyle w:val="28"/>
              <w:rPr>
                <w:rFonts w:hint="default" w:cs="Times New Roman"/>
              </w:rPr>
            </w:pPr>
            <w:r>
              <w:rPr>
                <w:rFonts w:hint="default" w:cs="Times New Roman"/>
              </w:rPr>
              <w:t>10517.52</w:t>
            </w:r>
          </w:p>
        </w:tc>
        <w:tc>
          <w:tcPr>
            <w:tcW w:w="505" w:type="pct"/>
            <w:vAlign w:val="center"/>
          </w:tcPr>
          <w:p w14:paraId="73FF2930">
            <w:pPr>
              <w:pStyle w:val="28"/>
              <w:rPr>
                <w:rFonts w:hint="default" w:cs="Times New Roman"/>
              </w:rPr>
            </w:pPr>
            <w:r>
              <w:rPr>
                <w:rFonts w:hint="default" w:cs="Times New Roman"/>
              </w:rPr>
              <w:t>2023-2025</w:t>
            </w:r>
          </w:p>
        </w:tc>
        <w:tc>
          <w:tcPr>
            <w:tcW w:w="525" w:type="pct"/>
            <w:vAlign w:val="center"/>
          </w:tcPr>
          <w:p w14:paraId="52E82998">
            <w:pPr>
              <w:pStyle w:val="28"/>
              <w:rPr>
                <w:rFonts w:hint="default" w:cs="Times New Roman"/>
              </w:rPr>
            </w:pPr>
            <w:r>
              <w:rPr>
                <w:rFonts w:hint="default" w:cs="Times New Roman"/>
              </w:rPr>
              <w:t>本方案新增</w:t>
            </w:r>
          </w:p>
        </w:tc>
      </w:tr>
      <w:tr w14:paraId="11C64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 w:type="pct"/>
            <w:vAlign w:val="center"/>
          </w:tcPr>
          <w:p w14:paraId="5106B842">
            <w:pPr>
              <w:pStyle w:val="28"/>
              <w:rPr>
                <w:rFonts w:hint="default" w:cs="Times New Roman"/>
              </w:rPr>
            </w:pPr>
            <w:r>
              <w:rPr>
                <w:rFonts w:hint="default" w:cs="Times New Roman"/>
              </w:rPr>
              <w:t>4</w:t>
            </w:r>
          </w:p>
        </w:tc>
        <w:tc>
          <w:tcPr>
            <w:tcW w:w="1027" w:type="pct"/>
            <w:vAlign w:val="center"/>
          </w:tcPr>
          <w:p w14:paraId="5A15FFDA">
            <w:pPr>
              <w:pStyle w:val="28"/>
              <w:rPr>
                <w:rFonts w:hint="default" w:cs="Times New Roman"/>
              </w:rPr>
            </w:pPr>
            <w:r>
              <w:rPr>
                <w:rFonts w:hint="default" w:cs="Times New Roman"/>
              </w:rPr>
              <w:t>丰益表面活性材料（连云港）有限公司高盐废水净化项目（KVT）</w:t>
            </w:r>
          </w:p>
        </w:tc>
        <w:tc>
          <w:tcPr>
            <w:tcW w:w="760" w:type="pct"/>
            <w:vAlign w:val="center"/>
          </w:tcPr>
          <w:p w14:paraId="018D5A18">
            <w:pPr>
              <w:pStyle w:val="28"/>
              <w:rPr>
                <w:rFonts w:hint="default" w:cs="Times New Roman"/>
              </w:rPr>
            </w:pPr>
            <w:r>
              <w:rPr>
                <w:rFonts w:hint="default" w:cs="Times New Roman"/>
              </w:rPr>
              <w:t>丰益表面活性材料（连云港）有限公司</w:t>
            </w:r>
          </w:p>
        </w:tc>
        <w:tc>
          <w:tcPr>
            <w:tcW w:w="1449" w:type="pct"/>
            <w:vAlign w:val="center"/>
          </w:tcPr>
          <w:p w14:paraId="7E29D121">
            <w:pPr>
              <w:pStyle w:val="28"/>
              <w:rPr>
                <w:rFonts w:hint="default" w:cs="Times New Roman"/>
              </w:rPr>
            </w:pPr>
            <w:r>
              <w:rPr>
                <w:rFonts w:hint="default" w:cs="Times New Roman"/>
              </w:rPr>
              <w:t>含盐废水进行净化处理</w:t>
            </w:r>
          </w:p>
        </w:tc>
        <w:tc>
          <w:tcPr>
            <w:tcW w:w="456" w:type="pct"/>
            <w:vAlign w:val="center"/>
          </w:tcPr>
          <w:p w14:paraId="2A5328B7">
            <w:pPr>
              <w:pStyle w:val="28"/>
              <w:rPr>
                <w:rFonts w:hint="default" w:cs="Times New Roman"/>
              </w:rPr>
            </w:pPr>
            <w:r>
              <w:rPr>
                <w:rFonts w:hint="default" w:cs="Times New Roman"/>
              </w:rPr>
              <w:t>26000</w:t>
            </w:r>
          </w:p>
        </w:tc>
        <w:tc>
          <w:tcPr>
            <w:tcW w:w="505" w:type="pct"/>
            <w:vAlign w:val="center"/>
          </w:tcPr>
          <w:p w14:paraId="3519885B">
            <w:pPr>
              <w:pStyle w:val="28"/>
              <w:rPr>
                <w:rFonts w:hint="default" w:cs="Times New Roman"/>
              </w:rPr>
            </w:pPr>
            <w:r>
              <w:rPr>
                <w:rFonts w:hint="default" w:cs="Times New Roman"/>
              </w:rPr>
              <w:t>2022-2025</w:t>
            </w:r>
          </w:p>
        </w:tc>
        <w:tc>
          <w:tcPr>
            <w:tcW w:w="525" w:type="pct"/>
            <w:vAlign w:val="center"/>
          </w:tcPr>
          <w:p w14:paraId="2CBDFB8F">
            <w:pPr>
              <w:pStyle w:val="28"/>
              <w:rPr>
                <w:rFonts w:hint="default" w:cs="Times New Roman"/>
              </w:rPr>
            </w:pPr>
            <w:r>
              <w:rPr>
                <w:rFonts w:hint="default" w:cs="Times New Roman"/>
              </w:rPr>
              <w:t>市级方案中的工程项目</w:t>
            </w:r>
          </w:p>
        </w:tc>
      </w:tr>
      <w:tr w14:paraId="17743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 w:type="pct"/>
            <w:vAlign w:val="center"/>
          </w:tcPr>
          <w:p w14:paraId="5C860C3B">
            <w:pPr>
              <w:pStyle w:val="28"/>
              <w:rPr>
                <w:rFonts w:hint="default" w:cs="Times New Roman"/>
              </w:rPr>
            </w:pPr>
            <w:r>
              <w:rPr>
                <w:rFonts w:hint="default" w:cs="Times New Roman"/>
              </w:rPr>
              <w:t>5</w:t>
            </w:r>
          </w:p>
        </w:tc>
        <w:tc>
          <w:tcPr>
            <w:tcW w:w="1027" w:type="pct"/>
            <w:vAlign w:val="center"/>
          </w:tcPr>
          <w:p w14:paraId="22EB1D75">
            <w:pPr>
              <w:pStyle w:val="28"/>
              <w:rPr>
                <w:rFonts w:hint="default" w:cs="Times New Roman"/>
              </w:rPr>
            </w:pPr>
            <w:r>
              <w:rPr>
                <w:rFonts w:hint="default" w:cs="Times New Roman"/>
              </w:rPr>
              <w:t>连云区厨余垃圾处理中心</w:t>
            </w:r>
          </w:p>
        </w:tc>
        <w:tc>
          <w:tcPr>
            <w:tcW w:w="760" w:type="pct"/>
            <w:vAlign w:val="center"/>
          </w:tcPr>
          <w:p w14:paraId="5099652F">
            <w:pPr>
              <w:pStyle w:val="28"/>
              <w:rPr>
                <w:rFonts w:hint="default" w:cs="Times New Roman"/>
              </w:rPr>
            </w:pPr>
            <w:r>
              <w:rPr>
                <w:rFonts w:hint="default" w:cs="Times New Roman"/>
              </w:rPr>
              <w:t>连云区城市管理局</w:t>
            </w:r>
          </w:p>
        </w:tc>
        <w:tc>
          <w:tcPr>
            <w:tcW w:w="1449" w:type="pct"/>
            <w:vAlign w:val="center"/>
          </w:tcPr>
          <w:p w14:paraId="7ACA8A6D">
            <w:pPr>
              <w:pStyle w:val="28"/>
              <w:rPr>
                <w:rFonts w:hint="default" w:cs="Times New Roman"/>
              </w:rPr>
            </w:pPr>
            <w:r>
              <w:rPr>
                <w:rFonts w:cs="Times New Roman"/>
              </w:rPr>
              <w:t>处理厨余垃圾</w:t>
            </w:r>
            <w:r>
              <w:rPr>
                <w:rFonts w:hint="default" w:cs="Times New Roman"/>
              </w:rPr>
              <w:t>5吨/日</w:t>
            </w:r>
          </w:p>
        </w:tc>
        <w:tc>
          <w:tcPr>
            <w:tcW w:w="456" w:type="pct"/>
            <w:vAlign w:val="center"/>
          </w:tcPr>
          <w:p w14:paraId="1591A8A1">
            <w:pPr>
              <w:pStyle w:val="28"/>
              <w:rPr>
                <w:rFonts w:hint="default" w:cs="Times New Roman"/>
              </w:rPr>
            </w:pPr>
            <w:r>
              <w:rPr>
                <w:rFonts w:hint="default" w:cs="Times New Roman"/>
              </w:rPr>
              <w:t>150</w:t>
            </w:r>
          </w:p>
        </w:tc>
        <w:tc>
          <w:tcPr>
            <w:tcW w:w="505" w:type="pct"/>
            <w:vAlign w:val="center"/>
          </w:tcPr>
          <w:p w14:paraId="63C9D5F8">
            <w:pPr>
              <w:pStyle w:val="28"/>
              <w:rPr>
                <w:rFonts w:hint="default" w:cs="Times New Roman"/>
              </w:rPr>
            </w:pPr>
            <w:r>
              <w:rPr>
                <w:rFonts w:hint="default" w:cs="Times New Roman"/>
              </w:rPr>
              <w:t>2022-2023</w:t>
            </w:r>
          </w:p>
        </w:tc>
        <w:tc>
          <w:tcPr>
            <w:tcW w:w="525" w:type="pct"/>
            <w:vAlign w:val="center"/>
          </w:tcPr>
          <w:p w14:paraId="2D7A20FC">
            <w:pPr>
              <w:pStyle w:val="28"/>
              <w:rPr>
                <w:rFonts w:hint="default" w:cs="Times New Roman"/>
              </w:rPr>
            </w:pPr>
            <w:r>
              <w:rPr>
                <w:rFonts w:hint="default" w:cs="Times New Roman"/>
              </w:rPr>
              <w:t>市级方案中的工程项目</w:t>
            </w:r>
          </w:p>
        </w:tc>
      </w:tr>
      <w:tr w14:paraId="6F690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 w:type="pct"/>
            <w:vAlign w:val="center"/>
          </w:tcPr>
          <w:p w14:paraId="3AEEB210">
            <w:pPr>
              <w:pStyle w:val="28"/>
              <w:rPr>
                <w:rFonts w:hint="default" w:cs="Times New Roman"/>
              </w:rPr>
            </w:pPr>
            <w:r>
              <w:rPr>
                <w:rFonts w:hint="default" w:cs="Times New Roman"/>
              </w:rPr>
              <w:t>6</w:t>
            </w:r>
          </w:p>
        </w:tc>
        <w:tc>
          <w:tcPr>
            <w:tcW w:w="1027" w:type="pct"/>
            <w:vAlign w:val="center"/>
          </w:tcPr>
          <w:p w14:paraId="5C6F8932">
            <w:pPr>
              <w:pStyle w:val="28"/>
              <w:rPr>
                <w:rFonts w:hint="default" w:cs="Times New Roman"/>
              </w:rPr>
            </w:pPr>
            <w:r>
              <w:rPr>
                <w:rFonts w:hint="default" w:cs="Times New Roman"/>
              </w:rPr>
              <w:t>3万吨/年酚类防老阻燃新材料技术升级改造项目</w:t>
            </w:r>
          </w:p>
        </w:tc>
        <w:tc>
          <w:tcPr>
            <w:tcW w:w="760" w:type="pct"/>
            <w:vAlign w:val="center"/>
          </w:tcPr>
          <w:p w14:paraId="2D28DCC2">
            <w:pPr>
              <w:pStyle w:val="28"/>
              <w:rPr>
                <w:rFonts w:hint="default" w:cs="Times New Roman"/>
              </w:rPr>
            </w:pPr>
            <w:r>
              <w:rPr>
                <w:rFonts w:hint="default" w:cs="Times New Roman"/>
              </w:rPr>
              <w:t>江苏三吉利化工股份有限公司</w:t>
            </w:r>
          </w:p>
        </w:tc>
        <w:tc>
          <w:tcPr>
            <w:tcW w:w="1449" w:type="pct"/>
            <w:vAlign w:val="center"/>
          </w:tcPr>
          <w:p w14:paraId="57D40111">
            <w:pPr>
              <w:pStyle w:val="28"/>
              <w:rPr>
                <w:rFonts w:hint="default" w:cs="Times New Roman"/>
              </w:rPr>
            </w:pPr>
            <w:r>
              <w:rPr>
                <w:rFonts w:hint="default" w:cs="Times New Roman"/>
              </w:rPr>
              <w:t>将三吉利化工的含酚焦油（危废）制成酚类防老阻燃新材料，产能3万t/a，可综合利用焦油1.296万t/a</w:t>
            </w:r>
          </w:p>
        </w:tc>
        <w:tc>
          <w:tcPr>
            <w:tcW w:w="456" w:type="pct"/>
            <w:vAlign w:val="center"/>
          </w:tcPr>
          <w:p w14:paraId="4E1969EE">
            <w:pPr>
              <w:pStyle w:val="28"/>
              <w:rPr>
                <w:rFonts w:hint="default" w:cs="Times New Roman"/>
              </w:rPr>
            </w:pPr>
            <w:r>
              <w:rPr>
                <w:rFonts w:hint="default" w:cs="Times New Roman"/>
              </w:rPr>
              <w:t>20240.59</w:t>
            </w:r>
          </w:p>
        </w:tc>
        <w:tc>
          <w:tcPr>
            <w:tcW w:w="505" w:type="pct"/>
            <w:vAlign w:val="center"/>
          </w:tcPr>
          <w:p w14:paraId="4E1709BC">
            <w:pPr>
              <w:pStyle w:val="28"/>
              <w:rPr>
                <w:rFonts w:hint="default" w:cs="Times New Roman"/>
              </w:rPr>
            </w:pPr>
            <w:r>
              <w:rPr>
                <w:rFonts w:hint="default" w:cs="Times New Roman"/>
              </w:rPr>
              <w:t>2023-2025</w:t>
            </w:r>
          </w:p>
        </w:tc>
        <w:tc>
          <w:tcPr>
            <w:tcW w:w="525" w:type="pct"/>
            <w:vAlign w:val="center"/>
          </w:tcPr>
          <w:p w14:paraId="214D4891">
            <w:pPr>
              <w:pStyle w:val="28"/>
              <w:rPr>
                <w:rFonts w:hint="default" w:cs="Times New Roman"/>
              </w:rPr>
            </w:pPr>
            <w:r>
              <w:rPr>
                <w:rFonts w:hint="default" w:cs="Times New Roman"/>
              </w:rPr>
              <w:t>本方案新增</w:t>
            </w:r>
          </w:p>
        </w:tc>
      </w:tr>
      <w:tr w14:paraId="3DFE7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 w:type="pct"/>
            <w:vAlign w:val="center"/>
          </w:tcPr>
          <w:p w14:paraId="4FF05B0C">
            <w:pPr>
              <w:pStyle w:val="28"/>
              <w:rPr>
                <w:rFonts w:hint="default" w:cs="Times New Roman"/>
              </w:rPr>
            </w:pPr>
            <w:r>
              <w:rPr>
                <w:rFonts w:hint="default" w:cs="Times New Roman"/>
              </w:rPr>
              <w:t>7</w:t>
            </w:r>
          </w:p>
        </w:tc>
        <w:tc>
          <w:tcPr>
            <w:tcW w:w="1027" w:type="pct"/>
            <w:vAlign w:val="center"/>
          </w:tcPr>
          <w:p w14:paraId="1EA2F0CD">
            <w:pPr>
              <w:pStyle w:val="28"/>
              <w:rPr>
                <w:rFonts w:hint="default" w:cs="Times New Roman"/>
              </w:rPr>
            </w:pPr>
            <w:r>
              <w:rPr>
                <w:rFonts w:hint="default" w:cs="Times New Roman"/>
              </w:rPr>
              <w:t>连云港市污泥制园林营养土资源化利用示范项目二期扩建项目</w:t>
            </w:r>
          </w:p>
        </w:tc>
        <w:tc>
          <w:tcPr>
            <w:tcW w:w="760" w:type="pct"/>
            <w:vAlign w:val="center"/>
          </w:tcPr>
          <w:p w14:paraId="43DB3CDB">
            <w:pPr>
              <w:pStyle w:val="28"/>
              <w:rPr>
                <w:rFonts w:hint="default" w:cs="Times New Roman"/>
              </w:rPr>
            </w:pPr>
            <w:r>
              <w:rPr>
                <w:rFonts w:hint="default" w:cs="Times New Roman"/>
              </w:rPr>
              <w:t>连云港德洪源实业有限公司</w:t>
            </w:r>
          </w:p>
        </w:tc>
        <w:tc>
          <w:tcPr>
            <w:tcW w:w="1449" w:type="pct"/>
            <w:vAlign w:val="center"/>
          </w:tcPr>
          <w:p w14:paraId="3515136F">
            <w:pPr>
              <w:pStyle w:val="28"/>
              <w:jc w:val="both"/>
              <w:rPr>
                <w:rFonts w:hint="default" w:cs="Times New Roman"/>
              </w:rPr>
            </w:pPr>
            <w:r>
              <w:rPr>
                <w:rFonts w:hint="default" w:cs="Times New Roman"/>
              </w:rPr>
              <w:t>污泥发酵制成园林营养土；园林废弃物制成园林营养土的辅料。项目建成后能处理城镇生活污泥17000t/a、园林废弃物11900t/a</w:t>
            </w:r>
          </w:p>
        </w:tc>
        <w:tc>
          <w:tcPr>
            <w:tcW w:w="456" w:type="pct"/>
            <w:vAlign w:val="center"/>
          </w:tcPr>
          <w:p w14:paraId="52397231">
            <w:pPr>
              <w:pStyle w:val="28"/>
              <w:rPr>
                <w:rFonts w:hint="default" w:cs="Times New Roman"/>
              </w:rPr>
            </w:pPr>
            <w:r>
              <w:rPr>
                <w:rFonts w:hint="default" w:cs="Times New Roman"/>
              </w:rPr>
              <w:t>617</w:t>
            </w:r>
          </w:p>
        </w:tc>
        <w:tc>
          <w:tcPr>
            <w:tcW w:w="505" w:type="pct"/>
            <w:vAlign w:val="center"/>
          </w:tcPr>
          <w:p w14:paraId="71280DA5">
            <w:pPr>
              <w:pStyle w:val="28"/>
              <w:rPr>
                <w:rFonts w:hint="default" w:cs="Times New Roman"/>
              </w:rPr>
            </w:pPr>
            <w:r>
              <w:rPr>
                <w:rFonts w:hint="default" w:cs="Times New Roman"/>
              </w:rPr>
              <w:t>2023-2024</w:t>
            </w:r>
          </w:p>
        </w:tc>
        <w:tc>
          <w:tcPr>
            <w:tcW w:w="525" w:type="pct"/>
            <w:vAlign w:val="center"/>
          </w:tcPr>
          <w:p w14:paraId="1E931125">
            <w:pPr>
              <w:pStyle w:val="28"/>
              <w:rPr>
                <w:rFonts w:hint="default" w:cs="Times New Roman"/>
              </w:rPr>
            </w:pPr>
            <w:r>
              <w:rPr>
                <w:rFonts w:hint="default" w:cs="Times New Roman"/>
              </w:rPr>
              <w:t>市级方案中的工程项目</w:t>
            </w:r>
          </w:p>
        </w:tc>
      </w:tr>
    </w:tbl>
    <w:p w14:paraId="2E69541F">
      <w:pPr>
        <w:spacing w:line="20" w:lineRule="exact"/>
        <w:ind w:firstLine="0" w:firstLineChars="0"/>
      </w:pPr>
    </w:p>
    <w:sectPr>
      <w:pgSz w:w="16838" w:h="11906" w:orient="landscape"/>
      <w:pgMar w:top="1440" w:right="1440" w:bottom="144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79B3E">
    <w:pPr>
      <w:pStyle w:val="15"/>
      <w:ind w:right="357" w:firstLine="360"/>
      <w:rPr>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99390">
    <w:pPr>
      <w:pStyle w:val="15"/>
      <w:ind w:right="360" w:firstLine="360"/>
      <w:jc w:val="both"/>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95D57">
    <w:pPr>
      <w:pStyle w:val="1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F73F0">
    <w:pPr>
      <w:pStyle w:val="15"/>
      <w:ind w:firstLine="360"/>
    </w:pPr>
    <w:r>
      <w:pict>
        <v:shape id="_x0000_s2050" o:spid="_x0000_s2050"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path/>
          <v:fill on="f" focussize="0,0"/>
          <v:stroke on="f" weight="0.5pt" joinstyle="miter"/>
          <v:imagedata o:title=""/>
          <o:lock v:ext="edit"/>
          <v:textbox inset="0mm,0mm,0mm,0mm" style="mso-fit-shape-to-text:t;">
            <w:txbxContent>
              <w:p w14:paraId="6D2DD5AC">
                <w:pPr>
                  <w:pStyle w:val="15"/>
                  <w:ind w:firstLine="360"/>
                </w:pPr>
                <w:r>
                  <w:t xml:space="preserve">— </w:t>
                </w:r>
                <w:r>
                  <w:fldChar w:fldCharType="begin"/>
                </w:r>
                <w:r>
                  <w:instrText xml:space="preserve"> PAGE  \* MERGEFORMAT </w:instrText>
                </w:r>
                <w:r>
                  <w:fldChar w:fldCharType="separate"/>
                </w:r>
                <w:r>
                  <w:t>4</w:t>
                </w:r>
                <w:r>
                  <w:fldChar w:fldCharType="end"/>
                </w:r>
                <w:r>
                  <w:t xml:space="preserve"> —</w:t>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5BFA6B">
    <w:pPr>
      <w:pStyle w:val="15"/>
      <w:ind w:firstLine="360"/>
    </w:pPr>
    <w: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path/>
          <v:fill on="f" focussize="0,0"/>
          <v:stroke on="f" weight="0.5pt" joinstyle="miter"/>
          <v:imagedata o:title=""/>
          <o:lock v:ext="edit"/>
          <v:textbox inset="0mm,0mm,0mm,0mm" style="mso-fit-shape-to-text:t;">
            <w:txbxContent>
              <w:p w14:paraId="22F1F88B">
                <w:pPr>
                  <w:pStyle w:val="15"/>
                  <w:ind w:firstLine="560"/>
                  <w:rPr>
                    <w:rFonts w:eastAsia="宋体" w:cs="Times New Roman"/>
                    <w:sz w:val="28"/>
                    <w:szCs w:val="28"/>
                  </w:rPr>
                </w:pPr>
                <w:r>
                  <w:rPr>
                    <w:rFonts w:eastAsia="宋体" w:cs="Times New Roman"/>
                    <w:sz w:val="28"/>
                    <w:szCs w:val="28"/>
                  </w:rPr>
                  <w:t xml:space="preserve">— </w:t>
                </w:r>
                <w:r>
                  <w:rPr>
                    <w:rFonts w:eastAsia="宋体" w:cs="Times New Roman"/>
                    <w:sz w:val="28"/>
                    <w:szCs w:val="28"/>
                  </w:rPr>
                  <w:fldChar w:fldCharType="begin"/>
                </w:r>
                <w:r>
                  <w:rPr>
                    <w:rFonts w:eastAsia="宋体" w:cs="Times New Roman"/>
                    <w:sz w:val="28"/>
                    <w:szCs w:val="28"/>
                  </w:rPr>
                  <w:instrText xml:space="preserve"> PAGE  \* MERGEFORMAT </w:instrText>
                </w:r>
                <w:r>
                  <w:rPr>
                    <w:rFonts w:eastAsia="宋体" w:cs="Times New Roman"/>
                    <w:sz w:val="28"/>
                    <w:szCs w:val="28"/>
                  </w:rPr>
                  <w:fldChar w:fldCharType="separate"/>
                </w:r>
                <w:r>
                  <w:rPr>
                    <w:rFonts w:eastAsia="宋体" w:cs="Times New Roman"/>
                    <w:sz w:val="28"/>
                    <w:szCs w:val="28"/>
                  </w:rPr>
                  <w:t>95</w:t>
                </w:r>
                <w:r>
                  <w:rPr>
                    <w:rFonts w:eastAsia="宋体" w:cs="Times New Roman"/>
                    <w:sz w:val="28"/>
                    <w:szCs w:val="28"/>
                  </w:rPr>
                  <w:fldChar w:fldCharType="end"/>
                </w:r>
                <w:r>
                  <w:rPr>
                    <w:rFonts w:eastAsia="宋体" w:cs="Times New Roman"/>
                    <w:sz w:val="28"/>
                    <w:szCs w:val="28"/>
                  </w:rPr>
                  <w:t xml:space="preserve"> —</w:t>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8DA13">
    <w:pPr>
      <w:pStyle w:val="1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E003C">
    <w:pPr>
      <w:pStyle w:val="1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800AA">
    <w:pPr>
      <w:pStyle w:val="16"/>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315C0">
    <w:pPr>
      <w:pStyle w:val="16"/>
      <w:ind w:firstLine="0" w:firstLineChars="0"/>
      <w:jc w:val="center"/>
      <w:rPr>
        <w:sz w:val="21"/>
        <w:szCs w:val="21"/>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987582">
    <w:pPr>
      <w:pStyle w:val="16"/>
      <w:ind w:firstLine="0" w:firstLineChars="0"/>
      <w:jc w:val="center"/>
      <w:rPr>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5C694B"/>
    <w:multiLevelType w:val="singleLevel"/>
    <w:tmpl w:val="915C694B"/>
    <w:lvl w:ilvl="0" w:tentative="0">
      <w:start w:val="1"/>
      <w:numFmt w:val="decimal"/>
      <w:suff w:val="nothing"/>
      <w:lvlText w:val="(%1)"/>
      <w:lvlJc w:val="left"/>
      <w:pPr>
        <w:ind w:left="420" w:hanging="420"/>
      </w:pPr>
      <w:rPr>
        <w:rFonts w:hint="default"/>
      </w:rPr>
    </w:lvl>
  </w:abstractNum>
  <w:abstractNum w:abstractNumId="1">
    <w:nsid w:val="9DA7FA47"/>
    <w:multiLevelType w:val="singleLevel"/>
    <w:tmpl w:val="9DA7FA47"/>
    <w:lvl w:ilvl="0" w:tentative="0">
      <w:start w:val="1"/>
      <w:numFmt w:val="decimal"/>
      <w:lvlText w:val="B-%1"/>
      <w:lvlJc w:val="left"/>
      <w:pPr>
        <w:tabs>
          <w:tab w:val="left" w:pos="397"/>
        </w:tabs>
        <w:ind w:left="454" w:hanging="454"/>
      </w:pPr>
      <w:rPr>
        <w:rFonts w:hint="default"/>
      </w:rPr>
    </w:lvl>
  </w:abstractNum>
  <w:abstractNum w:abstractNumId="2">
    <w:nsid w:val="A59A2C7A"/>
    <w:multiLevelType w:val="singleLevel"/>
    <w:tmpl w:val="A59A2C7A"/>
    <w:lvl w:ilvl="0" w:tentative="0">
      <w:start w:val="1"/>
      <w:numFmt w:val="decimal"/>
      <w:suff w:val="nothing"/>
      <w:lvlText w:val="（%1）"/>
      <w:lvlJc w:val="left"/>
    </w:lvl>
  </w:abstractNum>
  <w:abstractNum w:abstractNumId="3">
    <w:nsid w:val="B31CC0EE"/>
    <w:multiLevelType w:val="singleLevel"/>
    <w:tmpl w:val="B31CC0EE"/>
    <w:lvl w:ilvl="0" w:tentative="0">
      <w:start w:val="1"/>
      <w:numFmt w:val="decimal"/>
      <w:suff w:val="nothing"/>
      <w:lvlText w:val="D-%1"/>
      <w:lvlJc w:val="left"/>
      <w:pPr>
        <w:ind w:left="0" w:firstLine="0"/>
      </w:pPr>
      <w:rPr>
        <w:rFonts w:hint="default"/>
      </w:rPr>
    </w:lvl>
  </w:abstractNum>
  <w:abstractNum w:abstractNumId="4">
    <w:nsid w:val="B44FDC64"/>
    <w:multiLevelType w:val="singleLevel"/>
    <w:tmpl w:val="B44FDC64"/>
    <w:lvl w:ilvl="0" w:tentative="0">
      <w:start w:val="1"/>
      <w:numFmt w:val="decimal"/>
      <w:suff w:val="nothing"/>
      <w:lvlText w:val="%1"/>
      <w:lvlJc w:val="left"/>
      <w:pPr>
        <w:tabs>
          <w:tab w:val="left" w:pos="0"/>
        </w:tabs>
        <w:ind w:left="0" w:firstLine="0"/>
      </w:pPr>
      <w:rPr>
        <w:rFonts w:hint="default" w:ascii="Times New Roman" w:hAnsi="Times New Roman" w:eastAsia="宋体" w:cs="Times New Roman"/>
      </w:rPr>
    </w:lvl>
  </w:abstractNum>
  <w:abstractNum w:abstractNumId="5">
    <w:nsid w:val="CAAE051D"/>
    <w:multiLevelType w:val="singleLevel"/>
    <w:tmpl w:val="CAAE051D"/>
    <w:lvl w:ilvl="0" w:tentative="0">
      <w:start w:val="1"/>
      <w:numFmt w:val="decimal"/>
      <w:suff w:val="nothing"/>
      <w:lvlText w:val="C-%1"/>
      <w:lvlJc w:val="left"/>
      <w:pPr>
        <w:ind w:left="0" w:firstLine="0"/>
      </w:pPr>
      <w:rPr>
        <w:rFonts w:hint="default"/>
      </w:rPr>
    </w:lvl>
  </w:abstractNum>
  <w:abstractNum w:abstractNumId="6">
    <w:nsid w:val="E3858D0C"/>
    <w:multiLevelType w:val="singleLevel"/>
    <w:tmpl w:val="E3858D0C"/>
    <w:lvl w:ilvl="0" w:tentative="0">
      <w:start w:val="1"/>
      <w:numFmt w:val="decimal"/>
      <w:suff w:val="nothing"/>
      <w:lvlText w:val="(%1)"/>
      <w:lvlJc w:val="left"/>
      <w:pPr>
        <w:ind w:left="454" w:hanging="454"/>
      </w:pPr>
      <w:rPr>
        <w:rFonts w:hint="default"/>
      </w:rPr>
    </w:lvl>
  </w:abstractNum>
  <w:abstractNum w:abstractNumId="7">
    <w:nsid w:val="05AF96A8"/>
    <w:multiLevelType w:val="singleLevel"/>
    <w:tmpl w:val="05AF96A8"/>
    <w:lvl w:ilvl="0" w:tentative="0">
      <w:start w:val="1"/>
      <w:numFmt w:val="decimal"/>
      <w:suff w:val="nothing"/>
      <w:lvlText w:val="%1"/>
      <w:lvlJc w:val="left"/>
      <w:pPr>
        <w:tabs>
          <w:tab w:val="left" w:pos="0"/>
        </w:tabs>
        <w:ind w:left="0" w:firstLine="0"/>
      </w:pPr>
      <w:rPr>
        <w:rFonts w:hint="default" w:ascii="Times New Roman" w:hAnsi="Times New Roman" w:eastAsia="宋体" w:cs="Times New Roman"/>
      </w:rPr>
    </w:lvl>
  </w:abstractNum>
  <w:abstractNum w:abstractNumId="8">
    <w:nsid w:val="067E6CFE"/>
    <w:multiLevelType w:val="singleLevel"/>
    <w:tmpl w:val="067E6CFE"/>
    <w:lvl w:ilvl="0" w:tentative="0">
      <w:start w:val="1"/>
      <w:numFmt w:val="decimal"/>
      <w:suff w:val="nothing"/>
      <w:lvlText w:val="%1"/>
      <w:lvlJc w:val="left"/>
      <w:pPr>
        <w:ind w:left="0" w:firstLine="0"/>
      </w:pPr>
      <w:rPr>
        <w:rFonts w:hint="default"/>
      </w:rPr>
    </w:lvl>
  </w:abstractNum>
  <w:abstractNum w:abstractNumId="9">
    <w:nsid w:val="4A8FF8F7"/>
    <w:multiLevelType w:val="singleLevel"/>
    <w:tmpl w:val="4A8FF8F7"/>
    <w:lvl w:ilvl="0" w:tentative="0">
      <w:start w:val="1"/>
      <w:numFmt w:val="decimal"/>
      <w:suff w:val="nothing"/>
      <w:lvlText w:val="(%1)"/>
      <w:lvlJc w:val="left"/>
      <w:pPr>
        <w:ind w:left="454" w:hanging="454"/>
      </w:pPr>
      <w:rPr>
        <w:rFonts w:hint="default"/>
      </w:rPr>
    </w:lvl>
  </w:abstractNum>
  <w:abstractNum w:abstractNumId="10">
    <w:nsid w:val="4BF8AD00"/>
    <w:multiLevelType w:val="singleLevel"/>
    <w:tmpl w:val="4BF8AD00"/>
    <w:lvl w:ilvl="0" w:tentative="0">
      <w:start w:val="1"/>
      <w:numFmt w:val="decimal"/>
      <w:suff w:val="nothing"/>
      <w:lvlText w:val="(%1)"/>
      <w:lvlJc w:val="left"/>
      <w:pPr>
        <w:ind w:left="420" w:hanging="420"/>
      </w:pPr>
      <w:rPr>
        <w:rFonts w:hint="default"/>
      </w:rPr>
    </w:lvl>
  </w:abstractNum>
  <w:abstractNum w:abstractNumId="11">
    <w:nsid w:val="5CA9CB76"/>
    <w:multiLevelType w:val="singleLevel"/>
    <w:tmpl w:val="5CA9CB76"/>
    <w:lvl w:ilvl="0" w:tentative="0">
      <w:start w:val="1"/>
      <w:numFmt w:val="decimal"/>
      <w:suff w:val="nothing"/>
      <w:lvlText w:val="A-%1"/>
      <w:lvlJc w:val="left"/>
      <w:pPr>
        <w:ind w:left="0" w:firstLine="0"/>
      </w:pPr>
      <w:rPr>
        <w:rFonts w:hint="default"/>
      </w:rPr>
    </w:lvl>
  </w:abstractNum>
  <w:abstractNum w:abstractNumId="12">
    <w:nsid w:val="6053B283"/>
    <w:multiLevelType w:val="singleLevel"/>
    <w:tmpl w:val="6053B283"/>
    <w:lvl w:ilvl="0" w:tentative="0">
      <w:start w:val="2"/>
      <w:numFmt w:val="decimal"/>
      <w:suff w:val="nothing"/>
      <w:lvlText w:val="（%1）"/>
      <w:lvlJc w:val="left"/>
    </w:lvl>
  </w:abstractNum>
  <w:abstractNum w:abstractNumId="13">
    <w:nsid w:val="7915D660"/>
    <w:multiLevelType w:val="multilevel"/>
    <w:tmpl w:val="7915D660"/>
    <w:lvl w:ilvl="0" w:tentative="0">
      <w:start w:val="1"/>
      <w:numFmt w:val="chineseCounting"/>
      <w:suff w:val="nothing"/>
      <w:lvlText w:val="第%1章 "/>
      <w:lvlJc w:val="left"/>
      <w:pPr>
        <w:ind w:left="425" w:hanging="425"/>
      </w:pPr>
      <w:rPr>
        <w:rFonts w:hint="eastAsia"/>
      </w:rPr>
    </w:lvl>
    <w:lvl w:ilvl="1" w:tentative="0">
      <w:start w:val="1"/>
      <w:numFmt w:val="decimal"/>
      <w:isLgl/>
      <w:lvlText w:val="%1.%2."/>
      <w:lvlJc w:val="left"/>
      <w:pPr>
        <w:ind w:left="567" w:hanging="567"/>
      </w:pPr>
      <w:rPr>
        <w:rFonts w:hint="eastAsia"/>
      </w:rPr>
    </w:lvl>
    <w:lvl w:ilvl="2" w:tentative="0">
      <w:start w:val="1"/>
      <w:numFmt w:val="decimal"/>
      <w:isLgl/>
      <w:lvlText w:val="%1.%2.%3."/>
      <w:lvlJc w:val="left"/>
      <w:pPr>
        <w:ind w:left="709" w:hanging="709"/>
      </w:pPr>
      <w:rPr>
        <w:rFonts w:hint="eastAsia"/>
      </w:rPr>
    </w:lvl>
    <w:lvl w:ilvl="3" w:tentative="0">
      <w:start w:val="1"/>
      <w:numFmt w:val="decimal"/>
      <w:isLgl/>
      <w:lvlText w:val="%1.%2.%3.%4."/>
      <w:lvlJc w:val="left"/>
      <w:pPr>
        <w:ind w:left="850" w:hanging="850"/>
      </w:pPr>
      <w:rPr>
        <w:rFonts w:hint="eastAsia"/>
      </w:rPr>
    </w:lvl>
    <w:lvl w:ilvl="4" w:tentative="0">
      <w:start w:val="1"/>
      <w:numFmt w:val="decimal"/>
      <w:isLgl/>
      <w:lvlText w:val="%1.%2.%3.%4.%5."/>
      <w:lvlJc w:val="left"/>
      <w:pPr>
        <w:ind w:left="991" w:hanging="991"/>
      </w:pPr>
      <w:rPr>
        <w:rFonts w:hint="eastAsia"/>
      </w:rPr>
    </w:lvl>
    <w:lvl w:ilvl="5" w:tentative="0">
      <w:start w:val="1"/>
      <w:numFmt w:val="decimal"/>
      <w:isLgl/>
      <w:lvlText w:val="%1.%2.%3.%4.%5.%6."/>
      <w:lvlJc w:val="left"/>
      <w:pPr>
        <w:ind w:left="1134" w:hanging="1134"/>
      </w:pPr>
      <w:rPr>
        <w:rFonts w:hint="eastAsia"/>
      </w:rPr>
    </w:lvl>
    <w:lvl w:ilvl="6" w:tentative="0">
      <w:start w:val="1"/>
      <w:numFmt w:val="decimal"/>
      <w:isLgl/>
      <w:lvlText w:val="%1.%2.%3.%4.%5.%6.%7."/>
      <w:lvlJc w:val="left"/>
      <w:pPr>
        <w:ind w:left="1275" w:hanging="1275"/>
      </w:pPr>
      <w:rPr>
        <w:rFonts w:hint="eastAsia"/>
      </w:rPr>
    </w:lvl>
    <w:lvl w:ilvl="7" w:tentative="0">
      <w:start w:val="1"/>
      <w:numFmt w:val="decimal"/>
      <w:isLgl/>
      <w:lvlText w:val="%1.%2.%3.%4.%5.%6.%7.%8."/>
      <w:lvlJc w:val="left"/>
      <w:pPr>
        <w:ind w:left="1418" w:hanging="1418"/>
      </w:pPr>
      <w:rPr>
        <w:rFonts w:hint="eastAsia"/>
      </w:rPr>
    </w:lvl>
    <w:lvl w:ilvl="8" w:tentative="0">
      <w:start w:val="1"/>
      <w:numFmt w:val="decimal"/>
      <w:isLgl/>
      <w:lvlText w:val="%1.%2.%3.%4.%5.%6.%7.%8.%9."/>
      <w:lvlJc w:val="left"/>
      <w:pPr>
        <w:ind w:left="1558" w:hanging="1558"/>
      </w:pPr>
      <w:rPr>
        <w:rFonts w:hint="eastAsia"/>
      </w:rPr>
    </w:lvl>
  </w:abstractNum>
  <w:num w:numId="1">
    <w:abstractNumId w:val="13"/>
  </w:num>
  <w:num w:numId="2">
    <w:abstractNumId w:val="6"/>
  </w:num>
  <w:num w:numId="3">
    <w:abstractNumId w:val="9"/>
  </w:num>
  <w:num w:numId="4">
    <w:abstractNumId w:val="0"/>
  </w:num>
  <w:num w:numId="5">
    <w:abstractNumId w:val="10"/>
  </w:num>
  <w:num w:numId="6">
    <w:abstractNumId w:val="12"/>
  </w:num>
  <w:num w:numId="7">
    <w:abstractNumId w:val="7"/>
  </w:num>
  <w:num w:numId="8">
    <w:abstractNumId w:val="2"/>
  </w:num>
  <w:num w:numId="9">
    <w:abstractNumId w:val="4"/>
  </w:num>
  <w:num w:numId="10">
    <w:abstractNumId w:val="11"/>
  </w:num>
  <w:num w:numId="11">
    <w:abstractNumId w:val="1"/>
  </w:num>
  <w:num w:numId="12">
    <w:abstractNumId w:val="5"/>
  </w:num>
  <w:num w:numId="13">
    <w:abstractNumId w:val="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doNotUseIndentAsNumberingTabStop/>
    <w:compatSetting w:name="compatibilityMode" w:uri="http://schemas.microsoft.com/office/word" w:val="12"/>
  </w:compat>
  <w:docVars>
    <w:docVar w:name="commondata" w:val="eyJoZGlkIjoiMmMwNjhjYmI1Y2VmY2Q1MGY4YjQ5NjVhZTdlMzNiNzAifQ=="/>
  </w:docVars>
  <w:rsids>
    <w:rsidRoot w:val="584206D9"/>
    <w:rsid w:val="00075D3D"/>
    <w:rsid w:val="000F1D55"/>
    <w:rsid w:val="0014170B"/>
    <w:rsid w:val="001639BD"/>
    <w:rsid w:val="0028638D"/>
    <w:rsid w:val="002D067B"/>
    <w:rsid w:val="0033578C"/>
    <w:rsid w:val="003E57AA"/>
    <w:rsid w:val="00430C7E"/>
    <w:rsid w:val="0066735B"/>
    <w:rsid w:val="006F62D6"/>
    <w:rsid w:val="007F2B42"/>
    <w:rsid w:val="008733F1"/>
    <w:rsid w:val="008F3382"/>
    <w:rsid w:val="00986C21"/>
    <w:rsid w:val="00987A45"/>
    <w:rsid w:val="00A05CC8"/>
    <w:rsid w:val="00A3510C"/>
    <w:rsid w:val="00AB4B29"/>
    <w:rsid w:val="00B9674C"/>
    <w:rsid w:val="00C403F3"/>
    <w:rsid w:val="00D42ADB"/>
    <w:rsid w:val="00E259A9"/>
    <w:rsid w:val="01BE304B"/>
    <w:rsid w:val="01D05FBF"/>
    <w:rsid w:val="02D85221"/>
    <w:rsid w:val="02E40E7C"/>
    <w:rsid w:val="02F56B6D"/>
    <w:rsid w:val="038C592B"/>
    <w:rsid w:val="03B707D2"/>
    <w:rsid w:val="03BE04A1"/>
    <w:rsid w:val="03DA6D91"/>
    <w:rsid w:val="047F1C2A"/>
    <w:rsid w:val="04B43069"/>
    <w:rsid w:val="04CA578E"/>
    <w:rsid w:val="04E92D10"/>
    <w:rsid w:val="056A1C9B"/>
    <w:rsid w:val="05717EA7"/>
    <w:rsid w:val="06103553"/>
    <w:rsid w:val="06672CF0"/>
    <w:rsid w:val="06902DF2"/>
    <w:rsid w:val="076D0C62"/>
    <w:rsid w:val="0775793D"/>
    <w:rsid w:val="07A215D8"/>
    <w:rsid w:val="07C7341F"/>
    <w:rsid w:val="07E6310F"/>
    <w:rsid w:val="08A87EBF"/>
    <w:rsid w:val="08B5322E"/>
    <w:rsid w:val="08E91129"/>
    <w:rsid w:val="0A2A4FB2"/>
    <w:rsid w:val="0A723E34"/>
    <w:rsid w:val="0B6E268F"/>
    <w:rsid w:val="0C2B2E0D"/>
    <w:rsid w:val="0C2C3F4F"/>
    <w:rsid w:val="0C2C5C40"/>
    <w:rsid w:val="0C3D4CD5"/>
    <w:rsid w:val="0C8552A2"/>
    <w:rsid w:val="0C932F04"/>
    <w:rsid w:val="0CDC4886"/>
    <w:rsid w:val="0CF37F7A"/>
    <w:rsid w:val="0D291C87"/>
    <w:rsid w:val="0D3C6255"/>
    <w:rsid w:val="0D997A51"/>
    <w:rsid w:val="0E1008EF"/>
    <w:rsid w:val="0E672254"/>
    <w:rsid w:val="0E7108C1"/>
    <w:rsid w:val="0E8317AA"/>
    <w:rsid w:val="0E8406C4"/>
    <w:rsid w:val="0EB02B7F"/>
    <w:rsid w:val="0F39623B"/>
    <w:rsid w:val="0F836567"/>
    <w:rsid w:val="0FB771F2"/>
    <w:rsid w:val="10056A97"/>
    <w:rsid w:val="107F54F5"/>
    <w:rsid w:val="109A0CCD"/>
    <w:rsid w:val="10F20D97"/>
    <w:rsid w:val="11905FFB"/>
    <w:rsid w:val="11CB6784"/>
    <w:rsid w:val="11E52305"/>
    <w:rsid w:val="120932CD"/>
    <w:rsid w:val="12A4406D"/>
    <w:rsid w:val="12BF3A5C"/>
    <w:rsid w:val="13255391"/>
    <w:rsid w:val="14B37A98"/>
    <w:rsid w:val="14E60C13"/>
    <w:rsid w:val="15266046"/>
    <w:rsid w:val="15383A4F"/>
    <w:rsid w:val="16461969"/>
    <w:rsid w:val="16B442E5"/>
    <w:rsid w:val="16DC0F60"/>
    <w:rsid w:val="17077A93"/>
    <w:rsid w:val="18062DF3"/>
    <w:rsid w:val="182D4DA5"/>
    <w:rsid w:val="19E10609"/>
    <w:rsid w:val="1A073646"/>
    <w:rsid w:val="1A0A078A"/>
    <w:rsid w:val="1A262611"/>
    <w:rsid w:val="1A8365D7"/>
    <w:rsid w:val="1ADF7B50"/>
    <w:rsid w:val="1AF70117"/>
    <w:rsid w:val="1B3775D8"/>
    <w:rsid w:val="1B43438E"/>
    <w:rsid w:val="1BF2334B"/>
    <w:rsid w:val="1C705D72"/>
    <w:rsid w:val="1C7C6E46"/>
    <w:rsid w:val="1CCF6F76"/>
    <w:rsid w:val="1CE51CE4"/>
    <w:rsid w:val="1D2C6515"/>
    <w:rsid w:val="1D601D6E"/>
    <w:rsid w:val="1DBC10B1"/>
    <w:rsid w:val="1EB83A89"/>
    <w:rsid w:val="1EEB1EFA"/>
    <w:rsid w:val="1F8448B3"/>
    <w:rsid w:val="1FDC50EC"/>
    <w:rsid w:val="1FE2157E"/>
    <w:rsid w:val="2004692D"/>
    <w:rsid w:val="20AD684B"/>
    <w:rsid w:val="20C02859"/>
    <w:rsid w:val="20E94B31"/>
    <w:rsid w:val="216F61C4"/>
    <w:rsid w:val="21792C4F"/>
    <w:rsid w:val="217C0935"/>
    <w:rsid w:val="21F52495"/>
    <w:rsid w:val="224701EA"/>
    <w:rsid w:val="227E1DA9"/>
    <w:rsid w:val="22D6555B"/>
    <w:rsid w:val="22DE4CC3"/>
    <w:rsid w:val="2354238D"/>
    <w:rsid w:val="23AD3340"/>
    <w:rsid w:val="23CE7C68"/>
    <w:rsid w:val="23FA2218"/>
    <w:rsid w:val="23FF6B87"/>
    <w:rsid w:val="24A22C09"/>
    <w:rsid w:val="24CE65E2"/>
    <w:rsid w:val="24E809BC"/>
    <w:rsid w:val="24FB13F5"/>
    <w:rsid w:val="25175E9E"/>
    <w:rsid w:val="25410060"/>
    <w:rsid w:val="25626093"/>
    <w:rsid w:val="25B1435A"/>
    <w:rsid w:val="264C58C2"/>
    <w:rsid w:val="268838F8"/>
    <w:rsid w:val="26B008A0"/>
    <w:rsid w:val="26B70586"/>
    <w:rsid w:val="27282760"/>
    <w:rsid w:val="273E5806"/>
    <w:rsid w:val="275A4CD4"/>
    <w:rsid w:val="27EA44F6"/>
    <w:rsid w:val="28AF6537"/>
    <w:rsid w:val="2918256A"/>
    <w:rsid w:val="292375FC"/>
    <w:rsid w:val="29E344D0"/>
    <w:rsid w:val="29E5103E"/>
    <w:rsid w:val="2A426C96"/>
    <w:rsid w:val="2AFC22B2"/>
    <w:rsid w:val="2B7B6396"/>
    <w:rsid w:val="2B9B5E5B"/>
    <w:rsid w:val="2BB34E4D"/>
    <w:rsid w:val="2BFF2B4F"/>
    <w:rsid w:val="2C154511"/>
    <w:rsid w:val="2C4F5D5A"/>
    <w:rsid w:val="2C8E2278"/>
    <w:rsid w:val="2C9B3D7C"/>
    <w:rsid w:val="2D40343F"/>
    <w:rsid w:val="2D992316"/>
    <w:rsid w:val="2E320F45"/>
    <w:rsid w:val="2EB25C4C"/>
    <w:rsid w:val="2ED26821"/>
    <w:rsid w:val="2F0E23C9"/>
    <w:rsid w:val="2F6F0189"/>
    <w:rsid w:val="2FAB6432"/>
    <w:rsid w:val="2FD61D04"/>
    <w:rsid w:val="300761B5"/>
    <w:rsid w:val="30261F51"/>
    <w:rsid w:val="304E725F"/>
    <w:rsid w:val="3118719A"/>
    <w:rsid w:val="312D1C4B"/>
    <w:rsid w:val="31F42B3B"/>
    <w:rsid w:val="32242B1B"/>
    <w:rsid w:val="328275F1"/>
    <w:rsid w:val="328530B0"/>
    <w:rsid w:val="3291236F"/>
    <w:rsid w:val="331C0C27"/>
    <w:rsid w:val="3329059A"/>
    <w:rsid w:val="33B12C20"/>
    <w:rsid w:val="33B35D02"/>
    <w:rsid w:val="34937C85"/>
    <w:rsid w:val="34A54572"/>
    <w:rsid w:val="35326A11"/>
    <w:rsid w:val="358E6A31"/>
    <w:rsid w:val="35ED257C"/>
    <w:rsid w:val="36254F37"/>
    <w:rsid w:val="363561A5"/>
    <w:rsid w:val="36516C43"/>
    <w:rsid w:val="36915898"/>
    <w:rsid w:val="36B725FD"/>
    <w:rsid w:val="36C00642"/>
    <w:rsid w:val="3701705E"/>
    <w:rsid w:val="371D3C4E"/>
    <w:rsid w:val="37397F6D"/>
    <w:rsid w:val="376400EB"/>
    <w:rsid w:val="38813177"/>
    <w:rsid w:val="389142F6"/>
    <w:rsid w:val="38A108DD"/>
    <w:rsid w:val="38DA7333"/>
    <w:rsid w:val="39C451D0"/>
    <w:rsid w:val="39DD68C3"/>
    <w:rsid w:val="3A130C63"/>
    <w:rsid w:val="3B664F48"/>
    <w:rsid w:val="3B6C58C2"/>
    <w:rsid w:val="3B871D07"/>
    <w:rsid w:val="3CD76F0F"/>
    <w:rsid w:val="3DD020EB"/>
    <w:rsid w:val="3E321199"/>
    <w:rsid w:val="3E382184"/>
    <w:rsid w:val="3EB731AD"/>
    <w:rsid w:val="3F4C79EE"/>
    <w:rsid w:val="3FE92330"/>
    <w:rsid w:val="406E1D98"/>
    <w:rsid w:val="4080191E"/>
    <w:rsid w:val="41591D0C"/>
    <w:rsid w:val="415F28CA"/>
    <w:rsid w:val="427159DF"/>
    <w:rsid w:val="42E63DC8"/>
    <w:rsid w:val="42F6783F"/>
    <w:rsid w:val="431C4996"/>
    <w:rsid w:val="43AB11D8"/>
    <w:rsid w:val="43BE41C3"/>
    <w:rsid w:val="43F0019B"/>
    <w:rsid w:val="43F26F5A"/>
    <w:rsid w:val="444B2492"/>
    <w:rsid w:val="445175A7"/>
    <w:rsid w:val="44605484"/>
    <w:rsid w:val="451F217B"/>
    <w:rsid w:val="452E517F"/>
    <w:rsid w:val="454F0D5F"/>
    <w:rsid w:val="45BA798A"/>
    <w:rsid w:val="4607345B"/>
    <w:rsid w:val="460B5432"/>
    <w:rsid w:val="462036CB"/>
    <w:rsid w:val="46364304"/>
    <w:rsid w:val="464F74AA"/>
    <w:rsid w:val="46655313"/>
    <w:rsid w:val="46862412"/>
    <w:rsid w:val="473E4DDE"/>
    <w:rsid w:val="47BC75A3"/>
    <w:rsid w:val="480F310F"/>
    <w:rsid w:val="48403B78"/>
    <w:rsid w:val="486331E2"/>
    <w:rsid w:val="48C42491"/>
    <w:rsid w:val="49396F88"/>
    <w:rsid w:val="494C146E"/>
    <w:rsid w:val="49C23E9C"/>
    <w:rsid w:val="49F51F59"/>
    <w:rsid w:val="4A0C2AAE"/>
    <w:rsid w:val="4A691BEC"/>
    <w:rsid w:val="4AC444E1"/>
    <w:rsid w:val="4AED22D7"/>
    <w:rsid w:val="4B0A7FE7"/>
    <w:rsid w:val="4B3D315E"/>
    <w:rsid w:val="4B7A5635"/>
    <w:rsid w:val="4BA76B46"/>
    <w:rsid w:val="4BA91A77"/>
    <w:rsid w:val="4BD3123A"/>
    <w:rsid w:val="4C66231F"/>
    <w:rsid w:val="4C8A2398"/>
    <w:rsid w:val="4CC06A27"/>
    <w:rsid w:val="4CD22E4D"/>
    <w:rsid w:val="4CF40BC7"/>
    <w:rsid w:val="4DBB689B"/>
    <w:rsid w:val="4E2A2A87"/>
    <w:rsid w:val="4E545770"/>
    <w:rsid w:val="4F3B4452"/>
    <w:rsid w:val="51194FDB"/>
    <w:rsid w:val="513E0BD0"/>
    <w:rsid w:val="51592C1C"/>
    <w:rsid w:val="51846837"/>
    <w:rsid w:val="51931E74"/>
    <w:rsid w:val="51A60F32"/>
    <w:rsid w:val="51D60369"/>
    <w:rsid w:val="52AB0ADC"/>
    <w:rsid w:val="52BA12F8"/>
    <w:rsid w:val="53146370"/>
    <w:rsid w:val="53F00704"/>
    <w:rsid w:val="5454111A"/>
    <w:rsid w:val="54664747"/>
    <w:rsid w:val="54A7274C"/>
    <w:rsid w:val="55376F27"/>
    <w:rsid w:val="553E3994"/>
    <w:rsid w:val="554E53C5"/>
    <w:rsid w:val="55527FE5"/>
    <w:rsid w:val="55A206D9"/>
    <w:rsid w:val="55DB6DD3"/>
    <w:rsid w:val="567A2A75"/>
    <w:rsid w:val="56C154A3"/>
    <w:rsid w:val="56CD6F74"/>
    <w:rsid w:val="56DF699E"/>
    <w:rsid w:val="56E044EC"/>
    <w:rsid w:val="56ED7F0E"/>
    <w:rsid w:val="5709694E"/>
    <w:rsid w:val="57216F38"/>
    <w:rsid w:val="57292E78"/>
    <w:rsid w:val="572C48AA"/>
    <w:rsid w:val="57A34698"/>
    <w:rsid w:val="57BB010E"/>
    <w:rsid w:val="57C06E93"/>
    <w:rsid w:val="57E73733"/>
    <w:rsid w:val="584206D9"/>
    <w:rsid w:val="58A170DE"/>
    <w:rsid w:val="58D81BED"/>
    <w:rsid w:val="59B1109A"/>
    <w:rsid w:val="5A351FB9"/>
    <w:rsid w:val="5A9E4F76"/>
    <w:rsid w:val="5AB62B17"/>
    <w:rsid w:val="5B0238B0"/>
    <w:rsid w:val="5B0628B4"/>
    <w:rsid w:val="5B711FA4"/>
    <w:rsid w:val="5C2B14EB"/>
    <w:rsid w:val="5CD22CC8"/>
    <w:rsid w:val="5D465377"/>
    <w:rsid w:val="5DB762C0"/>
    <w:rsid w:val="5DC0372F"/>
    <w:rsid w:val="5DEF5FAD"/>
    <w:rsid w:val="5E3C41B7"/>
    <w:rsid w:val="5E5563C9"/>
    <w:rsid w:val="5E604E0C"/>
    <w:rsid w:val="5ECF23E1"/>
    <w:rsid w:val="5F033F15"/>
    <w:rsid w:val="5F293F57"/>
    <w:rsid w:val="5F7D4E73"/>
    <w:rsid w:val="5FD3725A"/>
    <w:rsid w:val="60932515"/>
    <w:rsid w:val="60ED29D5"/>
    <w:rsid w:val="613D280D"/>
    <w:rsid w:val="61835F8F"/>
    <w:rsid w:val="61CB0541"/>
    <w:rsid w:val="6204012A"/>
    <w:rsid w:val="62364310"/>
    <w:rsid w:val="625E60A3"/>
    <w:rsid w:val="62C7450D"/>
    <w:rsid w:val="62F51654"/>
    <w:rsid w:val="63AB7B39"/>
    <w:rsid w:val="63FD240D"/>
    <w:rsid w:val="64EF5E00"/>
    <w:rsid w:val="65773CE5"/>
    <w:rsid w:val="658114EF"/>
    <w:rsid w:val="65EE286C"/>
    <w:rsid w:val="661004B6"/>
    <w:rsid w:val="664646BF"/>
    <w:rsid w:val="66846F11"/>
    <w:rsid w:val="669D3D8D"/>
    <w:rsid w:val="66D66FBB"/>
    <w:rsid w:val="66EB63FF"/>
    <w:rsid w:val="673E030E"/>
    <w:rsid w:val="6758004C"/>
    <w:rsid w:val="675F7326"/>
    <w:rsid w:val="677E1CD3"/>
    <w:rsid w:val="67CE0D8B"/>
    <w:rsid w:val="67CE75E6"/>
    <w:rsid w:val="67E01D51"/>
    <w:rsid w:val="68490412"/>
    <w:rsid w:val="686862EF"/>
    <w:rsid w:val="6880007B"/>
    <w:rsid w:val="688D555A"/>
    <w:rsid w:val="68C53F3C"/>
    <w:rsid w:val="68DE005B"/>
    <w:rsid w:val="690216E9"/>
    <w:rsid w:val="698E07D2"/>
    <w:rsid w:val="69B00377"/>
    <w:rsid w:val="6A1B6FBA"/>
    <w:rsid w:val="6A635C1D"/>
    <w:rsid w:val="6A7C1FB6"/>
    <w:rsid w:val="6A87562C"/>
    <w:rsid w:val="6AE8360C"/>
    <w:rsid w:val="6B124829"/>
    <w:rsid w:val="6B396CA1"/>
    <w:rsid w:val="6B4F5D3F"/>
    <w:rsid w:val="6B7E2327"/>
    <w:rsid w:val="6BC32E57"/>
    <w:rsid w:val="6C5023E9"/>
    <w:rsid w:val="6C8A6D84"/>
    <w:rsid w:val="6C8F54E2"/>
    <w:rsid w:val="6C91774D"/>
    <w:rsid w:val="6CD471EE"/>
    <w:rsid w:val="6CD72DB8"/>
    <w:rsid w:val="6CFE6885"/>
    <w:rsid w:val="6D162A08"/>
    <w:rsid w:val="6D476AB0"/>
    <w:rsid w:val="6D6830E8"/>
    <w:rsid w:val="6D6E10D4"/>
    <w:rsid w:val="6D6E4C77"/>
    <w:rsid w:val="6DBF1FC5"/>
    <w:rsid w:val="6DDB7927"/>
    <w:rsid w:val="6DF80167"/>
    <w:rsid w:val="6E2B5795"/>
    <w:rsid w:val="6E2F1CE9"/>
    <w:rsid w:val="6E652F74"/>
    <w:rsid w:val="6E805F08"/>
    <w:rsid w:val="6EBC4974"/>
    <w:rsid w:val="6F3C384D"/>
    <w:rsid w:val="6FB40596"/>
    <w:rsid w:val="6FDA55DA"/>
    <w:rsid w:val="707969B2"/>
    <w:rsid w:val="70D83FCF"/>
    <w:rsid w:val="711C56A5"/>
    <w:rsid w:val="71255AF9"/>
    <w:rsid w:val="71982F09"/>
    <w:rsid w:val="719E25CC"/>
    <w:rsid w:val="726F0391"/>
    <w:rsid w:val="72840E99"/>
    <w:rsid w:val="72C664D9"/>
    <w:rsid w:val="73755AD2"/>
    <w:rsid w:val="740F1F68"/>
    <w:rsid w:val="74960FBC"/>
    <w:rsid w:val="74C937A9"/>
    <w:rsid w:val="750B33AD"/>
    <w:rsid w:val="75D25EEA"/>
    <w:rsid w:val="767B7698"/>
    <w:rsid w:val="76BE5EBE"/>
    <w:rsid w:val="76DE441B"/>
    <w:rsid w:val="77495D38"/>
    <w:rsid w:val="77AE29E4"/>
    <w:rsid w:val="77BE2DE1"/>
    <w:rsid w:val="782F13E2"/>
    <w:rsid w:val="78540426"/>
    <w:rsid w:val="785D238A"/>
    <w:rsid w:val="79211D20"/>
    <w:rsid w:val="794A4F58"/>
    <w:rsid w:val="79AE6327"/>
    <w:rsid w:val="7A274CFC"/>
    <w:rsid w:val="7A6B4029"/>
    <w:rsid w:val="7A791E89"/>
    <w:rsid w:val="7A83235F"/>
    <w:rsid w:val="7AF31D93"/>
    <w:rsid w:val="7B355FCF"/>
    <w:rsid w:val="7B6E1588"/>
    <w:rsid w:val="7B93368F"/>
    <w:rsid w:val="7BD127D8"/>
    <w:rsid w:val="7BE64A91"/>
    <w:rsid w:val="7C4A62B8"/>
    <w:rsid w:val="7C5825DA"/>
    <w:rsid w:val="7CFB5F41"/>
    <w:rsid w:val="7D23034C"/>
    <w:rsid w:val="7D371FA2"/>
    <w:rsid w:val="7E2E3984"/>
    <w:rsid w:val="7E3C48DE"/>
    <w:rsid w:val="7E3D0FC8"/>
    <w:rsid w:val="7E410598"/>
    <w:rsid w:val="7F1135E0"/>
    <w:rsid w:val="7F63170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line="560" w:lineRule="exact"/>
      <w:ind w:firstLine="602" w:firstLineChars="200"/>
      <w:jc w:val="both"/>
    </w:pPr>
    <w:rPr>
      <w:rFonts w:ascii="Times New Roman" w:hAnsi="Times New Roman" w:eastAsia="仿宋" w:cstheme="minorBidi"/>
      <w:kern w:val="2"/>
      <w:sz w:val="32"/>
      <w:szCs w:val="24"/>
      <w:lang w:val="en-US" w:eastAsia="zh-CN" w:bidi="ar-SA"/>
    </w:rPr>
  </w:style>
  <w:style w:type="paragraph" w:styleId="3">
    <w:name w:val="heading 1"/>
    <w:basedOn w:val="4"/>
    <w:next w:val="1"/>
    <w:qFormat/>
    <w:uiPriority w:val="0"/>
    <w:pPr>
      <w:keepNext/>
      <w:keepLines/>
      <w:ind w:firstLine="0" w:firstLineChars="0"/>
      <w:jc w:val="both"/>
    </w:pPr>
    <w:rPr>
      <w:rFonts w:ascii="Times New Roman" w:hAnsi="Times New Roman" w:eastAsia="黑体"/>
      <w:b w:val="0"/>
      <w:kern w:val="44"/>
    </w:rPr>
  </w:style>
  <w:style w:type="paragraph" w:styleId="5">
    <w:name w:val="heading 2"/>
    <w:basedOn w:val="1"/>
    <w:next w:val="1"/>
    <w:unhideWhenUsed/>
    <w:qFormat/>
    <w:uiPriority w:val="0"/>
    <w:pPr>
      <w:keepNext/>
      <w:keepLines/>
      <w:ind w:firstLine="0" w:firstLineChars="0"/>
      <w:outlineLvl w:val="1"/>
    </w:pPr>
    <w:rPr>
      <w:rFonts w:eastAsia="楷体"/>
    </w:rPr>
  </w:style>
  <w:style w:type="paragraph" w:styleId="6">
    <w:name w:val="heading 3"/>
    <w:basedOn w:val="1"/>
    <w:next w:val="1"/>
    <w:unhideWhenUsed/>
    <w:qFormat/>
    <w:uiPriority w:val="0"/>
    <w:pPr>
      <w:keepNext/>
      <w:keepLines/>
      <w:ind w:firstLine="0" w:firstLineChars="0"/>
      <w:outlineLvl w:val="2"/>
    </w:pPr>
  </w:style>
  <w:style w:type="paragraph" w:styleId="7">
    <w:name w:val="heading 4"/>
    <w:basedOn w:val="6"/>
    <w:next w:val="1"/>
    <w:link w:val="32"/>
    <w:unhideWhenUsed/>
    <w:qFormat/>
    <w:uiPriority w:val="0"/>
    <w:pPr>
      <w:ind w:firstLine="602" w:firstLineChars="200"/>
      <w:outlineLvl w:val="3"/>
    </w:pPr>
  </w:style>
  <w:style w:type="paragraph" w:styleId="8">
    <w:name w:val="heading 5"/>
    <w:basedOn w:val="1"/>
    <w:next w:val="1"/>
    <w:semiHidden/>
    <w:unhideWhenUsed/>
    <w:qFormat/>
    <w:uiPriority w:val="0"/>
    <w:pPr>
      <w:keepNext/>
      <w:keepLines/>
      <w:spacing w:before="280" w:after="290" w:line="372" w:lineRule="auto"/>
      <w:outlineLvl w:val="4"/>
    </w:pPr>
    <w:rPr>
      <w:b/>
      <w:sz w:val="28"/>
    </w:rPr>
  </w:style>
  <w:style w:type="paragraph" w:styleId="9">
    <w:name w:val="heading 6"/>
    <w:basedOn w:val="10"/>
    <w:next w:val="1"/>
    <w:unhideWhenUsed/>
    <w:qFormat/>
    <w:uiPriority w:val="9"/>
    <w:pPr>
      <w:outlineLvl w:val="5"/>
    </w:pPr>
    <w:rPr>
      <w:rFonts w:cs="Times New Roman"/>
      <w:color w:val="auto"/>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napToGrid/>
      <w:spacing w:after="120" w:line="240" w:lineRule="auto"/>
      <w:ind w:firstLine="0"/>
    </w:pPr>
    <w:rPr>
      <w:rFonts w:eastAsia="宋体"/>
      <w:sz w:val="21"/>
    </w:rPr>
  </w:style>
  <w:style w:type="paragraph" w:styleId="4">
    <w:name w:val="Title"/>
    <w:basedOn w:val="1"/>
    <w:qFormat/>
    <w:uiPriority w:val="0"/>
    <w:pPr>
      <w:spacing w:before="240" w:after="60"/>
      <w:jc w:val="center"/>
      <w:outlineLvl w:val="0"/>
    </w:pPr>
    <w:rPr>
      <w:rFonts w:ascii="Arial" w:hAnsi="Arial"/>
      <w:b/>
    </w:rPr>
  </w:style>
  <w:style w:type="paragraph" w:customStyle="1" w:styleId="10">
    <w:name w:val="图片、表头"/>
    <w:qFormat/>
    <w:uiPriority w:val="0"/>
    <w:pPr>
      <w:adjustRightInd w:val="0"/>
      <w:jc w:val="center"/>
    </w:pPr>
    <w:rPr>
      <w:rFonts w:ascii="Times New Roman" w:hAnsi="Times New Roman" w:eastAsia="仿宋" w:cstheme="minorBidi"/>
      <w:b/>
      <w:color w:val="000000"/>
      <w:kern w:val="2"/>
      <w:sz w:val="24"/>
      <w:szCs w:val="28"/>
      <w:lang w:val="en-US" w:eastAsia="zh-CN" w:bidi="ar-SA"/>
    </w:rPr>
  </w:style>
  <w:style w:type="paragraph" w:styleId="11">
    <w:name w:val="annotation text"/>
    <w:basedOn w:val="1"/>
    <w:qFormat/>
    <w:uiPriority w:val="0"/>
    <w:pPr>
      <w:jc w:val="left"/>
    </w:pPr>
  </w:style>
  <w:style w:type="paragraph" w:styleId="12">
    <w:name w:val="Body Text Indent"/>
    <w:basedOn w:val="1"/>
    <w:qFormat/>
    <w:uiPriority w:val="0"/>
    <w:pPr>
      <w:spacing w:after="120"/>
      <w:ind w:left="420" w:leftChars="200"/>
    </w:pPr>
  </w:style>
  <w:style w:type="paragraph" w:styleId="13">
    <w:name w:val="toc 3"/>
    <w:basedOn w:val="1"/>
    <w:next w:val="1"/>
    <w:qFormat/>
    <w:uiPriority w:val="0"/>
    <w:pPr>
      <w:ind w:left="840" w:leftChars="400"/>
    </w:pPr>
  </w:style>
  <w:style w:type="paragraph" w:styleId="14">
    <w:name w:val="Balloon Text"/>
    <w:basedOn w:val="1"/>
    <w:link w:val="36"/>
    <w:qFormat/>
    <w:uiPriority w:val="0"/>
    <w:pPr>
      <w:spacing w:line="240" w:lineRule="auto"/>
    </w:pPr>
    <w:rPr>
      <w:sz w:val="18"/>
      <w:szCs w:val="18"/>
    </w:rPr>
  </w:style>
  <w:style w:type="paragraph" w:styleId="15">
    <w:name w:val="footer"/>
    <w:basedOn w:val="1"/>
    <w:qFormat/>
    <w:uiPriority w:val="0"/>
    <w:pPr>
      <w:tabs>
        <w:tab w:val="center" w:pos="4153"/>
        <w:tab w:val="right" w:pos="8306"/>
      </w:tabs>
      <w:jc w:val="left"/>
    </w:pPr>
    <w:rPr>
      <w:sz w:val="18"/>
    </w:rPr>
  </w:style>
  <w:style w:type="paragraph" w:styleId="1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pacing w:line="240" w:lineRule="auto"/>
    </w:pPr>
    <w:rPr>
      <w:sz w:val="18"/>
    </w:rPr>
  </w:style>
  <w:style w:type="paragraph" w:styleId="17">
    <w:name w:val="toc 1"/>
    <w:basedOn w:val="1"/>
    <w:next w:val="1"/>
    <w:qFormat/>
    <w:uiPriority w:val="0"/>
  </w:style>
  <w:style w:type="paragraph" w:styleId="18">
    <w:name w:val="toc 2"/>
    <w:basedOn w:val="1"/>
    <w:next w:val="1"/>
    <w:qFormat/>
    <w:uiPriority w:val="0"/>
    <w:pPr>
      <w:ind w:left="420" w:leftChars="200"/>
    </w:pPr>
  </w:style>
  <w:style w:type="paragraph" w:styleId="19">
    <w:name w:val="Body Text First Indent 2"/>
    <w:basedOn w:val="12"/>
    <w:qFormat/>
    <w:uiPriority w:val="0"/>
    <w:pPr>
      <w:ind w:firstLine="420"/>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basedOn w:val="22"/>
    <w:qFormat/>
    <w:uiPriority w:val="0"/>
    <w:rPr>
      <w:b/>
    </w:rPr>
  </w:style>
  <w:style w:type="character" w:styleId="24">
    <w:name w:val="page number"/>
    <w:qFormat/>
    <w:uiPriority w:val="0"/>
  </w:style>
  <w:style w:type="character" w:styleId="25">
    <w:name w:val="annotation reference"/>
    <w:basedOn w:val="22"/>
    <w:qFormat/>
    <w:uiPriority w:val="0"/>
    <w:rPr>
      <w:sz w:val="21"/>
      <w:szCs w:val="21"/>
    </w:rPr>
  </w:style>
  <w:style w:type="paragraph" w:customStyle="1" w:styleId="26">
    <w:name w:val="样式1"/>
    <w:basedOn w:val="8"/>
    <w:next w:val="1"/>
    <w:qFormat/>
    <w:uiPriority w:val="0"/>
    <w:pPr>
      <w:spacing w:line="240" w:lineRule="auto"/>
      <w:ind w:firstLine="0" w:firstLineChars="0"/>
      <w:jc w:val="center"/>
    </w:pPr>
    <w:rPr>
      <w:rFonts w:hint="eastAsia"/>
      <w:sz w:val="24"/>
    </w:rPr>
  </w:style>
  <w:style w:type="paragraph" w:customStyle="1" w:styleId="27">
    <w:name w:val="标题5"/>
    <w:basedOn w:val="8"/>
    <w:next w:val="1"/>
    <w:qFormat/>
    <w:uiPriority w:val="0"/>
    <w:pPr>
      <w:spacing w:line="240" w:lineRule="auto"/>
      <w:ind w:firstLine="0" w:firstLineChars="0"/>
      <w:jc w:val="center"/>
    </w:pPr>
    <w:rPr>
      <w:rFonts w:hint="eastAsia"/>
      <w:sz w:val="24"/>
    </w:rPr>
  </w:style>
  <w:style w:type="paragraph" w:customStyle="1" w:styleId="28">
    <w:name w:val="表中文字"/>
    <w:basedOn w:val="1"/>
    <w:qFormat/>
    <w:uiPriority w:val="0"/>
    <w:pPr>
      <w:spacing w:line="240" w:lineRule="auto"/>
      <w:ind w:firstLine="0" w:firstLineChars="0"/>
      <w:jc w:val="center"/>
    </w:pPr>
    <w:rPr>
      <w:rFonts w:hint="eastAsia"/>
      <w:sz w:val="24"/>
    </w:rPr>
  </w:style>
  <w:style w:type="paragraph" w:styleId="29">
    <w:name w:val="List Paragraph"/>
    <w:basedOn w:val="1"/>
    <w:qFormat/>
    <w:uiPriority w:val="34"/>
    <w:pPr>
      <w:ind w:firstLine="420"/>
    </w:pPr>
  </w:style>
  <w:style w:type="character" w:customStyle="1" w:styleId="30">
    <w:name w:val="font01"/>
    <w:basedOn w:val="22"/>
    <w:qFormat/>
    <w:uiPriority w:val="0"/>
    <w:rPr>
      <w:rFonts w:hint="eastAsia" w:ascii="宋体" w:hAnsi="宋体" w:eastAsia="宋体" w:cs="宋体"/>
      <w:color w:val="000000"/>
      <w:sz w:val="22"/>
      <w:szCs w:val="22"/>
      <w:u w:val="none"/>
    </w:rPr>
  </w:style>
  <w:style w:type="character" w:customStyle="1" w:styleId="31">
    <w:name w:val="font21"/>
    <w:basedOn w:val="22"/>
    <w:qFormat/>
    <w:uiPriority w:val="0"/>
    <w:rPr>
      <w:rFonts w:hint="eastAsia" w:ascii="宋体" w:hAnsi="宋体" w:eastAsia="宋体" w:cs="宋体"/>
      <w:color w:val="000000"/>
      <w:sz w:val="22"/>
      <w:szCs w:val="22"/>
      <w:u w:val="none"/>
      <w:vertAlign w:val="superscript"/>
    </w:rPr>
  </w:style>
  <w:style w:type="character" w:customStyle="1" w:styleId="32">
    <w:name w:val="标题 4 Char"/>
    <w:link w:val="7"/>
    <w:qFormat/>
    <w:uiPriority w:val="0"/>
    <w:rPr>
      <w:rFonts w:ascii="Times New Roman" w:hAnsi="Times New Roman" w:eastAsia="仿宋"/>
      <w:b/>
    </w:rPr>
  </w:style>
  <w:style w:type="paragraph" w:customStyle="1" w:styleId="33">
    <w:name w:val="表格正文"/>
    <w:basedOn w:val="1"/>
    <w:qFormat/>
    <w:uiPriority w:val="0"/>
    <w:pPr>
      <w:spacing w:line="360" w:lineRule="exact"/>
      <w:jc w:val="center"/>
    </w:pPr>
    <w:rPr>
      <w:rFonts w:eastAsia="仿宋_GB2312" w:cs="Times New Roman"/>
      <w:kern w:val="0"/>
      <w:szCs w:val="21"/>
    </w:rPr>
  </w:style>
  <w:style w:type="paragraph" w:customStyle="1" w:styleId="34">
    <w:name w:val="标题1"/>
    <w:basedOn w:val="1"/>
    <w:next w:val="1"/>
    <w:qFormat/>
    <w:uiPriority w:val="0"/>
    <w:pPr>
      <w:tabs>
        <w:tab w:val="left" w:pos="9193"/>
        <w:tab w:val="left" w:pos="9827"/>
      </w:tabs>
      <w:spacing w:line="640" w:lineRule="atLeast"/>
      <w:ind w:firstLine="0"/>
      <w:jc w:val="center"/>
    </w:pPr>
    <w:rPr>
      <w:rFonts w:eastAsia="方正小标宋_GBK"/>
      <w:sz w:val="44"/>
    </w:rPr>
  </w:style>
  <w:style w:type="paragraph" w:customStyle="1" w:styleId="35">
    <w:name w:val="附件栏"/>
    <w:basedOn w:val="1"/>
    <w:qFormat/>
    <w:uiPriority w:val="0"/>
  </w:style>
  <w:style w:type="character" w:customStyle="1" w:styleId="36">
    <w:name w:val="批注框文本 Char"/>
    <w:basedOn w:val="22"/>
    <w:link w:val="14"/>
    <w:qFormat/>
    <w:uiPriority w:val="0"/>
    <w:rPr>
      <w:rFonts w:eastAsia="仿宋"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footnotes" Target="footnotes.xml"/><Relationship Id="rId29" Type="http://schemas.openxmlformats.org/officeDocument/2006/relationships/image" Target="media/image14.png"/><Relationship Id="rId28" Type="http://schemas.openxmlformats.org/officeDocument/2006/relationships/image" Target="media/image13.png"/><Relationship Id="rId27" Type="http://schemas.openxmlformats.org/officeDocument/2006/relationships/image" Target="media/image12.png"/><Relationship Id="rId26" Type="http://schemas.openxmlformats.org/officeDocument/2006/relationships/image" Target="media/image11.png"/><Relationship Id="rId25" Type="http://schemas.openxmlformats.org/officeDocument/2006/relationships/image" Target="media/image10.png"/><Relationship Id="rId24" Type="http://schemas.openxmlformats.org/officeDocument/2006/relationships/image" Target="media/image9.png"/><Relationship Id="rId23" Type="http://schemas.openxmlformats.org/officeDocument/2006/relationships/image" Target="media/image8.png"/><Relationship Id="rId22" Type="http://schemas.openxmlformats.org/officeDocument/2006/relationships/image" Target="media/image7.png"/><Relationship Id="rId21" Type="http://schemas.openxmlformats.org/officeDocument/2006/relationships/image" Target="media/image6.png"/><Relationship Id="rId20" Type="http://schemas.openxmlformats.org/officeDocument/2006/relationships/image" Target="media/image5.png"/><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50"/>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102</Pages>
  <Words>6406</Words>
  <Characters>7476</Characters>
  <Lines>393</Lines>
  <Paragraphs>110</Paragraphs>
  <TotalTime>443</TotalTime>
  <ScaleCrop>false</ScaleCrop>
  <LinksUpToDate>false</LinksUpToDate>
  <CharactersWithSpaces>7825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2023-05-16T06:16:00Z</dcterms:created>
  <dc:creator>许小路</dc:creator>
  <cp:lastModifiedBy>寻找幸福的丫头</cp:lastModifiedBy>
  <cp:lastPrinted>2023-10-18T06:45:00Z</cp:lastPrinted>
  <dcterms:modified xsi:type="dcterms:W3CDTF">2026-01-27T03:34:57Z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D5B8FBD5E4314BB5B9E53F5CC33D143F_13</vt:lpwstr>
  </property>
  <property fmtid="{D5CDD505-2E9C-101B-9397-08002B2CF9AE}" pid="4" name="KSOTemplateDocerSaveRecord">
    <vt:lpwstr>eyJoZGlkIjoiYmI1M2NmOGI2YWRiNTU5NGQxMjk1Njc1YTZmZjhjOWMiLCJ1c2VySWQiOiIyMTc4ODk1MzkifQ==</vt:lpwstr>
  </property>
</Properties>
</file>