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817480">
      <w:pPr>
        <w:spacing w:line="400" w:lineRule="exact"/>
        <w:jc w:val="center"/>
        <w:outlineLvl w:val="2"/>
        <w:rPr>
          <w:rFonts w:ascii="Times New Roman" w:hAnsi="Times New Roman" w:eastAsia="华文中宋"/>
          <w:b/>
          <w:bCs/>
          <w:color w:val="000000" w:themeColor="text1"/>
          <w:sz w:val="32"/>
          <w:szCs w:val="32"/>
          <w14:textFill>
            <w14:solidFill>
              <w14:schemeClr w14:val="tx1"/>
            </w14:solidFill>
          </w14:textFill>
        </w:rPr>
      </w:pPr>
      <w:r>
        <w:rPr>
          <w:rFonts w:ascii="Times New Roman" w:hAnsi="Times New Roman" w:eastAsia="华文中宋"/>
          <w:b/>
          <w:bCs/>
          <w:color w:val="000000" w:themeColor="text1"/>
          <w:sz w:val="32"/>
          <w:szCs w:val="32"/>
          <w14:textFill>
            <w14:solidFill>
              <w14:schemeClr w14:val="tx1"/>
            </w14:solidFill>
          </w14:textFill>
        </w:rPr>
        <w:t>中华人民共和国国务院令</w:t>
      </w:r>
    </w:p>
    <w:p w14:paraId="2F5F1171">
      <w:pPr>
        <w:spacing w:line="320" w:lineRule="exact"/>
        <w:jc w:val="center"/>
        <w:outlineLvl w:val="3"/>
        <w:rPr>
          <w:rFonts w:ascii="Times New Roman" w:hAnsi="Times New Roman" w:eastAsia="华文楷体"/>
          <w:color w:val="000000" w:themeColor="text1"/>
          <w:szCs w:val="21"/>
          <w14:textFill>
            <w14:solidFill>
              <w14:schemeClr w14:val="tx1"/>
            </w14:solidFill>
          </w14:textFill>
        </w:rPr>
      </w:pPr>
      <w:r>
        <w:rPr>
          <w:rFonts w:ascii="Times New Roman" w:hAnsi="Times New Roman" w:eastAsia="华文楷体"/>
          <w:color w:val="000000" w:themeColor="text1"/>
          <w:szCs w:val="21"/>
          <w14:textFill>
            <w14:solidFill>
              <w14:schemeClr w14:val="tx1"/>
            </w14:solidFill>
          </w14:textFill>
        </w:rPr>
        <w:t>第423号</w:t>
      </w:r>
    </w:p>
    <w:p w14:paraId="6D2CE5B4">
      <w:pPr>
        <w:spacing w:line="320" w:lineRule="exact"/>
        <w:rPr>
          <w:rFonts w:ascii="Times New Roman" w:hAnsi="Times New Roman"/>
          <w:color w:val="000000" w:themeColor="text1"/>
          <w:szCs w:val="21"/>
          <w14:textFill>
            <w14:solidFill>
              <w14:schemeClr w14:val="tx1"/>
            </w14:solidFill>
          </w14:textFill>
        </w:rPr>
      </w:pPr>
    </w:p>
    <w:p w14:paraId="6E75196F">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《劳动保障监察条例》已经2004年10月26日国务院第68次常务会议通过，现予公布，自2004年12月1日起施行。</w:t>
      </w:r>
    </w:p>
    <w:p w14:paraId="1D5D98A9">
      <w:pPr>
        <w:spacing w:line="320" w:lineRule="exact"/>
        <w:ind w:firstLine="3780" w:firstLineChars="1800"/>
        <w:jc w:val="center"/>
        <w:rPr>
          <w:rFonts w:ascii="Times New Roman" w:hAnsi="Times New Roman"/>
          <w:color w:val="000000" w:themeColor="text1"/>
          <w:szCs w:val="21"/>
          <w14:textFill>
            <w14:solidFill>
              <w14:schemeClr w14:val="tx1"/>
            </w14:solidFill>
          </w14:textFill>
        </w:rPr>
      </w:pPr>
    </w:p>
    <w:p w14:paraId="2AB63D13">
      <w:pPr>
        <w:spacing w:line="320" w:lineRule="exact"/>
        <w:ind w:firstLine="4200" w:firstLineChars="2000"/>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 xml:space="preserve">总 </w:t>
      </w:r>
      <w:r>
        <w:rPr>
          <w:rFonts w:hint="eastAsia" w:ascii="Times New Roman" w:hAnsi="Times New Roman"/>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 xml:space="preserve">理 </w:t>
      </w:r>
      <w:r>
        <w:rPr>
          <w:rFonts w:hint="eastAsia" w:ascii="Times New Roman" w:hAnsi="Times New Roman"/>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温家宝</w:t>
      </w:r>
    </w:p>
    <w:p w14:paraId="2C51C5CA">
      <w:pPr>
        <w:spacing w:line="320" w:lineRule="exact"/>
        <w:ind w:firstLine="4200" w:firstLineChars="2000"/>
        <w:jc w:val="center"/>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2004年11月1日</w:t>
      </w:r>
    </w:p>
    <w:p w14:paraId="581D9F96">
      <w:pPr>
        <w:spacing w:line="320" w:lineRule="exact"/>
        <w:rPr>
          <w:rFonts w:ascii="Times New Roman" w:hAnsi="Times New Roman"/>
          <w:color w:val="000000" w:themeColor="text1"/>
          <w:szCs w:val="21"/>
          <w14:textFill>
            <w14:solidFill>
              <w14:schemeClr w14:val="tx1"/>
            </w14:solidFill>
          </w14:textFill>
        </w:rPr>
      </w:pPr>
    </w:p>
    <w:p w14:paraId="03802918">
      <w:pPr>
        <w:pStyle w:val="2"/>
        <w:spacing w:line="320" w:lineRule="exact"/>
        <w:rPr>
          <w:sz w:val="21"/>
          <w:szCs w:val="21"/>
        </w:rPr>
      </w:pPr>
    </w:p>
    <w:p w14:paraId="66B52AE6">
      <w:pPr>
        <w:spacing w:line="400" w:lineRule="exact"/>
        <w:jc w:val="center"/>
        <w:rPr>
          <w:rFonts w:ascii="Times New Roman" w:hAnsi="Times New Roman" w:eastAsia="华文中宋"/>
          <w:b/>
          <w:bCs/>
          <w:color w:val="000000" w:themeColor="text1"/>
          <w:sz w:val="32"/>
          <w:szCs w:val="32"/>
          <w14:textFill>
            <w14:solidFill>
              <w14:schemeClr w14:val="tx1"/>
            </w14:solidFill>
          </w14:textFill>
        </w:rPr>
      </w:pPr>
      <w:bookmarkStart w:id="0" w:name="_GoBack"/>
      <w:r>
        <w:rPr>
          <w:rFonts w:ascii="Times New Roman" w:hAnsi="Times New Roman" w:eastAsia="华文中宋"/>
          <w:b/>
          <w:bCs/>
          <w:color w:val="000000" w:themeColor="text1"/>
          <w:sz w:val="32"/>
          <w:szCs w:val="32"/>
          <w14:textFill>
            <w14:solidFill>
              <w14:schemeClr w14:val="tx1"/>
            </w14:solidFill>
          </w14:textFill>
        </w:rPr>
        <w:t>劳动保障监察条例</w:t>
      </w:r>
    </w:p>
    <w:bookmarkEnd w:id="0"/>
    <w:p w14:paraId="4F3BA7B3">
      <w:pPr>
        <w:spacing w:before="120" w:beforeLines="50" w:after="120" w:afterLines="50" w:line="400" w:lineRule="exact"/>
        <w:jc w:val="center"/>
        <w:rPr>
          <w:rFonts w:hint="eastAsia" w:ascii="黑体" w:hAnsi="黑体" w:eastAsia="黑体"/>
          <w:color w:val="000000" w:themeColor="text1"/>
          <w:sz w:val="24"/>
          <w:szCs w:val="24"/>
          <w14:textFill>
            <w14:solidFill>
              <w14:schemeClr w14:val="tx1"/>
            </w14:solidFill>
          </w14:textFill>
        </w:rPr>
      </w:pPr>
      <w:r>
        <w:rPr>
          <w:rFonts w:ascii="黑体" w:hAnsi="黑体" w:eastAsia="黑体"/>
          <w:color w:val="000000" w:themeColor="text1"/>
          <w:sz w:val="24"/>
          <w:szCs w:val="24"/>
          <w14:textFill>
            <w14:solidFill>
              <w14:schemeClr w14:val="tx1"/>
            </w14:solidFill>
          </w14:textFill>
        </w:rPr>
        <w:t xml:space="preserve">第一章 </w:t>
      </w:r>
      <w:r>
        <w:rPr>
          <w:rFonts w:hint="eastAsia" w:ascii="黑体" w:hAnsi="黑体" w:eastAsia="黑体"/>
          <w:color w:val="000000" w:themeColor="text1"/>
          <w:sz w:val="24"/>
          <w:szCs w:val="24"/>
          <w14:textFill>
            <w14:solidFill>
              <w14:schemeClr w14:val="tx1"/>
            </w14:solidFill>
          </w14:textFill>
        </w:rPr>
        <w:t xml:space="preserve"> </w:t>
      </w:r>
      <w:r>
        <w:rPr>
          <w:rFonts w:ascii="黑体" w:hAnsi="黑体" w:eastAsia="黑体"/>
          <w:color w:val="000000" w:themeColor="text1"/>
          <w:sz w:val="24"/>
          <w:szCs w:val="24"/>
          <w14:textFill>
            <w14:solidFill>
              <w14:schemeClr w14:val="tx1"/>
            </w14:solidFill>
          </w14:textFill>
        </w:rPr>
        <w:t>总则</w:t>
      </w:r>
    </w:p>
    <w:p w14:paraId="3E9D5851">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第一条</w:t>
      </w:r>
      <w:r>
        <w:rPr>
          <w:rFonts w:hint="eastAsia" w:ascii="黑体" w:hAnsi="黑体" w:eastAsia="黑体"/>
          <w:bCs/>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 xml:space="preserve"> 为了贯彻实施劳动和社会保障（以下称劳动保障）法律、法规和规章，规范劳动保障监察工作，维护劳动者的合法权益，根据劳动法和有关法律，制定本条例。 </w:t>
      </w:r>
    </w:p>
    <w:p w14:paraId="3551F08C">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第二条</w:t>
      </w:r>
      <w:r>
        <w:rPr>
          <w:rFonts w:ascii="Times New Roman" w:hAnsi="Times New Roman"/>
          <w:color w:val="000000" w:themeColor="text1"/>
          <w:szCs w:val="21"/>
          <w14:textFill>
            <w14:solidFill>
              <w14:schemeClr w14:val="tx1"/>
            </w14:solidFill>
          </w14:textFill>
        </w:rPr>
        <w:t xml:space="preserve"> </w:t>
      </w:r>
      <w:r>
        <w:rPr>
          <w:rFonts w:hint="eastAsia" w:ascii="Times New Roman" w:hAnsi="Times New Roman"/>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 xml:space="preserve">对企业和个体工商户（以下称用人单位）进行劳动保障监察，适用本条例。 </w:t>
      </w:r>
    </w:p>
    <w:p w14:paraId="2385EB86">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 xml:space="preserve">对职业介绍机构、职业技能培训机构和职业技能考核鉴定机构进行劳动保障监察，依照本条例执行。 </w:t>
      </w:r>
    </w:p>
    <w:p w14:paraId="63A94427">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第三条</w:t>
      </w:r>
      <w:r>
        <w:rPr>
          <w:rFonts w:hint="eastAsia" w:ascii="黑体" w:hAnsi="黑体" w:eastAsia="黑体"/>
          <w:bCs/>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 xml:space="preserve"> 国务院劳动保障行政部门主管全国的劳动保障监察工作。县级以上地方各级人民政府劳动保障行政部门主管本行政区域内的劳动保障监察工作。 </w:t>
      </w:r>
    </w:p>
    <w:p w14:paraId="6FA86927">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 xml:space="preserve">县级以上各级人民政府有关部门根据各自职责，支持、协助劳动保障行政部门的劳动保障监察工作。 </w:t>
      </w:r>
    </w:p>
    <w:p w14:paraId="2AD6E6F8">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第四条</w:t>
      </w:r>
      <w:r>
        <w:rPr>
          <w:rFonts w:ascii="Times New Roman" w:hAnsi="Times New Roman"/>
          <w:color w:val="000000" w:themeColor="text1"/>
          <w:szCs w:val="21"/>
          <w14:textFill>
            <w14:solidFill>
              <w14:schemeClr w14:val="tx1"/>
            </w14:solidFill>
          </w14:textFill>
        </w:rPr>
        <w:t xml:space="preserve"> </w:t>
      </w:r>
      <w:r>
        <w:rPr>
          <w:rFonts w:hint="eastAsia" w:ascii="Times New Roman" w:hAnsi="Times New Roman"/>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 xml:space="preserve">县级、设区的市级人民政府劳动保障行政部门可以委托符合监察执法条件的组织实施劳动保障监察。 </w:t>
      </w:r>
    </w:p>
    <w:p w14:paraId="11677DDB">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 xml:space="preserve">劳动保障行政部门和受委托实施劳动保障监察的组织中的劳动保障监察员应当经过相应的考核或者考试录用。 </w:t>
      </w:r>
    </w:p>
    <w:p w14:paraId="4A53F228">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 xml:space="preserve">劳动保障监察证件由国务院劳动保障行政部门监制。 </w:t>
      </w:r>
    </w:p>
    <w:p w14:paraId="117DB9D5">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第五条</w:t>
      </w:r>
      <w:r>
        <w:rPr>
          <w:rFonts w:ascii="Times New Roman" w:hAnsi="Times New Roman"/>
          <w:color w:val="000000" w:themeColor="text1"/>
          <w:szCs w:val="21"/>
          <w14:textFill>
            <w14:solidFill>
              <w14:schemeClr w14:val="tx1"/>
            </w14:solidFill>
          </w14:textFill>
        </w:rPr>
        <w:t xml:space="preserve"> </w:t>
      </w:r>
      <w:r>
        <w:rPr>
          <w:rFonts w:hint="eastAsia" w:ascii="Times New Roman" w:hAnsi="Times New Roman"/>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 xml:space="preserve">县级以上地方各级人民政府应当加强劳动保障监察工作。劳动保障监察所需经费列入本级财政预算。 </w:t>
      </w:r>
    </w:p>
    <w:p w14:paraId="1F4ED6EE">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第六条</w:t>
      </w:r>
      <w:r>
        <w:rPr>
          <w:rFonts w:ascii="Times New Roman" w:hAnsi="Times New Roman"/>
          <w:color w:val="000000" w:themeColor="text1"/>
          <w:szCs w:val="21"/>
          <w14:textFill>
            <w14:solidFill>
              <w14:schemeClr w14:val="tx1"/>
            </w14:solidFill>
          </w14:textFill>
        </w:rPr>
        <w:t xml:space="preserve"> </w:t>
      </w:r>
      <w:r>
        <w:rPr>
          <w:rFonts w:hint="eastAsia" w:ascii="Times New Roman" w:hAnsi="Times New Roman"/>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 xml:space="preserve">用人单位应当遵守劳动保障法律、法规和规章，接受并配合劳动保障监察。 </w:t>
      </w:r>
    </w:p>
    <w:p w14:paraId="2E9824EE">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第七条</w:t>
      </w:r>
      <w:r>
        <w:rPr>
          <w:rFonts w:ascii="Times New Roman" w:hAnsi="Times New Roman"/>
          <w:b/>
          <w:color w:val="000000" w:themeColor="text1"/>
          <w:szCs w:val="21"/>
          <w14:textFill>
            <w14:solidFill>
              <w14:schemeClr w14:val="tx1"/>
            </w14:solidFill>
          </w14:textFill>
        </w:rPr>
        <w:t xml:space="preserve"> </w:t>
      </w:r>
      <w:r>
        <w:rPr>
          <w:rFonts w:hint="eastAsia" w:ascii="Times New Roman" w:hAnsi="Times New Roman"/>
          <w:b/>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 xml:space="preserve">各级工会依法维护劳动者的合法权益，对用人单位遵守劳动保障法律、法规和规章的情况进行监督。 </w:t>
      </w:r>
    </w:p>
    <w:p w14:paraId="1DCD8858">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 xml:space="preserve">劳动保障行政部门在劳动保障监察工作中应当注意听取工会组织的意见和建议。 </w:t>
      </w:r>
    </w:p>
    <w:p w14:paraId="70F44F30">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第八条</w:t>
      </w:r>
      <w:r>
        <w:rPr>
          <w:rFonts w:ascii="Times New Roman" w:hAnsi="Times New Roman"/>
          <w:color w:val="000000" w:themeColor="text1"/>
          <w:szCs w:val="21"/>
          <w14:textFill>
            <w14:solidFill>
              <w14:schemeClr w14:val="tx1"/>
            </w14:solidFill>
          </w14:textFill>
        </w:rPr>
        <w:t xml:space="preserve"> </w:t>
      </w:r>
      <w:r>
        <w:rPr>
          <w:rFonts w:hint="eastAsia" w:ascii="Times New Roman" w:hAnsi="Times New Roman"/>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 xml:space="preserve">劳动保障监察遵循公正、公开、高效、便民的原则。 </w:t>
      </w:r>
    </w:p>
    <w:p w14:paraId="678EDF9E">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 xml:space="preserve">实施劳动保障监察，坚持教育与处罚相结合，接受社会监督。 </w:t>
      </w:r>
    </w:p>
    <w:p w14:paraId="6F25A1EA">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第九条</w:t>
      </w:r>
      <w:r>
        <w:rPr>
          <w:rFonts w:ascii="Times New Roman" w:hAnsi="Times New Roman"/>
          <w:color w:val="000000" w:themeColor="text1"/>
          <w:szCs w:val="21"/>
          <w14:textFill>
            <w14:solidFill>
              <w14:schemeClr w14:val="tx1"/>
            </w14:solidFill>
          </w14:textFill>
        </w:rPr>
        <w:t xml:space="preserve"> </w:t>
      </w:r>
      <w:r>
        <w:rPr>
          <w:rFonts w:hint="eastAsia" w:ascii="Times New Roman" w:hAnsi="Times New Roman"/>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 xml:space="preserve">任何组织或者个人对违反劳动保障法律、法规或者规章的行为，有权向劳动保障行政部门举报。 </w:t>
      </w:r>
    </w:p>
    <w:p w14:paraId="11C16EF8">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 xml:space="preserve">劳动者认为用人单位侵犯其劳动保障合法权益的，有权向劳动保障行政部门投诉。 </w:t>
      </w:r>
    </w:p>
    <w:p w14:paraId="44CAD55E">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 xml:space="preserve">劳动保障行政部门应当为举报人保密；对举报属实，为查处重大违反劳动保障法律、法规或者规章的行为提供主要线索和证据的举报人，给予奖励。 </w:t>
      </w:r>
    </w:p>
    <w:p w14:paraId="3468569C">
      <w:pPr>
        <w:spacing w:before="120" w:beforeLines="50" w:after="120" w:afterLines="50" w:line="400" w:lineRule="exact"/>
        <w:jc w:val="center"/>
        <w:rPr>
          <w:rFonts w:hint="eastAsia" w:ascii="黑体" w:hAnsi="黑体" w:eastAsia="黑体"/>
          <w:color w:val="000000" w:themeColor="text1"/>
          <w:sz w:val="24"/>
          <w:szCs w:val="24"/>
          <w14:textFill>
            <w14:solidFill>
              <w14:schemeClr w14:val="tx1"/>
            </w14:solidFill>
          </w14:textFill>
        </w:rPr>
      </w:pPr>
      <w:r>
        <w:rPr>
          <w:rFonts w:hint="eastAsia" w:ascii="黑体" w:hAnsi="黑体" w:eastAsia="黑体"/>
          <w:color w:val="000000" w:themeColor="text1"/>
          <w:sz w:val="24"/>
          <w:szCs w:val="24"/>
          <w14:textFill>
            <w14:solidFill>
              <w14:schemeClr w14:val="tx1"/>
            </w14:solidFill>
          </w14:textFill>
        </w:rPr>
        <w:t>第二章  劳动保障监察职责</w:t>
      </w:r>
    </w:p>
    <w:p w14:paraId="21CF61E2">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第十条</w:t>
      </w:r>
      <w:r>
        <w:rPr>
          <w:rFonts w:hint="eastAsia" w:ascii="黑体" w:hAnsi="黑体" w:eastAsia="黑体"/>
          <w:bCs/>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 xml:space="preserve"> 劳动保障行政部门实施劳动保障监察，履行下列职责：</w:t>
      </w:r>
    </w:p>
    <w:p w14:paraId="2BEAF252">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（一）宣传劳动保障法律、法规和规章，督促用人单位贯彻执行；</w:t>
      </w:r>
    </w:p>
    <w:p w14:paraId="6F5EF7BF">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（二）检查用人单位遵守劳动保障法律、法规和规章的情况；</w:t>
      </w:r>
    </w:p>
    <w:p w14:paraId="295350ED">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（三）受理对违反劳动保障法律、法规或者规章的行为的举报、投诉；</w:t>
      </w:r>
    </w:p>
    <w:p w14:paraId="7C54555B">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（四）依法纠正和查处违反劳动保障法律、法规或者规章的行为。</w:t>
      </w:r>
    </w:p>
    <w:p w14:paraId="4A5B8C47">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第十一条</w:t>
      </w:r>
      <w:r>
        <w:rPr>
          <w:rFonts w:ascii="Times New Roman" w:hAnsi="Times New Roman"/>
          <w:color w:val="000000" w:themeColor="text1"/>
          <w:szCs w:val="21"/>
          <w14:textFill>
            <w14:solidFill>
              <w14:schemeClr w14:val="tx1"/>
            </w14:solidFill>
          </w14:textFill>
        </w:rPr>
        <w:t xml:space="preserve"> </w:t>
      </w:r>
      <w:r>
        <w:rPr>
          <w:rFonts w:hint="eastAsia" w:ascii="Times New Roman" w:hAnsi="Times New Roman"/>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劳动保障行政部门对下列事项实施劳动保障监察：</w:t>
      </w:r>
    </w:p>
    <w:p w14:paraId="35216253">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（一）用人单位制定内部劳动保障规章制度的情况；</w:t>
      </w:r>
    </w:p>
    <w:p w14:paraId="5CC5DE85">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（二）用人单位与劳动者订立劳动合同的情况；</w:t>
      </w:r>
    </w:p>
    <w:p w14:paraId="2DF68263">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（三）用人单位遵守禁止使用童工规定的情况；</w:t>
      </w:r>
    </w:p>
    <w:p w14:paraId="64F4E348">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（四）用人单位遵守女职工和未成年工特殊劳动保护规定的情况；</w:t>
      </w:r>
    </w:p>
    <w:p w14:paraId="21C040C3">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（五）用人单位遵守工作时间和休息休假规定的情况；</w:t>
      </w:r>
    </w:p>
    <w:p w14:paraId="67813920">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（六）用人单位支付劳动者工资和执行最低工资标准的情况；</w:t>
      </w:r>
    </w:p>
    <w:p w14:paraId="63797AFB">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（七）用人单位参加各项社会保险和缴纳社会保险费的情况；</w:t>
      </w:r>
    </w:p>
    <w:p w14:paraId="466FE0C6">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（八）职业介绍机构、职业技能培训机构和职业技能考核鉴定机构遵守国家有关职业介绍、职业技能培训和职业技能考核鉴定的规定的情况；</w:t>
      </w:r>
    </w:p>
    <w:p w14:paraId="4D0EF3DB">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（九）法律、法规规定的其他劳动保障监察事项。</w:t>
      </w:r>
    </w:p>
    <w:p w14:paraId="51ADEFED">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第十二条</w:t>
      </w:r>
      <w:r>
        <w:rPr>
          <w:rFonts w:hint="eastAsia" w:ascii="黑体" w:hAnsi="黑体" w:eastAsia="黑体"/>
          <w:bCs/>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 xml:space="preserve"> 劳动保障监察员依法履行劳动保障监察职责，受法律保护。</w:t>
      </w:r>
    </w:p>
    <w:p w14:paraId="18DA28FF">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劳动保障监察员应当忠于职守，秉公执法，勤政廉洁，保守秘密。</w:t>
      </w:r>
    </w:p>
    <w:p w14:paraId="04638692">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任何组织或者个人对劳动保障监察员的违法违纪行为，有权向劳动保障行政部门或者有关机关检举、控告。</w:t>
      </w:r>
    </w:p>
    <w:p w14:paraId="792E50E6">
      <w:pPr>
        <w:spacing w:before="120" w:beforeLines="50" w:after="120" w:afterLines="50" w:line="400" w:lineRule="exact"/>
        <w:jc w:val="center"/>
        <w:rPr>
          <w:rFonts w:hint="eastAsia" w:ascii="黑体" w:hAnsi="黑体" w:eastAsia="黑体"/>
          <w:color w:val="000000" w:themeColor="text1"/>
          <w:sz w:val="24"/>
          <w:szCs w:val="24"/>
          <w14:textFill>
            <w14:solidFill>
              <w14:schemeClr w14:val="tx1"/>
            </w14:solidFill>
          </w14:textFill>
        </w:rPr>
      </w:pPr>
      <w:r>
        <w:rPr>
          <w:rFonts w:hint="eastAsia" w:ascii="黑体" w:hAnsi="黑体" w:eastAsia="黑体"/>
          <w:color w:val="000000" w:themeColor="text1"/>
          <w:sz w:val="24"/>
          <w:szCs w:val="24"/>
          <w14:textFill>
            <w14:solidFill>
              <w14:schemeClr w14:val="tx1"/>
            </w14:solidFill>
          </w14:textFill>
        </w:rPr>
        <w:t>第三章  劳动保障监察的实施</w:t>
      </w:r>
    </w:p>
    <w:p w14:paraId="00E27ACC">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第十三条</w:t>
      </w:r>
      <w:r>
        <w:rPr>
          <w:rFonts w:ascii="Times New Roman" w:hAnsi="Times New Roman"/>
          <w:color w:val="000000" w:themeColor="text1"/>
          <w:szCs w:val="21"/>
          <w14:textFill>
            <w14:solidFill>
              <w14:schemeClr w14:val="tx1"/>
            </w14:solidFill>
          </w14:textFill>
        </w:rPr>
        <w:t xml:space="preserve"> </w:t>
      </w:r>
      <w:r>
        <w:rPr>
          <w:rFonts w:hint="eastAsia" w:ascii="Times New Roman" w:hAnsi="Times New Roman"/>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 xml:space="preserve">对用人单位的劳动保障监察，由用人单位用工所在地的县级或者设区的市级劳动保障行政部门管辖。 </w:t>
      </w:r>
    </w:p>
    <w:p w14:paraId="0B8DA5AD">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 xml:space="preserve">上级劳动保障行政部门根据工作需要，可以调查处理下级劳动保障行政部门管辖的案件。劳动保障行政部门对劳动保障监察管辖发生争议的，报请共同的上一级劳动保障行政部门指定管辖。 </w:t>
      </w:r>
    </w:p>
    <w:p w14:paraId="54198EDA">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 xml:space="preserve">省、自治区、直辖市人民政府可以对劳动保障监察的管辖制定具体办法。 </w:t>
      </w:r>
    </w:p>
    <w:p w14:paraId="738A1E97">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第十四条</w:t>
      </w:r>
      <w:r>
        <w:rPr>
          <w:rFonts w:ascii="Times New Roman" w:hAnsi="Times New Roman"/>
          <w:color w:val="000000" w:themeColor="text1"/>
          <w:szCs w:val="21"/>
          <w14:textFill>
            <w14:solidFill>
              <w14:schemeClr w14:val="tx1"/>
            </w14:solidFill>
          </w14:textFill>
        </w:rPr>
        <w:t xml:space="preserve"> </w:t>
      </w:r>
      <w:r>
        <w:rPr>
          <w:rFonts w:hint="eastAsia" w:ascii="Times New Roman" w:hAnsi="Times New Roman"/>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 xml:space="preserve">劳动保障监察以日常巡视检查、审查用人单位按照要求报送的书面材料以及接受举报投诉等形式进行。 </w:t>
      </w:r>
    </w:p>
    <w:p w14:paraId="14C483D7">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 xml:space="preserve">劳动保障行政部门认为用人单位有违反劳动保障法律、法规或者规章的行为，需要进行调查处理的，应当及时立案。 </w:t>
      </w:r>
    </w:p>
    <w:p w14:paraId="520281AE">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 xml:space="preserve">劳动保障行政部门或者受委托实施劳动保障监察的组织应当设立举报、投诉信箱和电话。 </w:t>
      </w:r>
    </w:p>
    <w:p w14:paraId="4535E15A">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 xml:space="preserve">对因违反劳动保障法律、法规或者规章的行为引起的群体性事件，劳动保障行政部门应当根据应急预案，迅速会同有关部门处理。 </w:t>
      </w:r>
    </w:p>
    <w:p w14:paraId="3F131E2D">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 xml:space="preserve">第十五条 </w:t>
      </w:r>
      <w:r>
        <w:rPr>
          <w:rFonts w:hint="eastAsia" w:ascii="黑体" w:hAnsi="黑体" w:eastAsia="黑体"/>
          <w:bCs/>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劳动保障行政部门实施劳动保障监察，有权采取下列调查、检查措施：</w:t>
      </w:r>
    </w:p>
    <w:p w14:paraId="5B796E13">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（一）进入用人单位的劳动场所进行检查；</w:t>
      </w:r>
    </w:p>
    <w:p w14:paraId="5C80C4EA">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（二）就调查、检查事项询问有关人员；</w:t>
      </w:r>
    </w:p>
    <w:p w14:paraId="530F2211">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（三）要求用人单位提供与调查、检查事项相关的文件资料，并作出解释和说明，必要时可以发出调查询问书；</w:t>
      </w:r>
    </w:p>
    <w:p w14:paraId="069AD6F2">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（四）采取记录、录音、录像、照</w:t>
      </w:r>
      <w:r>
        <w:rPr>
          <w:rFonts w:hint="eastAsia" w:ascii="Times New Roman" w:hAnsi="Times New Roman"/>
          <w:color w:val="000000" w:themeColor="text1"/>
          <w:szCs w:val="21"/>
          <w14:textFill>
            <w14:solidFill>
              <w14:schemeClr w14:val="tx1"/>
            </w14:solidFill>
          </w14:textFill>
        </w:rPr>
        <w:t>相</w:t>
      </w:r>
      <w:r>
        <w:rPr>
          <w:rFonts w:ascii="Times New Roman" w:hAnsi="Times New Roman"/>
          <w:color w:val="000000" w:themeColor="text1"/>
          <w:szCs w:val="21"/>
          <w14:textFill>
            <w14:solidFill>
              <w14:schemeClr w14:val="tx1"/>
            </w14:solidFill>
          </w14:textFill>
        </w:rPr>
        <w:t>或者复制等方式收集有关情况和资料；</w:t>
      </w:r>
    </w:p>
    <w:p w14:paraId="7D34C38C">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（五）委托会计师事务所对用人单位工资支付、缴纳社会保险费的情况进行审计；</w:t>
      </w:r>
    </w:p>
    <w:p w14:paraId="6C3ED68E">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（六）法律、法规规定可以由劳动保障行政部门采取的其他调查、检查措施。</w:t>
      </w:r>
    </w:p>
    <w:p w14:paraId="41B9F9CD">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 xml:space="preserve">劳动保障行政部门对事实清楚、证据确凿、可以当场处理的违反劳动保障法律、法规或者规章的行为有权当场予以纠正。 </w:t>
      </w:r>
    </w:p>
    <w:p w14:paraId="16B0FCD3">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第十六条</w:t>
      </w:r>
      <w:r>
        <w:rPr>
          <w:rFonts w:ascii="Times New Roman" w:hAnsi="Times New Roman"/>
          <w:color w:val="000000" w:themeColor="text1"/>
          <w:szCs w:val="21"/>
          <w14:textFill>
            <w14:solidFill>
              <w14:schemeClr w14:val="tx1"/>
            </w14:solidFill>
          </w14:textFill>
        </w:rPr>
        <w:t xml:space="preserve"> </w:t>
      </w:r>
      <w:r>
        <w:rPr>
          <w:rFonts w:hint="eastAsia" w:ascii="Times New Roman" w:hAnsi="Times New Roman"/>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劳动保障监察员进行调查、检查，不得少于</w:t>
      </w:r>
      <w:r>
        <w:rPr>
          <w:rFonts w:hint="eastAsia" w:ascii="Times New Roman" w:hAnsi="Times New Roman"/>
          <w:color w:val="000000" w:themeColor="text1"/>
          <w:szCs w:val="21"/>
          <w14:textFill>
            <w14:solidFill>
              <w14:schemeClr w14:val="tx1"/>
            </w14:solidFill>
          </w14:textFill>
        </w:rPr>
        <w:t>2</w:t>
      </w:r>
      <w:r>
        <w:rPr>
          <w:rFonts w:ascii="Times New Roman" w:hAnsi="Times New Roman"/>
          <w:color w:val="000000" w:themeColor="text1"/>
          <w:szCs w:val="21"/>
          <w14:textFill>
            <w14:solidFill>
              <w14:schemeClr w14:val="tx1"/>
            </w14:solidFill>
          </w14:textFill>
        </w:rPr>
        <w:t xml:space="preserve">人，并应当佩戴劳动保障监察标志、出示劳动保障监察证件。 </w:t>
      </w:r>
    </w:p>
    <w:p w14:paraId="1EDFEBD8">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 xml:space="preserve">劳动保障监察员办理的劳动保障监察事项与本人或者其近亲属有直接利害关系的，应当回避。 </w:t>
      </w:r>
    </w:p>
    <w:p w14:paraId="0F6771FF">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第十七条</w:t>
      </w:r>
      <w:r>
        <w:rPr>
          <w:rFonts w:ascii="Times New Roman" w:hAnsi="Times New Roman"/>
          <w:color w:val="000000" w:themeColor="text1"/>
          <w:szCs w:val="21"/>
          <w14:textFill>
            <w14:solidFill>
              <w14:schemeClr w14:val="tx1"/>
            </w14:solidFill>
          </w14:textFill>
        </w:rPr>
        <w:t xml:space="preserve"> </w:t>
      </w:r>
      <w:r>
        <w:rPr>
          <w:rFonts w:hint="eastAsia" w:ascii="Times New Roman" w:hAnsi="Times New Roman"/>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劳动保障行政部门对违反劳动保障法律、法规或者规章的行为的调查，应当自立案之日起</w:t>
      </w:r>
      <w:r>
        <w:rPr>
          <w:rFonts w:hint="eastAsia" w:ascii="Times New Roman" w:hAnsi="Times New Roman"/>
          <w:color w:val="000000" w:themeColor="text1"/>
          <w:szCs w:val="21"/>
          <w14:textFill>
            <w14:solidFill>
              <w14:schemeClr w14:val="tx1"/>
            </w14:solidFill>
          </w14:textFill>
        </w:rPr>
        <w:t>60</w:t>
      </w:r>
      <w:r>
        <w:rPr>
          <w:rFonts w:ascii="Times New Roman" w:hAnsi="Times New Roman"/>
          <w:color w:val="000000" w:themeColor="text1"/>
          <w:szCs w:val="21"/>
          <w14:textFill>
            <w14:solidFill>
              <w14:schemeClr w14:val="tx1"/>
            </w14:solidFill>
          </w14:textFill>
        </w:rPr>
        <w:t>个工作日内完成；对情况复杂的，经劳动保障行政部门负责人批准，可以延长</w:t>
      </w:r>
      <w:r>
        <w:rPr>
          <w:rFonts w:hint="eastAsia" w:ascii="Times New Roman" w:hAnsi="Times New Roman"/>
          <w:color w:val="000000" w:themeColor="text1"/>
          <w:szCs w:val="21"/>
          <w14:textFill>
            <w14:solidFill>
              <w14:schemeClr w14:val="tx1"/>
            </w14:solidFill>
          </w14:textFill>
        </w:rPr>
        <w:t>30</w:t>
      </w:r>
      <w:r>
        <w:rPr>
          <w:rFonts w:ascii="Times New Roman" w:hAnsi="Times New Roman"/>
          <w:color w:val="000000" w:themeColor="text1"/>
          <w:szCs w:val="21"/>
          <w14:textFill>
            <w14:solidFill>
              <w14:schemeClr w14:val="tx1"/>
            </w14:solidFill>
          </w14:textFill>
        </w:rPr>
        <w:t xml:space="preserve">个工作日。 </w:t>
      </w:r>
    </w:p>
    <w:p w14:paraId="0E8D03C7">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第十八条</w:t>
      </w:r>
      <w:r>
        <w:rPr>
          <w:rFonts w:ascii="Times New Roman" w:hAnsi="Times New Roman"/>
          <w:color w:val="000000" w:themeColor="text1"/>
          <w:szCs w:val="21"/>
          <w14:textFill>
            <w14:solidFill>
              <w14:schemeClr w14:val="tx1"/>
            </w14:solidFill>
          </w14:textFill>
        </w:rPr>
        <w:t xml:space="preserve"> </w:t>
      </w:r>
      <w:r>
        <w:rPr>
          <w:rFonts w:hint="eastAsia" w:ascii="Times New Roman" w:hAnsi="Times New Roman"/>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 xml:space="preserve">劳动保障行政部门对违反劳动保障法律、法规或者规章的行为，根据调查、检查的结果，作出以下处理： </w:t>
      </w:r>
    </w:p>
    <w:p w14:paraId="52D6AF5A">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 xml:space="preserve">（一）对依法应当受到行政处罚的，依法作出行政处罚决定； </w:t>
      </w:r>
    </w:p>
    <w:p w14:paraId="1111E32B">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 xml:space="preserve">（二）对应当改正未改正的，依法责令改正或者作出相应的行政处理决定； </w:t>
      </w:r>
    </w:p>
    <w:p w14:paraId="7644A96E">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 xml:space="preserve">（三）对情节轻微且已改正的，撤销立案。 </w:t>
      </w:r>
    </w:p>
    <w:p w14:paraId="4324E5BC">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 xml:space="preserve">发现违法案件不属于劳动保障监察事项的，应当及时移送有关部门处理；涉嫌犯罪的，应当依法移送司法机关。 </w:t>
      </w:r>
    </w:p>
    <w:p w14:paraId="798E320A">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第十九条</w:t>
      </w:r>
      <w:r>
        <w:rPr>
          <w:rFonts w:ascii="Times New Roman" w:hAnsi="Times New Roman"/>
          <w:color w:val="000000" w:themeColor="text1"/>
          <w:szCs w:val="21"/>
          <w14:textFill>
            <w14:solidFill>
              <w14:schemeClr w14:val="tx1"/>
            </w14:solidFill>
          </w14:textFill>
        </w:rPr>
        <w:t xml:space="preserve"> </w:t>
      </w:r>
      <w:r>
        <w:rPr>
          <w:rFonts w:hint="eastAsia" w:ascii="Times New Roman" w:hAnsi="Times New Roman"/>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 xml:space="preserve">劳动保障行政部门对违反劳动保障法律、法规或者规章的行为作出行政处罚或者行政处理决定前，应当听取用人单位的陈述、申辩；作出行政处罚或者行政处理决定，应当告知用人单位依法享有申请行政复议或者提起行政诉讼的权利。 </w:t>
      </w:r>
    </w:p>
    <w:p w14:paraId="5F22942E">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第二十条</w:t>
      </w:r>
      <w:r>
        <w:rPr>
          <w:rFonts w:ascii="Times New Roman" w:hAnsi="Times New Roman"/>
          <w:b/>
          <w:color w:val="000000" w:themeColor="text1"/>
          <w:szCs w:val="21"/>
          <w14:textFill>
            <w14:solidFill>
              <w14:schemeClr w14:val="tx1"/>
            </w14:solidFill>
          </w14:textFill>
        </w:rPr>
        <w:t xml:space="preserve"> </w:t>
      </w:r>
      <w:r>
        <w:rPr>
          <w:rFonts w:hint="eastAsia" w:ascii="Times New Roman" w:hAnsi="Times New Roman"/>
          <w:b/>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违反劳动保障法律、法规或者规章的行为在</w:t>
      </w:r>
      <w:r>
        <w:rPr>
          <w:rFonts w:hint="eastAsia" w:ascii="Times New Roman" w:hAnsi="Times New Roman"/>
          <w:color w:val="000000" w:themeColor="text1"/>
          <w:szCs w:val="21"/>
          <w14:textFill>
            <w14:solidFill>
              <w14:schemeClr w14:val="tx1"/>
            </w14:solidFill>
          </w14:textFill>
        </w:rPr>
        <w:t>2</w:t>
      </w:r>
      <w:r>
        <w:rPr>
          <w:rFonts w:ascii="Times New Roman" w:hAnsi="Times New Roman"/>
          <w:color w:val="000000" w:themeColor="text1"/>
          <w:szCs w:val="21"/>
          <w14:textFill>
            <w14:solidFill>
              <w14:schemeClr w14:val="tx1"/>
            </w14:solidFill>
          </w14:textFill>
        </w:rPr>
        <w:t xml:space="preserve">年内未被劳动保障行政部门发现，也未被举报、投诉的，劳动保障行政部门不再查处。 </w:t>
      </w:r>
    </w:p>
    <w:p w14:paraId="4C9B8DF0">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 xml:space="preserve">前款规定的期限，自违反劳动保障法律、法规或者规章的行为发生之日起计算；违反劳动保障法律、法规或者规章的行为有连续或者继续状态的，自行为终了之日起计算。 </w:t>
      </w:r>
    </w:p>
    <w:p w14:paraId="06A1193E">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第二十一条</w:t>
      </w:r>
      <w:r>
        <w:rPr>
          <w:rFonts w:hint="eastAsia" w:ascii="黑体" w:hAnsi="黑体" w:eastAsia="黑体"/>
          <w:bCs/>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 xml:space="preserve"> 用人单位违反劳动保障法律、法规或者规章，对劳动者造成损害的，依法承担赔偿责任。劳动者与用人单位就赔偿发生争议的，依照国家有关劳动争议处理的规定处理。 </w:t>
      </w:r>
    </w:p>
    <w:p w14:paraId="6D5205F6">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 xml:space="preserve">对应当通过劳动争议处理程序解决的事项或者已经按照劳动争议处理程序申请调解、仲裁或者已经提起诉讼的事项，劳动保障行政部门应当告知投诉人依照劳动争议处理或者诉讼的程序办理。 </w:t>
      </w:r>
    </w:p>
    <w:p w14:paraId="7EBB8F2C">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第二十二条</w:t>
      </w:r>
      <w:r>
        <w:rPr>
          <w:rFonts w:ascii="Times New Roman" w:hAnsi="Times New Roman"/>
          <w:color w:val="000000" w:themeColor="text1"/>
          <w:szCs w:val="21"/>
          <w14:textFill>
            <w14:solidFill>
              <w14:schemeClr w14:val="tx1"/>
            </w14:solidFill>
          </w14:textFill>
        </w:rPr>
        <w:t xml:space="preserve"> </w:t>
      </w:r>
      <w:r>
        <w:rPr>
          <w:rFonts w:hint="eastAsia" w:ascii="Times New Roman" w:hAnsi="Times New Roman"/>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 xml:space="preserve">劳动保障行政部门应当建立用人单位劳动保障守法诚信档案。用人单位有重大违反劳动保障法律、法规或者规章的行为的，由有关的劳动保障行政部门向社会公布。 </w:t>
      </w:r>
    </w:p>
    <w:p w14:paraId="7C707EE5">
      <w:pPr>
        <w:spacing w:before="120" w:beforeLines="50" w:after="120" w:afterLines="50" w:line="400" w:lineRule="exact"/>
        <w:jc w:val="center"/>
        <w:rPr>
          <w:rFonts w:hint="eastAsia" w:ascii="黑体" w:hAnsi="黑体" w:eastAsia="黑体"/>
          <w:color w:val="000000" w:themeColor="text1"/>
          <w:sz w:val="24"/>
          <w:szCs w:val="24"/>
          <w14:textFill>
            <w14:solidFill>
              <w14:schemeClr w14:val="tx1"/>
            </w14:solidFill>
          </w14:textFill>
        </w:rPr>
      </w:pPr>
      <w:r>
        <w:rPr>
          <w:rFonts w:hint="eastAsia" w:ascii="黑体" w:hAnsi="黑体" w:eastAsia="黑体"/>
          <w:color w:val="000000" w:themeColor="text1"/>
          <w:sz w:val="24"/>
          <w:szCs w:val="24"/>
          <w14:textFill>
            <w14:solidFill>
              <w14:schemeClr w14:val="tx1"/>
            </w14:solidFill>
          </w14:textFill>
        </w:rPr>
        <w:t>第四章  法律责任</w:t>
      </w:r>
    </w:p>
    <w:p w14:paraId="02C11766">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第二十三条</w:t>
      </w:r>
      <w:r>
        <w:rPr>
          <w:rFonts w:hint="eastAsia" w:ascii="黑体" w:hAnsi="黑体" w:eastAsia="黑体"/>
          <w:bCs/>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 xml:space="preserve"> 用人单位有下列行为之一的，由劳动保障行政部门责令改正，按照受侵害的劳动者每人</w:t>
      </w:r>
      <w:r>
        <w:rPr>
          <w:rFonts w:hint="eastAsia" w:ascii="Times New Roman" w:hAnsi="Times New Roman"/>
          <w:color w:val="000000" w:themeColor="text1"/>
          <w:szCs w:val="21"/>
          <w14:textFill>
            <w14:solidFill>
              <w14:schemeClr w14:val="tx1"/>
            </w14:solidFill>
          </w14:textFill>
        </w:rPr>
        <w:t>1000</w:t>
      </w:r>
      <w:r>
        <w:rPr>
          <w:rFonts w:ascii="Times New Roman" w:hAnsi="Times New Roman"/>
          <w:color w:val="000000" w:themeColor="text1"/>
          <w:szCs w:val="21"/>
          <w14:textFill>
            <w14:solidFill>
              <w14:schemeClr w14:val="tx1"/>
            </w14:solidFill>
          </w14:textFill>
        </w:rPr>
        <w:t>元以上</w:t>
      </w:r>
      <w:r>
        <w:rPr>
          <w:rFonts w:hint="eastAsia" w:ascii="Times New Roman" w:hAnsi="Times New Roman"/>
          <w:color w:val="000000" w:themeColor="text1"/>
          <w:szCs w:val="21"/>
          <w14:textFill>
            <w14:solidFill>
              <w14:schemeClr w14:val="tx1"/>
            </w14:solidFill>
          </w14:textFill>
        </w:rPr>
        <w:t>5000</w:t>
      </w:r>
      <w:r>
        <w:rPr>
          <w:rFonts w:ascii="Times New Roman" w:hAnsi="Times New Roman"/>
          <w:color w:val="000000" w:themeColor="text1"/>
          <w:szCs w:val="21"/>
          <w14:textFill>
            <w14:solidFill>
              <w14:schemeClr w14:val="tx1"/>
            </w14:solidFill>
          </w14:textFill>
        </w:rPr>
        <w:t>元以下的标准计算，处以罚款：</w:t>
      </w:r>
    </w:p>
    <w:p w14:paraId="44AB4F70">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（一）安排女职工从事矿山井下劳动、国家规定的第四级体力劳动强度的劳动或者其他禁忌从事的劳动的；</w:t>
      </w:r>
    </w:p>
    <w:p w14:paraId="7B135C0B">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（二）安排女职工在经期从事高处、低温、冷水作业或者国家规定的第三级体力劳动强度的劳动的；</w:t>
      </w:r>
    </w:p>
    <w:p w14:paraId="30BF1978">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（三）安排女职工在怀孕期间从事国家规定的第三级体力劳动强度的劳动或者孕期禁忌从事的劳动的；</w:t>
      </w:r>
    </w:p>
    <w:p w14:paraId="2E40D3A8">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（四）安排怀孕</w:t>
      </w:r>
      <w:r>
        <w:rPr>
          <w:rFonts w:hint="eastAsia" w:ascii="Times New Roman" w:hAnsi="Times New Roman"/>
          <w:color w:val="000000" w:themeColor="text1"/>
          <w:szCs w:val="21"/>
          <w14:textFill>
            <w14:solidFill>
              <w14:schemeClr w14:val="tx1"/>
            </w14:solidFill>
          </w14:textFill>
        </w:rPr>
        <w:t>7</w:t>
      </w:r>
      <w:r>
        <w:rPr>
          <w:rFonts w:ascii="Times New Roman" w:hAnsi="Times New Roman"/>
          <w:color w:val="000000" w:themeColor="text1"/>
          <w:szCs w:val="21"/>
          <w14:textFill>
            <w14:solidFill>
              <w14:schemeClr w14:val="tx1"/>
            </w14:solidFill>
          </w14:textFill>
        </w:rPr>
        <w:t>个月以上的女职工夜班劳动或者延长其工作时间的；</w:t>
      </w:r>
    </w:p>
    <w:p w14:paraId="08049D51">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（五）女职工生育享受产假少于</w:t>
      </w:r>
      <w:r>
        <w:rPr>
          <w:rFonts w:hint="eastAsia" w:ascii="Times New Roman" w:hAnsi="Times New Roman"/>
          <w:color w:val="000000" w:themeColor="text1"/>
          <w:szCs w:val="21"/>
          <w14:textFill>
            <w14:solidFill>
              <w14:schemeClr w14:val="tx1"/>
            </w14:solidFill>
          </w14:textFill>
        </w:rPr>
        <w:t>90</w:t>
      </w:r>
      <w:r>
        <w:rPr>
          <w:rFonts w:ascii="Times New Roman" w:hAnsi="Times New Roman"/>
          <w:color w:val="000000" w:themeColor="text1"/>
          <w:szCs w:val="21"/>
          <w14:textFill>
            <w14:solidFill>
              <w14:schemeClr w14:val="tx1"/>
            </w14:solidFill>
          </w14:textFill>
        </w:rPr>
        <w:t>天的；</w:t>
      </w:r>
    </w:p>
    <w:p w14:paraId="3413D244">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（六）安排女职工在哺乳未满</w:t>
      </w:r>
      <w:r>
        <w:rPr>
          <w:rFonts w:hint="eastAsia" w:ascii="Times New Roman" w:hAnsi="Times New Roman"/>
          <w:color w:val="000000" w:themeColor="text1"/>
          <w:szCs w:val="21"/>
          <w14:textFill>
            <w14:solidFill>
              <w14:schemeClr w14:val="tx1"/>
            </w14:solidFill>
          </w14:textFill>
        </w:rPr>
        <w:t>1</w:t>
      </w:r>
      <w:r>
        <w:rPr>
          <w:rFonts w:ascii="Times New Roman" w:hAnsi="Times New Roman"/>
          <w:color w:val="000000" w:themeColor="text1"/>
          <w:szCs w:val="21"/>
          <w14:textFill>
            <w14:solidFill>
              <w14:schemeClr w14:val="tx1"/>
            </w14:solidFill>
          </w14:textFill>
        </w:rPr>
        <w:t>周岁的婴儿期间从事国家规定的第三级体力劳动强度的劳动或者哺乳期禁忌从事的其他劳动，以及延长其工作时间或者安排其夜班劳动的；</w:t>
      </w:r>
    </w:p>
    <w:p w14:paraId="77764A20">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（七）安排未成年工从事矿山井下、有毒有害、国家规定的第四级体力劳动强度的劳动或者其他禁忌从事的劳动的；</w:t>
      </w:r>
    </w:p>
    <w:p w14:paraId="10069C26">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（八）未对未成年工定期进行健康检查的。</w:t>
      </w:r>
    </w:p>
    <w:p w14:paraId="68A10E48">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第二十四条</w:t>
      </w:r>
      <w:r>
        <w:rPr>
          <w:rFonts w:ascii="Times New Roman" w:hAnsi="Times New Roman"/>
          <w:color w:val="000000" w:themeColor="text1"/>
          <w:szCs w:val="21"/>
          <w14:textFill>
            <w14:solidFill>
              <w14:schemeClr w14:val="tx1"/>
            </w14:solidFill>
          </w14:textFill>
        </w:rPr>
        <w:t xml:space="preserve"> </w:t>
      </w:r>
      <w:r>
        <w:rPr>
          <w:rFonts w:hint="eastAsia" w:ascii="Times New Roman" w:hAnsi="Times New Roman"/>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用人单位与劳动者建立劳动关系不依法订立劳动合同的，由劳动保障行政部门责令改正。</w:t>
      </w:r>
    </w:p>
    <w:p w14:paraId="05ADCE01">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第二十五条</w:t>
      </w:r>
      <w:r>
        <w:rPr>
          <w:rFonts w:ascii="Times New Roman" w:hAnsi="Times New Roman"/>
          <w:color w:val="000000" w:themeColor="text1"/>
          <w:szCs w:val="21"/>
          <w14:textFill>
            <w14:solidFill>
              <w14:schemeClr w14:val="tx1"/>
            </w14:solidFill>
          </w14:textFill>
        </w:rPr>
        <w:t xml:space="preserve"> </w:t>
      </w:r>
      <w:r>
        <w:rPr>
          <w:rFonts w:hint="eastAsia" w:ascii="Times New Roman" w:hAnsi="Times New Roman"/>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用人单位违反劳动保障法律、法规或者规章延长劳动者工作时间的，由劳动保障行政部门给予警告，责令限期改正，并可以按照受侵害的劳动者每人</w:t>
      </w:r>
      <w:r>
        <w:rPr>
          <w:rFonts w:hint="eastAsia" w:ascii="Times New Roman" w:hAnsi="Times New Roman"/>
          <w:color w:val="000000" w:themeColor="text1"/>
          <w:szCs w:val="21"/>
          <w14:textFill>
            <w14:solidFill>
              <w14:schemeClr w14:val="tx1"/>
            </w14:solidFill>
          </w14:textFill>
        </w:rPr>
        <w:t>100</w:t>
      </w:r>
      <w:r>
        <w:rPr>
          <w:rFonts w:ascii="Times New Roman" w:hAnsi="Times New Roman"/>
          <w:color w:val="000000" w:themeColor="text1"/>
          <w:szCs w:val="21"/>
          <w14:textFill>
            <w14:solidFill>
              <w14:schemeClr w14:val="tx1"/>
            </w14:solidFill>
          </w14:textFill>
        </w:rPr>
        <w:t>元以上</w:t>
      </w:r>
      <w:r>
        <w:rPr>
          <w:rFonts w:hint="eastAsia" w:ascii="Times New Roman" w:hAnsi="Times New Roman"/>
          <w:color w:val="000000" w:themeColor="text1"/>
          <w:szCs w:val="21"/>
          <w14:textFill>
            <w14:solidFill>
              <w14:schemeClr w14:val="tx1"/>
            </w14:solidFill>
          </w14:textFill>
        </w:rPr>
        <w:t>500</w:t>
      </w:r>
      <w:r>
        <w:rPr>
          <w:rFonts w:ascii="Times New Roman" w:hAnsi="Times New Roman"/>
          <w:color w:val="000000" w:themeColor="text1"/>
          <w:szCs w:val="21"/>
          <w14:textFill>
            <w14:solidFill>
              <w14:schemeClr w14:val="tx1"/>
            </w14:solidFill>
          </w14:textFill>
        </w:rPr>
        <w:t>元以下的标准计算，处以罚款。</w:t>
      </w:r>
    </w:p>
    <w:p w14:paraId="77C4BAC7">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第二十六条</w:t>
      </w:r>
      <w:r>
        <w:rPr>
          <w:rFonts w:ascii="Times New Roman" w:hAnsi="Times New Roman"/>
          <w:b/>
          <w:color w:val="000000" w:themeColor="text1"/>
          <w:szCs w:val="21"/>
          <w14:textFill>
            <w14:solidFill>
              <w14:schemeClr w14:val="tx1"/>
            </w14:solidFill>
          </w14:textFill>
        </w:rPr>
        <w:t xml:space="preserve"> </w:t>
      </w:r>
      <w:r>
        <w:rPr>
          <w:rFonts w:hint="eastAsia" w:ascii="Times New Roman" w:hAnsi="Times New Roman"/>
          <w:b/>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用人单位有下列行为之一的，由劳动保障行政部门分别责令限期支付劳动者的工资报酬、劳动者工资低于当地最低工资标准的差额或者解除劳动合同的经济补偿；逾期不支付的，责令用人单位按照应付金额</w:t>
      </w:r>
      <w:r>
        <w:rPr>
          <w:rFonts w:hint="eastAsia" w:ascii="Times New Roman" w:hAnsi="Times New Roman"/>
          <w:color w:val="000000" w:themeColor="text1"/>
          <w:szCs w:val="21"/>
          <w14:textFill>
            <w14:solidFill>
              <w14:schemeClr w14:val="tx1"/>
            </w14:solidFill>
          </w14:textFill>
        </w:rPr>
        <w:t>50%</w:t>
      </w:r>
      <w:r>
        <w:rPr>
          <w:rFonts w:ascii="Times New Roman" w:hAnsi="Times New Roman"/>
          <w:color w:val="000000" w:themeColor="text1"/>
          <w:szCs w:val="21"/>
          <w14:textFill>
            <w14:solidFill>
              <w14:schemeClr w14:val="tx1"/>
            </w14:solidFill>
          </w14:textFill>
        </w:rPr>
        <w:t>以上</w:t>
      </w:r>
      <w:r>
        <w:rPr>
          <w:rFonts w:hint="eastAsia" w:ascii="Times New Roman" w:hAnsi="Times New Roman"/>
          <w:color w:val="000000" w:themeColor="text1"/>
          <w:szCs w:val="21"/>
          <w14:textFill>
            <w14:solidFill>
              <w14:schemeClr w14:val="tx1"/>
            </w14:solidFill>
          </w14:textFill>
        </w:rPr>
        <w:t>1</w:t>
      </w:r>
      <w:r>
        <w:rPr>
          <w:rFonts w:ascii="Times New Roman" w:hAnsi="Times New Roman"/>
          <w:color w:val="000000" w:themeColor="text1"/>
          <w:szCs w:val="21"/>
          <w14:textFill>
            <w14:solidFill>
              <w14:schemeClr w14:val="tx1"/>
            </w14:solidFill>
          </w14:textFill>
        </w:rPr>
        <w:t>倍以下的标准计算，向劳动者加付赔偿金：</w:t>
      </w:r>
    </w:p>
    <w:p w14:paraId="513E49E5">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（一）克扣或者无故拖欠劳动者工资报酬的；</w:t>
      </w:r>
    </w:p>
    <w:p w14:paraId="5DA5BBB8">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（二）支付劳动者的工资低于当地最低工资标准的；</w:t>
      </w:r>
    </w:p>
    <w:p w14:paraId="3A1F6067">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（三）解除劳动合同未依法给予劳动者经济补偿的。</w:t>
      </w:r>
    </w:p>
    <w:p w14:paraId="60C23219">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第二十七条</w:t>
      </w:r>
      <w:r>
        <w:rPr>
          <w:rFonts w:hint="eastAsia" w:ascii="黑体" w:hAnsi="黑体" w:eastAsia="黑体"/>
          <w:bCs/>
          <w:color w:val="000000" w:themeColor="text1"/>
          <w:szCs w:val="21"/>
          <w14:textFill>
            <w14:solidFill>
              <w14:schemeClr w14:val="tx1"/>
            </w14:solidFill>
          </w14:textFill>
        </w:rPr>
        <w:t xml:space="preserve"> </w:t>
      </w:r>
      <w:r>
        <w:rPr>
          <w:rFonts w:ascii="Times New Roman" w:hAnsi="Times New Roman"/>
          <w:b/>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用人单位向社会保险经办机构申报应缴纳的社会保险费数额时，瞒报工资总额或者职工人数的，由劳动保障行政部门责令改正，并处瞒报工资数额</w:t>
      </w:r>
      <w:r>
        <w:rPr>
          <w:rFonts w:hint="eastAsia" w:ascii="Times New Roman" w:hAnsi="Times New Roman"/>
          <w:color w:val="000000" w:themeColor="text1"/>
          <w:szCs w:val="21"/>
          <w14:textFill>
            <w14:solidFill>
              <w14:schemeClr w14:val="tx1"/>
            </w14:solidFill>
          </w14:textFill>
        </w:rPr>
        <w:t>1</w:t>
      </w:r>
      <w:r>
        <w:rPr>
          <w:rFonts w:ascii="Times New Roman" w:hAnsi="Times New Roman"/>
          <w:color w:val="000000" w:themeColor="text1"/>
          <w:szCs w:val="21"/>
          <w14:textFill>
            <w14:solidFill>
              <w14:schemeClr w14:val="tx1"/>
            </w14:solidFill>
          </w14:textFill>
        </w:rPr>
        <w:t>倍以上</w:t>
      </w:r>
      <w:r>
        <w:rPr>
          <w:rFonts w:hint="eastAsia" w:ascii="Times New Roman" w:hAnsi="Times New Roman"/>
          <w:color w:val="000000" w:themeColor="text1"/>
          <w:szCs w:val="21"/>
          <w14:textFill>
            <w14:solidFill>
              <w14:schemeClr w14:val="tx1"/>
            </w14:solidFill>
          </w14:textFill>
        </w:rPr>
        <w:t>3</w:t>
      </w:r>
      <w:r>
        <w:rPr>
          <w:rFonts w:ascii="Times New Roman" w:hAnsi="Times New Roman"/>
          <w:color w:val="000000" w:themeColor="text1"/>
          <w:szCs w:val="21"/>
          <w14:textFill>
            <w14:solidFill>
              <w14:schemeClr w14:val="tx1"/>
            </w14:solidFill>
          </w14:textFill>
        </w:rPr>
        <w:t>倍以下的罚款。</w:t>
      </w:r>
    </w:p>
    <w:p w14:paraId="1508CB64">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骗取社会保险待遇或者骗取社会保险基金支出的，由劳动保障行政部门责令退还，并处骗取金额１倍以上</w:t>
      </w:r>
      <w:r>
        <w:rPr>
          <w:rFonts w:hint="eastAsia" w:ascii="Times New Roman" w:hAnsi="Times New Roman"/>
          <w:color w:val="000000" w:themeColor="text1"/>
          <w:szCs w:val="21"/>
          <w14:textFill>
            <w14:solidFill>
              <w14:schemeClr w14:val="tx1"/>
            </w14:solidFill>
          </w14:textFill>
        </w:rPr>
        <w:t>3</w:t>
      </w:r>
      <w:r>
        <w:rPr>
          <w:rFonts w:ascii="Times New Roman" w:hAnsi="Times New Roman"/>
          <w:color w:val="000000" w:themeColor="text1"/>
          <w:szCs w:val="21"/>
          <w14:textFill>
            <w14:solidFill>
              <w14:schemeClr w14:val="tx1"/>
            </w14:solidFill>
          </w14:textFill>
        </w:rPr>
        <w:t>倍以下的罚款；构成犯罪的，依法追究刑事责任。</w:t>
      </w:r>
    </w:p>
    <w:p w14:paraId="0D6F7ACC">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第二十八条</w:t>
      </w:r>
      <w:r>
        <w:rPr>
          <w:rFonts w:hint="eastAsia" w:ascii="黑体" w:hAnsi="黑体" w:eastAsia="黑体"/>
          <w:bCs/>
          <w:color w:val="000000" w:themeColor="text1"/>
          <w:szCs w:val="21"/>
          <w14:textFill>
            <w14:solidFill>
              <w14:schemeClr w14:val="tx1"/>
            </w14:solidFill>
          </w14:textFill>
        </w:rPr>
        <w:t xml:space="preserve"> </w:t>
      </w:r>
      <w:r>
        <w:rPr>
          <w:rFonts w:ascii="Times New Roman" w:hAnsi="Times New Roman"/>
          <w:b/>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职业介绍机构、职业技能培训机构或者职业技能考核鉴定机构违反国家有关职业介绍、职业技能培训或者职业技能考核鉴定的规定的，由劳动保障行政部门责令改正，没收违法所得，并处</w:t>
      </w:r>
      <w:r>
        <w:rPr>
          <w:rFonts w:hint="eastAsia" w:ascii="Times New Roman" w:hAnsi="Times New Roman"/>
          <w:color w:val="000000" w:themeColor="text1"/>
          <w:szCs w:val="21"/>
          <w14:textFill>
            <w14:solidFill>
              <w14:schemeClr w14:val="tx1"/>
            </w14:solidFill>
          </w14:textFill>
        </w:rPr>
        <w:t>1</w:t>
      </w:r>
      <w:r>
        <w:rPr>
          <w:rFonts w:ascii="Times New Roman" w:hAnsi="Times New Roman"/>
          <w:color w:val="000000" w:themeColor="text1"/>
          <w:szCs w:val="21"/>
          <w14:textFill>
            <w14:solidFill>
              <w14:schemeClr w14:val="tx1"/>
            </w14:solidFill>
          </w14:textFill>
        </w:rPr>
        <w:t>万元以上</w:t>
      </w:r>
      <w:r>
        <w:rPr>
          <w:rFonts w:hint="eastAsia" w:ascii="Times New Roman" w:hAnsi="Times New Roman"/>
          <w:color w:val="000000" w:themeColor="text1"/>
          <w:szCs w:val="21"/>
          <w14:textFill>
            <w14:solidFill>
              <w14:schemeClr w14:val="tx1"/>
            </w14:solidFill>
          </w14:textFill>
        </w:rPr>
        <w:t>5</w:t>
      </w:r>
      <w:r>
        <w:rPr>
          <w:rFonts w:ascii="Times New Roman" w:hAnsi="Times New Roman"/>
          <w:color w:val="000000" w:themeColor="text1"/>
          <w:szCs w:val="21"/>
          <w14:textFill>
            <w14:solidFill>
              <w14:schemeClr w14:val="tx1"/>
            </w14:solidFill>
          </w14:textFill>
        </w:rPr>
        <w:t>万元以下的罚款；情节严重的，吊销许可证。</w:t>
      </w:r>
    </w:p>
    <w:p w14:paraId="08C691D2">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未经劳动保障行政部门许可，从事职业介绍、职业技能培训或者职业技能考核鉴定的组织或者个人，由劳动保障行政部门、工商行政管理部门依照国家有关无照经营查处取缔的规定查处取缔。</w:t>
      </w:r>
    </w:p>
    <w:p w14:paraId="44D4D11F">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第二十九条</w:t>
      </w:r>
      <w:r>
        <w:rPr>
          <w:rFonts w:ascii="Times New Roman" w:hAnsi="Times New Roman"/>
          <w:color w:val="000000" w:themeColor="text1"/>
          <w:szCs w:val="21"/>
          <w14:textFill>
            <w14:solidFill>
              <w14:schemeClr w14:val="tx1"/>
            </w14:solidFill>
          </w14:textFill>
        </w:rPr>
        <w:t xml:space="preserve"> </w:t>
      </w:r>
      <w:r>
        <w:rPr>
          <w:rFonts w:hint="eastAsia" w:ascii="Times New Roman" w:hAnsi="Times New Roman"/>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用人单位违反《中华人民共和国工会法》，有下列行为之一的，由劳动保障行政部门责令改正：</w:t>
      </w:r>
    </w:p>
    <w:p w14:paraId="33677611">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（一）阻挠劳动者依法参加和组织工会，或者阻挠上级工会帮助、指导劳动者筹建工会的；</w:t>
      </w:r>
    </w:p>
    <w:p w14:paraId="232941EB">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（二）无正当理由调动依法履行职责的工会工作人员的工作岗位，进行打击报复的；</w:t>
      </w:r>
    </w:p>
    <w:p w14:paraId="00D2A2C0">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（三）劳动者因参加工会活动而被解除劳动合同的；</w:t>
      </w:r>
    </w:p>
    <w:p w14:paraId="2BBA5314">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（四）工会工作人员因依法履行职责被解除劳动合同的。</w:t>
      </w:r>
    </w:p>
    <w:p w14:paraId="2611EA01">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第三十条</w:t>
      </w:r>
      <w:r>
        <w:rPr>
          <w:rFonts w:hint="eastAsia" w:ascii="黑体" w:hAnsi="黑体" w:eastAsia="黑体"/>
          <w:bCs/>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 xml:space="preserve"> 有下列行为之一的，由劳动保障行政部门责令改正；对有第（一）项、第（二）项或者第（三）项规定的行为的，处</w:t>
      </w:r>
      <w:r>
        <w:rPr>
          <w:rFonts w:hint="eastAsia" w:ascii="Times New Roman" w:hAnsi="Times New Roman"/>
          <w:color w:val="000000" w:themeColor="text1"/>
          <w:szCs w:val="21"/>
          <w14:textFill>
            <w14:solidFill>
              <w14:schemeClr w14:val="tx1"/>
            </w14:solidFill>
          </w14:textFill>
        </w:rPr>
        <w:t>2000</w:t>
      </w:r>
      <w:r>
        <w:rPr>
          <w:rFonts w:ascii="Times New Roman" w:hAnsi="Times New Roman"/>
          <w:color w:val="000000" w:themeColor="text1"/>
          <w:szCs w:val="21"/>
          <w14:textFill>
            <w14:solidFill>
              <w14:schemeClr w14:val="tx1"/>
            </w14:solidFill>
          </w14:textFill>
        </w:rPr>
        <w:t>元以上</w:t>
      </w:r>
      <w:r>
        <w:rPr>
          <w:rFonts w:hint="eastAsia" w:ascii="Times New Roman" w:hAnsi="Times New Roman"/>
          <w:color w:val="000000" w:themeColor="text1"/>
          <w:szCs w:val="21"/>
          <w14:textFill>
            <w14:solidFill>
              <w14:schemeClr w14:val="tx1"/>
            </w14:solidFill>
          </w14:textFill>
        </w:rPr>
        <w:t>2</w:t>
      </w:r>
      <w:r>
        <w:rPr>
          <w:rFonts w:ascii="Times New Roman" w:hAnsi="Times New Roman"/>
          <w:color w:val="000000" w:themeColor="text1"/>
          <w:szCs w:val="21"/>
          <w14:textFill>
            <w14:solidFill>
              <w14:schemeClr w14:val="tx1"/>
            </w14:solidFill>
          </w14:textFill>
        </w:rPr>
        <w:t>万元以下的罚款：</w:t>
      </w:r>
    </w:p>
    <w:p w14:paraId="184AEF23">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（一）无理抗拒、阻挠劳动保障行政部门依照本条例的规定实施劳动保障监察的；</w:t>
      </w:r>
    </w:p>
    <w:p w14:paraId="0DC4C77B">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（二）不按照劳动保障行政部门的要求报送书面材料，隐瞒事实真相，出具伪证或者隐匿、毁灭证据的；</w:t>
      </w:r>
    </w:p>
    <w:p w14:paraId="51256687">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（三）经劳动保障行政部门责令改正拒不改正，或者拒不履行劳动保障行政部门的行政处理决定的；</w:t>
      </w:r>
    </w:p>
    <w:p w14:paraId="22DB2B04">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（四）打击报复举报人、投诉人的。</w:t>
      </w:r>
    </w:p>
    <w:p w14:paraId="4D0DEBB4">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违反前款规定，构成违反治安管理行为的，由公安机关依法给予治安管理处罚；构成犯罪的，依法追究刑事责任。</w:t>
      </w:r>
    </w:p>
    <w:p w14:paraId="2A183B86">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第三十一条</w:t>
      </w:r>
      <w:r>
        <w:rPr>
          <w:rFonts w:ascii="Times New Roman" w:hAnsi="Times New Roman"/>
          <w:color w:val="000000" w:themeColor="text1"/>
          <w:szCs w:val="21"/>
          <w14:textFill>
            <w14:solidFill>
              <w14:schemeClr w14:val="tx1"/>
            </w14:solidFill>
          </w14:textFill>
        </w:rPr>
        <w:t xml:space="preserve"> </w:t>
      </w:r>
      <w:r>
        <w:rPr>
          <w:rFonts w:hint="eastAsia" w:ascii="Times New Roman" w:hAnsi="Times New Roman"/>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劳动保障监察员滥用职权、玩忽职守、徇私舞弊或者泄露在履行职责过程中知悉的商业秘密的，依法给予行政处分；构成犯罪的，依法追究刑事责任。</w:t>
      </w:r>
    </w:p>
    <w:p w14:paraId="7EB04311">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劳动保障行政部门和劳动保障监察员违法行使职权，侵犯用人单位或者劳动者的合法权益的，依法承担赔偿责任。</w:t>
      </w:r>
    </w:p>
    <w:p w14:paraId="4B09D6A4">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第三十二条</w:t>
      </w:r>
      <w:r>
        <w:rPr>
          <w:rFonts w:ascii="Times New Roman" w:hAnsi="Times New Roman"/>
          <w:b/>
          <w:color w:val="000000" w:themeColor="text1"/>
          <w:szCs w:val="21"/>
          <w14:textFill>
            <w14:solidFill>
              <w14:schemeClr w14:val="tx1"/>
            </w14:solidFill>
          </w14:textFill>
        </w:rPr>
        <w:t xml:space="preserve"> </w:t>
      </w:r>
      <w:r>
        <w:rPr>
          <w:rFonts w:hint="eastAsia" w:ascii="Times New Roman" w:hAnsi="Times New Roman"/>
          <w:b/>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属于本条例规定的劳动保障监察事项，法律、其他行政法规对处罚另有规定的，从其规定。</w:t>
      </w:r>
    </w:p>
    <w:p w14:paraId="537C27F8">
      <w:pPr>
        <w:spacing w:before="120" w:beforeLines="50" w:after="120" w:afterLines="50" w:line="400" w:lineRule="exact"/>
        <w:jc w:val="center"/>
        <w:rPr>
          <w:rFonts w:hint="eastAsia" w:ascii="黑体" w:hAnsi="黑体" w:eastAsia="黑体"/>
          <w:color w:val="000000" w:themeColor="text1"/>
          <w:sz w:val="24"/>
          <w:szCs w:val="24"/>
          <w14:textFill>
            <w14:solidFill>
              <w14:schemeClr w14:val="tx1"/>
            </w14:solidFill>
          </w14:textFill>
        </w:rPr>
      </w:pPr>
      <w:r>
        <w:rPr>
          <w:rFonts w:hint="eastAsia" w:ascii="黑体" w:hAnsi="黑体" w:eastAsia="黑体"/>
          <w:color w:val="000000" w:themeColor="text1"/>
          <w:sz w:val="24"/>
          <w:szCs w:val="24"/>
          <w14:textFill>
            <w14:solidFill>
              <w14:schemeClr w14:val="tx1"/>
            </w14:solidFill>
          </w14:textFill>
        </w:rPr>
        <w:t>第五章  附则</w:t>
      </w:r>
    </w:p>
    <w:p w14:paraId="5D163F7E">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第三十三条</w:t>
      </w:r>
      <w:r>
        <w:rPr>
          <w:rFonts w:ascii="Times New Roman" w:hAnsi="Times New Roman"/>
          <w:color w:val="000000" w:themeColor="text1"/>
          <w:szCs w:val="21"/>
          <w14:textFill>
            <w14:solidFill>
              <w14:schemeClr w14:val="tx1"/>
            </w14:solidFill>
          </w14:textFill>
        </w:rPr>
        <w:t xml:space="preserve"> </w:t>
      </w:r>
      <w:r>
        <w:rPr>
          <w:rFonts w:hint="eastAsia" w:ascii="Times New Roman" w:hAnsi="Times New Roman"/>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对无营业执照或者已被依法吊销营业执照，有劳动用工行为的，由劳动保障行政部门依照本条例实施劳动保障监察，并及时通报工商行政管理部门予以查处取缔。</w:t>
      </w:r>
    </w:p>
    <w:p w14:paraId="398E9BEA">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第三十四条</w:t>
      </w:r>
      <w:r>
        <w:rPr>
          <w:rFonts w:ascii="Times New Roman" w:hAnsi="Times New Roman"/>
          <w:color w:val="000000" w:themeColor="text1"/>
          <w:szCs w:val="21"/>
          <w14:textFill>
            <w14:solidFill>
              <w14:schemeClr w14:val="tx1"/>
            </w14:solidFill>
          </w14:textFill>
        </w:rPr>
        <w:t xml:space="preserve"> </w:t>
      </w:r>
      <w:r>
        <w:rPr>
          <w:rFonts w:hint="eastAsia" w:ascii="Times New Roman" w:hAnsi="Times New Roman"/>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国家机关、事业单位、社会团体执行劳动保障法律、法规和规章的情况，由劳动保障行政部门根据其职责，依照本条例实施劳动保障监察。</w:t>
      </w:r>
    </w:p>
    <w:p w14:paraId="2F00435D">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第三十五条</w:t>
      </w:r>
      <w:r>
        <w:rPr>
          <w:rFonts w:ascii="Times New Roman" w:hAnsi="Times New Roman"/>
          <w:color w:val="000000" w:themeColor="text1"/>
          <w:szCs w:val="21"/>
          <w14:textFill>
            <w14:solidFill>
              <w14:schemeClr w14:val="tx1"/>
            </w14:solidFill>
          </w14:textFill>
        </w:rPr>
        <w:t xml:space="preserve"> </w:t>
      </w:r>
      <w:r>
        <w:rPr>
          <w:rFonts w:hint="eastAsia" w:ascii="Times New Roman" w:hAnsi="Times New Roman"/>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劳动安全卫生的监督检查，由卫生部门、安全生产监督管理部门、特种设备安全监督管理部门等有关部门依照有关法律、行政法规的规定执行。</w:t>
      </w:r>
    </w:p>
    <w:p w14:paraId="38251B15">
      <w:pPr>
        <w:spacing w:line="320" w:lineRule="exact"/>
        <w:ind w:firstLine="420" w:firstLineChars="200"/>
        <w:rPr>
          <w:rFonts w:ascii="Times New Roman" w:hAnsi="Times New Roman"/>
          <w:color w:val="000000" w:themeColor="text1"/>
          <w14:textFill>
            <w14:solidFill>
              <w14:schemeClr w14:val="tx1"/>
            </w14:solidFill>
          </w14:textFill>
        </w:rPr>
      </w:pPr>
      <w:r>
        <w:rPr>
          <w:rFonts w:ascii="黑体" w:hAnsi="黑体" w:eastAsia="黑体"/>
          <w:bCs/>
          <w:color w:val="000000" w:themeColor="text1"/>
          <w:szCs w:val="21"/>
          <w14:textFill>
            <w14:solidFill>
              <w14:schemeClr w14:val="tx1"/>
            </w14:solidFill>
          </w14:textFill>
        </w:rPr>
        <w:t>第三十六条</w:t>
      </w:r>
      <w:r>
        <w:rPr>
          <w:rFonts w:ascii="Times New Roman" w:hAnsi="Times New Roman"/>
          <w:color w:val="000000" w:themeColor="text1"/>
          <w:szCs w:val="21"/>
          <w14:textFill>
            <w14:solidFill>
              <w14:schemeClr w14:val="tx1"/>
            </w14:solidFill>
          </w14:textFill>
        </w:rPr>
        <w:t xml:space="preserve"> </w:t>
      </w:r>
      <w:r>
        <w:rPr>
          <w:rFonts w:hint="eastAsia" w:ascii="Times New Roman" w:hAnsi="Times New Roman"/>
          <w:color w:val="000000" w:themeColor="text1"/>
          <w:szCs w:val="21"/>
          <w14:textFill>
            <w14:solidFill>
              <w14:schemeClr w14:val="tx1"/>
            </w14:solidFill>
          </w14:textFill>
        </w:rPr>
        <w:t xml:space="preserve"> </w:t>
      </w:r>
      <w:r>
        <w:rPr>
          <w:rFonts w:ascii="Times New Roman" w:hAnsi="Times New Roman"/>
          <w:color w:val="000000" w:themeColor="text1"/>
          <w:szCs w:val="21"/>
          <w14:textFill>
            <w14:solidFill>
              <w14:schemeClr w14:val="tx1"/>
            </w14:solidFill>
          </w14:textFill>
        </w:rPr>
        <w:t>本条例自</w:t>
      </w:r>
      <w:r>
        <w:rPr>
          <w:rFonts w:hint="eastAsia" w:ascii="Times New Roman" w:hAnsi="Times New Roman"/>
          <w:color w:val="000000" w:themeColor="text1"/>
          <w:szCs w:val="21"/>
          <w14:textFill>
            <w14:solidFill>
              <w14:schemeClr w14:val="tx1"/>
            </w14:solidFill>
          </w14:textFill>
        </w:rPr>
        <w:t>2004</w:t>
      </w:r>
      <w:r>
        <w:rPr>
          <w:rFonts w:ascii="Times New Roman" w:hAnsi="Times New Roman"/>
          <w:color w:val="000000" w:themeColor="text1"/>
          <w:szCs w:val="21"/>
          <w14:textFill>
            <w14:solidFill>
              <w14:schemeClr w14:val="tx1"/>
            </w14:solidFill>
          </w14:textFill>
        </w:rPr>
        <w:t>年</w:t>
      </w:r>
      <w:r>
        <w:rPr>
          <w:rFonts w:hint="eastAsia" w:ascii="Times New Roman" w:hAnsi="Times New Roman"/>
          <w:color w:val="000000" w:themeColor="text1"/>
          <w:szCs w:val="21"/>
          <w14:textFill>
            <w14:solidFill>
              <w14:schemeClr w14:val="tx1"/>
            </w14:solidFill>
          </w14:textFill>
        </w:rPr>
        <w:t>12</w:t>
      </w:r>
      <w:r>
        <w:rPr>
          <w:rFonts w:ascii="Times New Roman" w:hAnsi="Times New Roman"/>
          <w:color w:val="000000" w:themeColor="text1"/>
          <w:szCs w:val="21"/>
          <w14:textFill>
            <w14:solidFill>
              <w14:schemeClr w14:val="tx1"/>
            </w14:solidFill>
          </w14:textFill>
        </w:rPr>
        <w:t>月</w:t>
      </w:r>
      <w:r>
        <w:rPr>
          <w:rFonts w:hint="eastAsia" w:ascii="Times New Roman" w:hAnsi="Times New Roman"/>
          <w:color w:val="000000" w:themeColor="text1"/>
          <w:szCs w:val="21"/>
          <w14:textFill>
            <w14:solidFill>
              <w14:schemeClr w14:val="tx1"/>
            </w14:solidFill>
          </w14:textFill>
        </w:rPr>
        <w:t>1</w:t>
      </w:r>
      <w:r>
        <w:rPr>
          <w:rFonts w:ascii="Times New Roman" w:hAnsi="Times New Roman"/>
          <w:color w:val="000000" w:themeColor="text1"/>
          <w:szCs w:val="21"/>
          <w14:textFill>
            <w14:solidFill>
              <w14:schemeClr w14:val="tx1"/>
            </w14:solidFill>
          </w14:textFill>
        </w:rPr>
        <w:t>日起施行。</w:t>
      </w:r>
      <w:r>
        <w:rPr>
          <w:rFonts w:ascii="Times New Roman" w:hAnsi="Times New Roman"/>
          <w:color w:val="000000" w:themeColor="text1"/>
          <w14:textFill>
            <w14:solidFill>
              <w14:schemeClr w14:val="tx1"/>
            </w14:solidFill>
          </w14:textFill>
        </w:rPr>
        <w:br w:type="page"/>
      </w:r>
    </w:p>
    <w:p w14:paraId="028CB55F">
      <w:pPr>
        <w:spacing w:line="400" w:lineRule="exact"/>
        <w:jc w:val="center"/>
        <w:outlineLvl w:val="2"/>
        <w:rPr>
          <w:rFonts w:ascii="Times New Roman" w:hAnsi="Times New Roman" w:eastAsia="华文中宋"/>
          <w:b/>
          <w:bCs/>
          <w:color w:val="000000" w:themeColor="text1"/>
          <w:sz w:val="32"/>
          <w:szCs w:val="32"/>
          <w14:textFill>
            <w14:solidFill>
              <w14:schemeClr w14:val="tx1"/>
            </w14:solidFill>
          </w14:textFill>
        </w:rPr>
      </w:pPr>
      <w:r>
        <w:rPr>
          <w:rFonts w:hint="eastAsia" w:ascii="Times New Roman" w:hAnsi="Times New Roman" w:eastAsia="华文中宋"/>
          <w:b/>
          <w:bCs/>
          <w:color w:val="000000" w:themeColor="text1"/>
          <w:sz w:val="32"/>
          <w:szCs w:val="32"/>
          <w14:textFill>
            <w14:solidFill>
              <w14:schemeClr w14:val="tx1"/>
            </w14:solidFill>
          </w14:textFill>
        </w:rPr>
        <w:t>劳动和社会保障部令</w:t>
      </w:r>
    </w:p>
    <w:p w14:paraId="6B16AE96">
      <w:pPr>
        <w:spacing w:line="320" w:lineRule="exact"/>
        <w:jc w:val="center"/>
        <w:outlineLvl w:val="3"/>
        <w:rPr>
          <w:rFonts w:ascii="Times New Roman" w:hAnsi="Times New Roman" w:eastAsia="华文楷体"/>
          <w:color w:val="000000" w:themeColor="text1"/>
          <w:szCs w:val="21"/>
          <w14:textFill>
            <w14:solidFill>
              <w14:schemeClr w14:val="tx1"/>
            </w14:solidFill>
          </w14:textFill>
        </w:rPr>
      </w:pPr>
      <w:r>
        <w:rPr>
          <w:rFonts w:hint="eastAsia" w:ascii="Times New Roman" w:hAnsi="Times New Roman" w:eastAsia="华文楷体"/>
          <w:color w:val="000000" w:themeColor="text1"/>
          <w:szCs w:val="21"/>
          <w14:textFill>
            <w14:solidFill>
              <w14:schemeClr w14:val="tx1"/>
            </w14:solidFill>
          </w14:textFill>
        </w:rPr>
        <w:t>第25号</w:t>
      </w:r>
    </w:p>
    <w:p w14:paraId="6034AFB9">
      <w:pPr>
        <w:spacing w:line="320" w:lineRule="exact"/>
        <w:ind w:firstLine="420" w:firstLineChars="200"/>
        <w:rPr>
          <w:rFonts w:ascii="Times New Roman" w:hAnsi="Times New Roman"/>
          <w:color w:val="000000" w:themeColor="text1"/>
          <w:szCs w:val="21"/>
          <w14:textFill>
            <w14:solidFill>
              <w14:schemeClr w14:val="tx1"/>
            </w14:solidFill>
          </w14:textFill>
        </w:rPr>
      </w:pPr>
    </w:p>
    <w:p w14:paraId="60462718">
      <w:pPr>
        <w:spacing w:line="320" w:lineRule="exact"/>
        <w:ind w:firstLine="420" w:firstLineChars="200"/>
        <w:rPr>
          <w:rFonts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《关于实施</w:t>
      </w:r>
      <w:r>
        <w:rPr>
          <w:rFonts w:hint="eastAsia" w:asciiTheme="minorEastAsia" w:hAnsiTheme="minorEastAsia" w:eastAsiaTheme="minorEastAsia"/>
          <w:color w:val="000000" w:themeColor="text1"/>
          <w:szCs w:val="21"/>
          <w14:textFill>
            <w14:solidFill>
              <w14:schemeClr w14:val="tx1"/>
            </w14:solidFill>
          </w14:textFill>
        </w:rPr>
        <w:t>&lt;</w:t>
      </w:r>
      <w:r>
        <w:rPr>
          <w:rFonts w:hint="eastAsia" w:ascii="Times New Roman" w:hAnsi="Times New Roman"/>
          <w:color w:val="000000" w:themeColor="text1"/>
          <w:szCs w:val="21"/>
          <w14:textFill>
            <w14:solidFill>
              <w14:schemeClr w14:val="tx1"/>
            </w14:solidFill>
          </w14:textFill>
        </w:rPr>
        <w:t>劳动保障监察条例</w:t>
      </w:r>
      <w:r>
        <w:rPr>
          <w:rFonts w:hint="eastAsia" w:asciiTheme="minorEastAsia" w:hAnsiTheme="minorEastAsia" w:eastAsiaTheme="minorEastAsia"/>
          <w:color w:val="000000" w:themeColor="text1"/>
          <w:szCs w:val="21"/>
          <w14:textFill>
            <w14:solidFill>
              <w14:schemeClr w14:val="tx1"/>
            </w14:solidFill>
          </w14:textFill>
        </w:rPr>
        <w:t>&gt;</w:t>
      </w:r>
      <w:r>
        <w:rPr>
          <w:rFonts w:hint="eastAsia" w:ascii="Times New Roman" w:hAnsi="Times New Roman"/>
          <w:color w:val="000000" w:themeColor="text1"/>
          <w:szCs w:val="21"/>
          <w14:textFill>
            <w14:solidFill>
              <w14:schemeClr w14:val="tx1"/>
            </w14:solidFill>
          </w14:textFill>
        </w:rPr>
        <w:t>若干规定》已经劳动和社会保障部第9次部务会议讨论通过，现予公布，自2005年2月1日起施行。</w:t>
      </w:r>
    </w:p>
    <w:p w14:paraId="7E56AA38">
      <w:pPr>
        <w:spacing w:line="320" w:lineRule="exact"/>
        <w:ind w:firstLine="420" w:firstLineChars="200"/>
        <w:rPr>
          <w:rFonts w:ascii="Times New Roman" w:hAnsi="Times New Roman"/>
          <w:color w:val="000000" w:themeColor="text1"/>
          <w:szCs w:val="21"/>
          <w14:textFill>
            <w14:solidFill>
              <w14:schemeClr w14:val="tx1"/>
            </w14:solidFill>
          </w14:textFill>
        </w:rPr>
      </w:pPr>
    </w:p>
    <w:p w14:paraId="5DCD12C3">
      <w:pPr>
        <w:spacing w:line="320" w:lineRule="exact"/>
        <w:ind w:firstLine="4200" w:firstLineChars="2000"/>
        <w:jc w:val="center"/>
        <w:rPr>
          <w:rFonts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部  长    郑斯林</w:t>
      </w:r>
    </w:p>
    <w:p w14:paraId="1F55BCC0">
      <w:pPr>
        <w:spacing w:line="320" w:lineRule="exact"/>
        <w:ind w:firstLine="4200" w:firstLineChars="2000"/>
        <w:jc w:val="center"/>
        <w:rPr>
          <w:rFonts w:ascii="Times New Roman" w:hAnsi="Times New Roman"/>
          <w:color w:val="000000" w:themeColor="text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2004年12月31日</w:t>
      </w:r>
    </w:p>
    <w:p w14:paraId="3736D988">
      <w:pPr>
        <w:pStyle w:val="2"/>
        <w:spacing w:line="320" w:lineRule="exact"/>
      </w:pPr>
    </w:p>
    <w:p w14:paraId="4E4410B2">
      <w:pPr>
        <w:spacing w:line="320" w:lineRule="exact"/>
      </w:pPr>
    </w:p>
    <w:p w14:paraId="244151C9">
      <w:pPr>
        <w:spacing w:line="400" w:lineRule="exact"/>
        <w:jc w:val="center"/>
        <w:rPr>
          <w:rFonts w:ascii="Times New Roman" w:hAnsi="Times New Roman" w:eastAsia="华文中宋"/>
          <w:b/>
          <w:bCs/>
          <w:color w:val="000000" w:themeColor="text1"/>
          <w:sz w:val="32"/>
          <w:szCs w:val="32"/>
          <w14:textFill>
            <w14:solidFill>
              <w14:schemeClr w14:val="tx1"/>
            </w14:solidFill>
          </w14:textFill>
        </w:rPr>
      </w:pPr>
      <w:r>
        <w:rPr>
          <w:rFonts w:ascii="Times New Roman" w:hAnsi="Times New Roman" w:eastAsia="华文中宋"/>
          <w:b/>
          <w:bCs/>
          <w:color w:val="000000" w:themeColor="text1"/>
          <w:sz w:val="32"/>
          <w:szCs w:val="32"/>
          <w14:textFill>
            <w14:solidFill>
              <w14:schemeClr w14:val="tx1"/>
            </w14:solidFill>
          </w14:textFill>
        </w:rPr>
        <w:t>关于实施《劳动保障监察条例》若干规定</w:t>
      </w:r>
    </w:p>
    <w:p w14:paraId="78EB4CAE">
      <w:pPr>
        <w:spacing w:line="320" w:lineRule="exact"/>
        <w:ind w:firstLine="420" w:firstLineChars="200"/>
        <w:jc w:val="left"/>
        <w:rPr>
          <w:rFonts w:ascii="Times New Roman" w:hAnsi="Times New Roman" w:eastAsia="华文楷体"/>
          <w:color w:val="000000" w:themeColor="text1"/>
          <w:szCs w:val="21"/>
          <w14:textFill>
            <w14:solidFill>
              <w14:schemeClr w14:val="tx1"/>
            </w14:solidFill>
          </w14:textFill>
        </w:rPr>
      </w:pPr>
      <w:r>
        <w:rPr>
          <w:rFonts w:ascii="Times New Roman" w:hAnsi="Times New Roman" w:eastAsia="华文楷体"/>
          <w:color w:val="000000" w:themeColor="text1"/>
          <w:szCs w:val="21"/>
          <w14:textFill>
            <w14:solidFill>
              <w14:schemeClr w14:val="tx1"/>
            </w14:solidFill>
          </w14:textFill>
        </w:rPr>
        <w:t>（2004年12月31日劳动保障部令第25号公布 自2005年2月1日起施行根据2022年1月7日《人力资源社会保障部关于修改部分规章的决定》第一次修订）</w:t>
      </w:r>
    </w:p>
    <w:p w14:paraId="75E9A60B">
      <w:pPr>
        <w:spacing w:line="320" w:lineRule="exact"/>
        <w:rPr>
          <w:rFonts w:ascii="Times New Roman" w:hAnsi="Times New Roman"/>
          <w:color w:val="000000" w:themeColor="text1"/>
          <w:szCs w:val="21"/>
          <w14:textFill>
            <w14:solidFill>
              <w14:schemeClr w14:val="tx1"/>
            </w14:solidFill>
          </w14:textFill>
        </w:rPr>
      </w:pPr>
    </w:p>
    <w:p w14:paraId="1F93F77F">
      <w:pPr>
        <w:spacing w:before="120" w:beforeLines="50" w:after="120" w:afterLines="50" w:line="320" w:lineRule="exact"/>
        <w:jc w:val="center"/>
        <w:rPr>
          <w:rFonts w:hint="eastAsia" w:ascii="黑体" w:hAnsi="黑体" w:eastAsia="黑体"/>
          <w:color w:val="000000" w:themeColor="text1"/>
          <w:sz w:val="24"/>
          <w:szCs w:val="24"/>
          <w14:textFill>
            <w14:solidFill>
              <w14:schemeClr w14:val="tx1"/>
            </w14:solidFill>
          </w14:textFill>
        </w:rPr>
      </w:pPr>
      <w:r>
        <w:rPr>
          <w:rFonts w:ascii="黑体" w:hAnsi="黑体" w:eastAsia="黑体"/>
          <w:color w:val="000000" w:themeColor="text1"/>
          <w:sz w:val="24"/>
          <w:szCs w:val="24"/>
          <w14:textFill>
            <w14:solidFill>
              <w14:schemeClr w14:val="tx1"/>
            </w14:solidFill>
          </w14:textFill>
        </w:rPr>
        <w:t>第一章</w:t>
      </w:r>
      <w:r>
        <w:rPr>
          <w:rFonts w:hint="eastAsia" w:ascii="黑体" w:hAnsi="黑体" w:eastAsia="黑体"/>
          <w:color w:val="000000" w:themeColor="text1"/>
          <w:sz w:val="24"/>
          <w:szCs w:val="24"/>
          <w14:textFill>
            <w14:solidFill>
              <w14:schemeClr w14:val="tx1"/>
            </w14:solidFill>
          </w14:textFill>
        </w:rPr>
        <w:t xml:space="preserve">  </w:t>
      </w:r>
      <w:r>
        <w:rPr>
          <w:rFonts w:ascii="黑体" w:hAnsi="黑体" w:eastAsia="黑体"/>
          <w:color w:val="000000" w:themeColor="text1"/>
          <w:sz w:val="24"/>
          <w:szCs w:val="24"/>
          <w14:textFill>
            <w14:solidFill>
              <w14:schemeClr w14:val="tx1"/>
            </w14:solidFill>
          </w14:textFill>
        </w:rPr>
        <w:t>总则</w:t>
      </w:r>
    </w:p>
    <w:p w14:paraId="0A8A9496">
      <w:pPr>
        <w:spacing w:line="320" w:lineRule="exact"/>
        <w:ind w:firstLine="420" w:firstLineChars="200"/>
        <w:rPr>
          <w:rFonts w:ascii="Times New Roman" w:hAnsi="Times New Roman" w:eastAsiaTheme="minorEastAsia"/>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第一条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为了实施《劳动保障监察条例》，规范劳动保障监察行为，制定本规定。</w:t>
      </w:r>
    </w:p>
    <w:p w14:paraId="017302FB">
      <w:pPr>
        <w:spacing w:line="320" w:lineRule="exact"/>
        <w:ind w:firstLine="420" w:firstLineChars="200"/>
        <w:rPr>
          <w:rFonts w:ascii="Times New Roman" w:hAnsi="Times New Roman" w:eastAsiaTheme="minorEastAsia"/>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第二条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劳动保障行政部门及所属劳动保障监察机构对企业和个体工商户（以下称用人单位）遵守劳动保障法律、法规和规章（以下简称劳动保障法律）的情况进行监察，适用本规定；对职业介绍机构、职业技能培训机构和职业技能考核鉴定机构进行劳动保障监察，依照本规定执行；对国家机关、事业单位、社会团体执行劳动保障法律情况进行劳动保障监察，根据劳动保障行政部门的职责，依照本规定执行。</w:t>
      </w:r>
    </w:p>
    <w:p w14:paraId="34460B69">
      <w:pPr>
        <w:spacing w:line="320" w:lineRule="exact"/>
        <w:ind w:firstLine="420" w:firstLineChars="200"/>
        <w:rPr>
          <w:rFonts w:ascii="Times New Roman" w:hAnsi="Times New Roman" w:eastAsiaTheme="minorEastAsia"/>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第三条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劳动保障监察遵循公正、公开、高效、便民的原则。</w:t>
      </w:r>
    </w:p>
    <w:p w14:paraId="7E3085C5">
      <w:pPr>
        <w:spacing w:line="320" w:lineRule="exact"/>
        <w:ind w:firstLine="420" w:firstLineChars="200"/>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实施劳动保障行政处罚坚持以事实为依据，以法律为准绳，坚持教育与处罚相结合，接受社会监督。</w:t>
      </w:r>
    </w:p>
    <w:p w14:paraId="2688DEFA">
      <w:pPr>
        <w:spacing w:line="320" w:lineRule="exact"/>
        <w:ind w:firstLine="420" w:firstLineChars="200"/>
        <w:rPr>
          <w:rFonts w:ascii="Times New Roman" w:hAnsi="Times New Roman" w:eastAsiaTheme="minorEastAsia"/>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第四条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劳动保障监察实行回避制度。</w:t>
      </w:r>
    </w:p>
    <w:p w14:paraId="6BDED730">
      <w:pPr>
        <w:spacing w:line="320" w:lineRule="exact"/>
        <w:ind w:firstLine="420" w:firstLineChars="200"/>
        <w:rPr>
          <w:rFonts w:ascii="Times New Roman" w:hAnsi="Times New Roman" w:eastAsiaTheme="minorEastAsia"/>
          <w:color w:val="000000" w:themeColor="text1"/>
          <w:szCs w:val="21"/>
          <w14:textFill>
            <w14:solidFill>
              <w14:schemeClr w14:val="tx1"/>
            </w14:solidFill>
          </w14:textFill>
        </w:rPr>
      </w:pPr>
      <w:r>
        <w:rPr>
          <w:rFonts w:ascii="黑体" w:hAnsi="黑体" w:eastAsia="黑体"/>
          <w:bCs/>
          <w:color w:val="000000" w:themeColor="text1"/>
          <w:szCs w:val="21"/>
          <w14:textFill>
            <w14:solidFill>
              <w14:schemeClr w14:val="tx1"/>
            </w14:solidFill>
          </w14:textFill>
        </w:rPr>
        <w:t>第五条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县级以上劳动保障行政部门设立的劳动保障监察行政机构和劳动保障行政部门依法委托实施劳动保障监察的组织（以下统称劳动保障监察机构）具体负责劳动保障监察管理工作。</w:t>
      </w:r>
    </w:p>
    <w:p w14:paraId="5EF23962">
      <w:pPr>
        <w:spacing w:before="120" w:beforeLines="50" w:after="120" w:afterLines="50" w:line="320" w:lineRule="exact"/>
        <w:jc w:val="center"/>
        <w:rPr>
          <w:rFonts w:hint="eastAsia" w:ascii="黑体" w:hAnsi="黑体" w:eastAsia="黑体"/>
          <w:color w:val="000000" w:themeColor="text1"/>
          <w:sz w:val="24"/>
          <w:szCs w:val="24"/>
          <w14:textFill>
            <w14:solidFill>
              <w14:schemeClr w14:val="tx1"/>
            </w14:solidFill>
          </w14:textFill>
        </w:rPr>
      </w:pPr>
      <w:r>
        <w:rPr>
          <w:rFonts w:ascii="黑体" w:hAnsi="黑体" w:eastAsia="黑体"/>
          <w:color w:val="000000" w:themeColor="text1"/>
          <w:sz w:val="24"/>
          <w:szCs w:val="24"/>
          <w14:textFill>
            <w14:solidFill>
              <w14:schemeClr w14:val="tx1"/>
            </w14:solidFill>
          </w14:textFill>
        </w:rPr>
        <w:t>第二章</w:t>
      </w:r>
      <w:r>
        <w:rPr>
          <w:rFonts w:hint="eastAsia" w:ascii="黑体" w:hAnsi="黑体" w:eastAsia="黑体"/>
          <w:color w:val="000000" w:themeColor="text1"/>
          <w:sz w:val="24"/>
          <w:szCs w:val="24"/>
          <w14:textFill>
            <w14:solidFill>
              <w14:schemeClr w14:val="tx1"/>
            </w14:solidFill>
          </w14:textFill>
        </w:rPr>
        <w:t xml:space="preserve">  </w:t>
      </w:r>
      <w:r>
        <w:rPr>
          <w:rFonts w:ascii="黑体" w:hAnsi="黑体" w:eastAsia="黑体"/>
          <w:color w:val="000000" w:themeColor="text1"/>
          <w:sz w:val="24"/>
          <w:szCs w:val="24"/>
          <w14:textFill>
            <w14:solidFill>
              <w14:schemeClr w14:val="tx1"/>
            </w14:solidFill>
          </w14:textFill>
        </w:rPr>
        <w:t>一般规定</w:t>
      </w:r>
    </w:p>
    <w:p w14:paraId="0D9042A4">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第六条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劳动保障行政部门对用人单位及其劳动场所的日常巡视检查，应当制定年度计划和中长期规划，确定重点检查范围，并按照现场检查的规定进行。</w:t>
      </w:r>
    </w:p>
    <w:p w14:paraId="72593F7A">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第七条</w:t>
      </w:r>
      <w:r>
        <w:rPr>
          <w:rFonts w:hint="eastAsia" w:ascii="黑体" w:hAnsi="黑体" w:eastAsia="黑体"/>
          <w:bCs/>
          <w:color w:val="000000" w:themeColor="text1"/>
          <w:szCs w:val="21"/>
          <w14:textFill>
            <w14:solidFill>
              <w14:schemeClr w14:val="tx1"/>
            </w14:solidFill>
          </w14:textFill>
        </w:rPr>
        <w:t xml:space="preserve"> </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劳动保障行政部门对用人单位按照要求报送的有关遵守劳动保障法律情况的书面材料应进行审查，并对审查中发现的问题及时予以纠正和查处。</w:t>
      </w:r>
    </w:p>
    <w:p w14:paraId="64E52A79">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第八条</w:t>
      </w:r>
      <w:r>
        <w:rPr>
          <w:rFonts w:hint="eastAsia" w:ascii="黑体" w:hAnsi="黑体" w:eastAsia="黑体"/>
          <w:bCs/>
          <w:color w:val="000000" w:themeColor="text1"/>
          <w:szCs w:val="21"/>
          <w14:textFill>
            <w14:solidFill>
              <w14:schemeClr w14:val="tx1"/>
            </w14:solidFill>
          </w14:textFill>
        </w:rPr>
        <w:t xml:space="preserve"> </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劳动保障行政部门可以针对劳动保障法律实施中存在的重点问题集中组织专项检查活动，必要时，可以联合有关部门或组织共同进行。</w:t>
      </w:r>
    </w:p>
    <w:p w14:paraId="469B473D">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第九条</w:t>
      </w:r>
      <w:r>
        <w:rPr>
          <w:rFonts w:hint="eastAsia" w:ascii="黑体" w:hAnsi="黑体" w:eastAsia="黑体"/>
          <w:bCs/>
          <w:color w:val="000000" w:themeColor="text1"/>
          <w:szCs w:val="21"/>
          <w14:textFill>
            <w14:solidFill>
              <w14:schemeClr w14:val="tx1"/>
            </w14:solidFill>
          </w14:textFill>
        </w:rPr>
        <w:t xml:space="preserve"> </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劳动保障行政部门应当设立举报、投诉信箱，公开举报、投诉电话，依法查处举报和投诉反映的违反劳动保障法律的行为。 </w:t>
      </w:r>
    </w:p>
    <w:p w14:paraId="4E08BC7C">
      <w:pPr>
        <w:spacing w:before="120" w:beforeLines="50" w:after="120" w:afterLines="50" w:line="320" w:lineRule="exact"/>
        <w:jc w:val="center"/>
        <w:rPr>
          <w:rFonts w:hint="eastAsia" w:ascii="黑体" w:hAnsi="黑体" w:eastAsia="黑体"/>
          <w:color w:val="000000" w:themeColor="text1"/>
          <w:sz w:val="24"/>
          <w:szCs w:val="24"/>
          <w14:textFill>
            <w14:solidFill>
              <w14:schemeClr w14:val="tx1"/>
            </w14:solidFill>
          </w14:textFill>
        </w:rPr>
      </w:pPr>
      <w:r>
        <w:rPr>
          <w:rFonts w:ascii="黑体" w:hAnsi="黑体" w:eastAsia="黑体"/>
          <w:color w:val="000000" w:themeColor="text1"/>
          <w:sz w:val="24"/>
          <w:szCs w:val="24"/>
          <w14:textFill>
            <w14:solidFill>
              <w14:schemeClr w14:val="tx1"/>
            </w14:solidFill>
          </w14:textFill>
        </w:rPr>
        <w:t>第三章</w:t>
      </w:r>
      <w:r>
        <w:rPr>
          <w:rFonts w:hint="eastAsia" w:ascii="黑体" w:hAnsi="黑体" w:eastAsia="黑体"/>
          <w:color w:val="000000" w:themeColor="text1"/>
          <w:sz w:val="24"/>
          <w:szCs w:val="24"/>
          <w14:textFill>
            <w14:solidFill>
              <w14:schemeClr w14:val="tx1"/>
            </w14:solidFill>
          </w14:textFill>
        </w:rPr>
        <w:t xml:space="preserve">  </w:t>
      </w:r>
      <w:r>
        <w:rPr>
          <w:rFonts w:ascii="黑体" w:hAnsi="黑体" w:eastAsia="黑体"/>
          <w:color w:val="000000" w:themeColor="text1"/>
          <w:sz w:val="24"/>
          <w:szCs w:val="24"/>
          <w14:textFill>
            <w14:solidFill>
              <w14:schemeClr w14:val="tx1"/>
            </w14:solidFill>
          </w14:textFill>
        </w:rPr>
        <w:t>受理与立案</w:t>
      </w:r>
      <w:r>
        <w:rPr>
          <w:rFonts w:eastAsia="黑体" w:cs="Calibri"/>
          <w:color w:val="000000" w:themeColor="text1"/>
          <w:sz w:val="24"/>
          <w:szCs w:val="24"/>
          <w14:textFill>
            <w14:solidFill>
              <w14:schemeClr w14:val="tx1"/>
            </w14:solidFill>
          </w14:textFill>
        </w:rPr>
        <w:t> </w:t>
      </w:r>
    </w:p>
    <w:p w14:paraId="4033CC45">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第十条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任何组织或个人对违反劳动保障法律的行为，有权向劳动保障行政部门举报。</w:t>
      </w:r>
    </w:p>
    <w:p w14:paraId="1E304A23">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第十一条</w:t>
      </w:r>
      <w:r>
        <w:rPr>
          <w:rFonts w:hint="eastAsia" w:ascii="黑体" w:hAnsi="黑体" w:eastAsia="黑体"/>
          <w:bCs/>
          <w:color w:val="000000" w:themeColor="text1"/>
          <w:szCs w:val="21"/>
          <w14:textFill>
            <w14:solidFill>
              <w14:schemeClr w14:val="tx1"/>
            </w14:solidFill>
          </w14:textFill>
        </w:rPr>
        <w:t xml:space="preserve"> </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劳动保障行政部门对举报人反映的违反劳动保障法律的行为应当依法予以查处，并为举报人保密；对举报属实，为查处重大违反劳动保障法律的行为提供主要线索和证据的举报人，给予奖励。</w:t>
      </w:r>
    </w:p>
    <w:p w14:paraId="3D98D6BD">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第十二条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劳动者对用人单位违反劳动保障法律、侵犯其合法权益的行为，有权向劳动保障行政部门投诉。对因同一事由引起的集体投诉，投诉人可推荐代表投诉。</w:t>
      </w:r>
    </w:p>
    <w:p w14:paraId="2B72E914">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第十三条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投诉应当由投诉人向劳动保障行政部门递交投诉文书。书写投诉文书确有困难的，可以口头投诉，由劳动保障监察机构进行笔录，并由投诉人签字。</w:t>
      </w:r>
    </w:p>
    <w:p w14:paraId="726464A0">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第十四条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投诉文书应当载明下列事项：</w:t>
      </w:r>
    </w:p>
    <w:p w14:paraId="10754F74">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（一）投诉人的姓名、性别、年龄、职业、工作单位、住所和联系方式，被投诉用人单位的名称、住所、法定代表人或者主要负责人的姓名、职务；</w:t>
      </w:r>
    </w:p>
    <w:p w14:paraId="7F75DC65">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（二）劳动保障合法权益受到侵害的事实和投诉请求事项。</w:t>
      </w:r>
    </w:p>
    <w:p w14:paraId="679504ED">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第十五条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有下列情形之一的投诉，劳动保障行政部门应当告知投诉人依照劳动争议处理或者诉讼程序办理：</w:t>
      </w:r>
    </w:p>
    <w:p w14:paraId="5AEAEA36">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（一）应当通过劳动争议处理程序解决的；</w:t>
      </w:r>
    </w:p>
    <w:p w14:paraId="01280BF6">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（二）已经按照劳动争议处理程序申请调解、仲裁的；</w:t>
      </w:r>
    </w:p>
    <w:p w14:paraId="785F96E2">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（三）已经提起劳动争议诉讼的。</w:t>
      </w:r>
    </w:p>
    <w:p w14:paraId="062C56FD">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第十六条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下列因用人单位违反劳动保障法律行为对劳动者造成损害，劳动者与用人单位就赔偿发生争议的，依照国家有关劳动争议处理的规定处理：</w:t>
      </w:r>
    </w:p>
    <w:p w14:paraId="6E11E2BA">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（一）因用人单位制定的劳动规章制度违反法律、法规规定，对劳动者造成损害的；</w:t>
      </w:r>
    </w:p>
    <w:p w14:paraId="3F33E9F7">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（二）因用人单位违反对女职工和未成年工的保护规定，对女职工和未成年工造成损害的；</w:t>
      </w:r>
    </w:p>
    <w:p w14:paraId="45A36DE4">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（三）因用人单位原因订立无效合同，对劳动者造成损害的；</w:t>
      </w:r>
    </w:p>
    <w:p w14:paraId="29BB9068">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（四）因用人单位违法解除劳动合同或者故意拖延不订立劳动合同，对劳动者造成损害的；</w:t>
      </w:r>
    </w:p>
    <w:p w14:paraId="1B9FB1B0">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（五）法律、法规和规章规定的其他因用人单位违反劳动保障法律的行为，对劳动者造成损害的。</w:t>
      </w:r>
    </w:p>
    <w:p w14:paraId="5870607D">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第十七条</w:t>
      </w:r>
      <w:r>
        <w:rPr>
          <w:rFonts w:hint="eastAsia" w:ascii="Times New Roman" w:hAnsi="Times New Roman" w:eastAsiaTheme="minorEastAsia"/>
          <w:b/>
          <w:bCs/>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劳动者或者用人单位与社会保险经办机构发生的社会保险行政争议，按照《社会保险行政争议处理办法》处理。</w:t>
      </w:r>
    </w:p>
    <w:p w14:paraId="6A32740C">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第十八条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对符合下列条件的投诉，劳动保障行政部门应当在接到投诉之日起</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5</w:t>
      </w:r>
      <w:r>
        <w:rPr>
          <w:rFonts w:ascii="Times New Roman" w:hAnsi="Times New Roman" w:eastAsiaTheme="minorEastAsia"/>
          <w:color w:val="000000" w:themeColor="text1"/>
          <w:szCs w:val="21"/>
          <w:shd w:val="clear" w:color="auto" w:fill="FFFFFF"/>
          <w:lang w:bidi="ar"/>
          <w14:textFill>
            <w14:solidFill>
              <w14:schemeClr w14:val="tx1"/>
            </w14:solidFill>
          </w14:textFill>
        </w:rPr>
        <w:t>个工作日内依法受理，并于受理之日立案查处：</w:t>
      </w:r>
    </w:p>
    <w:p w14:paraId="2C9AEBFE">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（一）违反劳动保障法律的行为发生在两年内的；</w:t>
      </w:r>
    </w:p>
    <w:p w14:paraId="4E5C3DDF">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（二）有明确的被投诉用人单位，且投诉人的合法权益受到侵害是被投诉用人单位违反劳动保障法律的行为所造成的；</w:t>
      </w:r>
    </w:p>
    <w:p w14:paraId="43BE829B">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（三）属于劳动保障监察职权范围并由受理投诉的劳动保障行政部门管辖。</w:t>
      </w:r>
    </w:p>
    <w:p w14:paraId="7EA5520A">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对不符合第一款第（一）项规定的投诉，劳动保障行政部门应当在接到投诉之日起５个工作日内决定不予受理，并书面通知投诉人。</w:t>
      </w:r>
    </w:p>
    <w:p w14:paraId="274952C1">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对不符合第一款第（二）项规定的投诉，劳动保障监察机构应当告知投诉人补正投诉材料。</w:t>
      </w:r>
    </w:p>
    <w:p w14:paraId="42F8792D">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对不符合第一款第（三）项规定的投诉，即对不属于劳动保障监察职权范围的投诉，劳动保障监察机构应当告诉投诉人；对属于劳动保障监察职权范围但不属于受理投诉的劳动保障行政部门管辖的投诉，应当告知投诉人向有关劳动保障行政部门提出。</w:t>
      </w:r>
    </w:p>
    <w:p w14:paraId="514D7CA0">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第十九条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劳动保障行政部门通过日常巡视检查、书面审查、举报等发现用人单位有违反劳动保障法律的行为，需要进行调查处理的，应当及时立案查处。</w:t>
      </w:r>
    </w:p>
    <w:p w14:paraId="24B2F8B1">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立案应当填写立案审批表，报劳动保障监察机构负责人审查批准。劳动保障监察机构负责人批准之日即为立案之日。</w:t>
      </w:r>
    </w:p>
    <w:p w14:paraId="00FB6DBB">
      <w:pPr>
        <w:spacing w:before="120" w:beforeLines="50" w:after="120" w:afterLines="50" w:line="320" w:lineRule="exact"/>
        <w:jc w:val="center"/>
        <w:rPr>
          <w:rFonts w:hint="eastAsia" w:ascii="黑体" w:hAnsi="黑体" w:eastAsia="黑体"/>
          <w:color w:val="000000" w:themeColor="text1"/>
          <w:sz w:val="24"/>
          <w:szCs w:val="24"/>
          <w14:textFill>
            <w14:solidFill>
              <w14:schemeClr w14:val="tx1"/>
            </w14:solidFill>
          </w14:textFill>
        </w:rPr>
      </w:pPr>
      <w:r>
        <w:rPr>
          <w:rFonts w:ascii="黑体" w:hAnsi="黑体" w:eastAsia="黑体"/>
          <w:color w:val="000000" w:themeColor="text1"/>
          <w:sz w:val="24"/>
          <w:szCs w:val="24"/>
          <w14:textFill>
            <w14:solidFill>
              <w14:schemeClr w14:val="tx1"/>
            </w14:solidFill>
          </w14:textFill>
        </w:rPr>
        <w:t>第四章</w:t>
      </w:r>
      <w:r>
        <w:rPr>
          <w:rFonts w:hint="eastAsia" w:ascii="黑体" w:hAnsi="黑体" w:eastAsia="黑体"/>
          <w:color w:val="000000" w:themeColor="text1"/>
          <w:sz w:val="24"/>
          <w:szCs w:val="24"/>
          <w14:textFill>
            <w14:solidFill>
              <w14:schemeClr w14:val="tx1"/>
            </w14:solidFill>
          </w14:textFill>
        </w:rPr>
        <w:t xml:space="preserve">  </w:t>
      </w:r>
      <w:r>
        <w:rPr>
          <w:rFonts w:ascii="黑体" w:hAnsi="黑体" w:eastAsia="黑体"/>
          <w:color w:val="000000" w:themeColor="text1"/>
          <w:sz w:val="24"/>
          <w:szCs w:val="24"/>
          <w14:textFill>
            <w14:solidFill>
              <w14:schemeClr w14:val="tx1"/>
            </w14:solidFill>
          </w14:textFill>
        </w:rPr>
        <w:t>调查与检查</w:t>
      </w:r>
    </w:p>
    <w:p w14:paraId="48AD40BA">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第二十条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劳动保障监察员进行调查、检查不得少于两人。</w:t>
      </w:r>
    </w:p>
    <w:p w14:paraId="3998F657">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劳动保障监察机构应指定其中１名为主办劳动保障监察员。</w:t>
      </w:r>
    </w:p>
    <w:p w14:paraId="3C2F3395">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第二十一条</w:t>
      </w:r>
      <w:r>
        <w:rPr>
          <w:rFonts w:hint="eastAsia" w:ascii="黑体" w:hAnsi="黑体" w:eastAsia="黑体"/>
          <w:bCs/>
          <w:color w:val="000000" w:themeColor="text1"/>
          <w:szCs w:val="21"/>
          <w14:textFill>
            <w14:solidFill>
              <w14:schemeClr w14:val="tx1"/>
            </w14:solidFill>
          </w14:textFill>
        </w:rPr>
        <w:t xml:space="preserve"> </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劳动保障监察员对用人单位遵守劳动保障法律情况进行监察时，应当遵循以下规定：</w:t>
      </w:r>
    </w:p>
    <w:p w14:paraId="79DABC02">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（一）进入用人单位时，应佩戴劳动保障监察执法标志，出示劳动保障监察证件，并说明身份；</w:t>
      </w:r>
    </w:p>
    <w:p w14:paraId="576B939C">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（二）就调查事项制作笔录，应由劳动保障监察员和被调查人（或其委托代理人）签名或盖章。被调查人拒不签名、盖章的，应注明拒签情况。</w:t>
      </w:r>
    </w:p>
    <w:p w14:paraId="550A9D50">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第二十二条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劳动保障监察员进行调查、检查时，承担下列义务：</w:t>
      </w:r>
    </w:p>
    <w:p w14:paraId="1341F782">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（一）依法履行职责，秉公执法；</w:t>
      </w:r>
    </w:p>
    <w:p w14:paraId="64C0E9DA">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（二）保守在履行职责过程中获知的商业秘密；</w:t>
      </w:r>
    </w:p>
    <w:p w14:paraId="57D82FCD">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（三）为举报人保密。</w:t>
      </w:r>
    </w:p>
    <w:p w14:paraId="1BAEC2FC">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第二十三条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劳动保障监察员在实施劳动保障监察时，有下列情形之一的，应当回避：</w:t>
      </w:r>
    </w:p>
    <w:p w14:paraId="1A7B0C86">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（一）本人是用人单位法定代表人或主要负责人的近亲属的；</w:t>
      </w:r>
    </w:p>
    <w:p w14:paraId="7D9C3563">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（二）本人或其近亲属与承办查处的案件事项有直接利害关系的；</w:t>
      </w:r>
    </w:p>
    <w:p w14:paraId="6CB90675">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（三）因其他原因可能影响案件公正处理的。</w:t>
      </w:r>
    </w:p>
    <w:p w14:paraId="11399B23">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第二十四条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当事人认为劳动保障监察员符合本规定第二十三条规定应当回避的，有权向劳动保障行政部门申请，要求其回避。当事人申请劳动保障监察员回避，应当采用书面形式。</w:t>
      </w:r>
    </w:p>
    <w:p w14:paraId="6A013F17">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第二十五条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劳动保障行政部门应当在收到回避申请之日起3个工作日内依法审查，并由劳动保障行政部门负责人作出回避决定。决定作出前，不停止实施劳动保障监察。回避决定应当告知申请人。</w:t>
      </w:r>
    </w:p>
    <w:p w14:paraId="4CDE4A18">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第二十六条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劳动保障行政部门实施劳动保障监察，有权采取下列措施：</w:t>
      </w:r>
    </w:p>
    <w:p w14:paraId="06CD5469">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（一）进入用人单位的劳动场所进行检查；</w:t>
      </w:r>
    </w:p>
    <w:p w14:paraId="0E2C03E2">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（二）就调查、检查事项询问有关人员；</w:t>
      </w:r>
    </w:p>
    <w:p w14:paraId="499DB05F">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（三）要求用人单位提供与调查、检查事项相关的文件资料，必要时可以发出调查询问书；</w:t>
      </w:r>
    </w:p>
    <w:p w14:paraId="4183F9FD">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（四）采取记录、录音、录像、照像和复制等方式收集有关的情况和资料；</w:t>
      </w:r>
    </w:p>
    <w:p w14:paraId="7F1A31B4">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（五）对事实确凿、可以当场处理的违反劳动保障法律、法规或规章的行为当场予以纠正；</w:t>
      </w:r>
    </w:p>
    <w:p w14:paraId="2AF1BB95">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（六）可以委托注册会计师事务所对用人单位工资支付、缴纳社会保险费的情况进行审计；</w:t>
      </w:r>
    </w:p>
    <w:p w14:paraId="16B5F9E8">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（七）法律、法规规定可以由劳动保障行政部门采取的其他调查、检查措施。</w:t>
      </w:r>
    </w:p>
    <w:p w14:paraId="5E40E44A">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第二十七条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劳动保障行政部门调查、检查时，有下列情形之一的可以采取证据登记保存措施：</w:t>
      </w:r>
    </w:p>
    <w:p w14:paraId="7A82CEC2">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（一）当事人可能对证据采取伪造、变造、毁灭行为的；</w:t>
      </w:r>
    </w:p>
    <w:p w14:paraId="0742ED8E">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（二）当事人采取措施不当可能导致证据灭失的；</w:t>
      </w:r>
    </w:p>
    <w:p w14:paraId="2DA0047A">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（三）不采取证据登记保存措施以后难以取得的；</w:t>
      </w:r>
    </w:p>
    <w:p w14:paraId="6ED89662">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（四）其他可能导致证据灭失的情形的。</w:t>
      </w:r>
    </w:p>
    <w:p w14:paraId="060E142F">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第二十八条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采取证据登记保存措施应当按照下列程序进行：</w:t>
      </w:r>
    </w:p>
    <w:p w14:paraId="6528F5CF">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（一）劳动保障监察机构根据本规定第二十七条的规定，提出证据登记保存申请，报劳动保障行政部门负责人批准；</w:t>
      </w:r>
    </w:p>
    <w:p w14:paraId="6F6B02E1">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（二）劳动保障监察员将证据登记保存通知书及证据登记清单交付当事人，由当事人签收。当事人拒不签名或者盖章的，由劳动保障监察员注明情况；</w:t>
      </w:r>
    </w:p>
    <w:p w14:paraId="775A552A">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（三）采取证据登记保存措施后，劳动保障行政部门应当在７日内及时作出处理决定，期限届满后应当解除证据登记保存措施。</w:t>
      </w:r>
    </w:p>
    <w:p w14:paraId="5F822DF5">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在证据登记保存期内，当事人或者有关人员不得销毁或者转移证据；劳动保障监察机构及劳动保障监察员可以随时调取证据。</w:t>
      </w:r>
    </w:p>
    <w:p w14:paraId="2029FA08">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第二十九条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劳动保障行政部门在实施劳动保障监察中涉及异地调查取证的，可以委托当地劳动保障行政部门协助调查。受委托方的协助调查应在双方商定的时间内完成。</w:t>
      </w:r>
    </w:p>
    <w:p w14:paraId="0569B936">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第三十条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劳动保障行政部门对违反劳动保障法律的行为的调查，应当自立案之日起60个工作日内完成；情况复杂的，经劳动保障行政部门负责人批准，可以延长30个工作日。</w:t>
      </w:r>
    </w:p>
    <w:p w14:paraId="43F2F7DA">
      <w:pPr>
        <w:spacing w:before="120" w:beforeLines="50" w:after="120" w:afterLines="50" w:line="320" w:lineRule="exact"/>
        <w:jc w:val="center"/>
        <w:rPr>
          <w:rFonts w:hint="eastAsia" w:ascii="黑体" w:hAnsi="黑体" w:eastAsia="黑体"/>
          <w:color w:val="000000" w:themeColor="text1"/>
          <w:sz w:val="24"/>
          <w:szCs w:val="24"/>
          <w14:textFill>
            <w14:solidFill>
              <w14:schemeClr w14:val="tx1"/>
            </w14:solidFill>
          </w14:textFill>
        </w:rPr>
      </w:pPr>
      <w:r>
        <w:rPr>
          <w:rFonts w:ascii="黑体" w:hAnsi="黑体" w:eastAsia="黑体"/>
          <w:color w:val="000000" w:themeColor="text1"/>
          <w:sz w:val="24"/>
          <w:szCs w:val="24"/>
          <w14:textFill>
            <w14:solidFill>
              <w14:schemeClr w14:val="tx1"/>
            </w14:solidFill>
          </w14:textFill>
        </w:rPr>
        <w:t>第五章</w:t>
      </w:r>
      <w:r>
        <w:rPr>
          <w:rFonts w:hint="eastAsia" w:ascii="黑体" w:hAnsi="黑体" w:eastAsia="黑体"/>
          <w:color w:val="000000" w:themeColor="text1"/>
          <w:sz w:val="24"/>
          <w:szCs w:val="24"/>
          <w14:textFill>
            <w14:solidFill>
              <w14:schemeClr w14:val="tx1"/>
            </w14:solidFill>
          </w14:textFill>
        </w:rPr>
        <w:t xml:space="preserve">  </w:t>
      </w:r>
      <w:r>
        <w:rPr>
          <w:rFonts w:ascii="黑体" w:hAnsi="黑体" w:eastAsia="黑体"/>
          <w:color w:val="000000" w:themeColor="text1"/>
          <w:sz w:val="24"/>
          <w:szCs w:val="24"/>
          <w14:textFill>
            <w14:solidFill>
              <w14:schemeClr w14:val="tx1"/>
            </w14:solidFill>
          </w14:textFill>
        </w:rPr>
        <w:t>案件处理</w:t>
      </w:r>
    </w:p>
    <w:p w14:paraId="5B1B389D">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第三十一条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对用人单位存在的违反劳动保障法律的行为事实确凿并有法定处罚（处理）依据的，可以当场作出限期整改指令或依法当场作出行政处罚决定。</w:t>
      </w:r>
    </w:p>
    <w:p w14:paraId="3E57D7BF">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当场作出限期整改指令或行政处罚决定的，劳动保障监察员应当填写预定格式、编有号码的限期整改指令书或行政处罚决定书，当场交付当事人。</w:t>
      </w:r>
    </w:p>
    <w:p w14:paraId="4AFC85C4">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第三十二条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当场处以警告或罚款处罚的，应当按照下列程序进行：</w:t>
      </w:r>
    </w:p>
    <w:p w14:paraId="54A47FB3">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（一）口头告知当事人违法行为的基本事实、拟作出的行政处罚、依据及其依法享有的权利；</w:t>
      </w:r>
    </w:p>
    <w:p w14:paraId="45C3EB84">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（二）听取当事人的陈述和申辩；</w:t>
      </w:r>
    </w:p>
    <w:p w14:paraId="082EF99A">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（三）填写预定格式的处罚决定书；</w:t>
      </w:r>
    </w:p>
    <w:p w14:paraId="0D2A49D6">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（四）当场处罚决定书应当由劳动保障监察员签名或者盖章；</w:t>
      </w:r>
    </w:p>
    <w:p w14:paraId="2A5F55C2">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（五）将处罚决定书当场交付当事人，由当事人签收。</w:t>
      </w:r>
    </w:p>
    <w:p w14:paraId="2669C41A">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劳动保障监察员应当在两日内将当场限期整改指令和行政处罚决定书存档联交所属劳动保障行政部门存档。</w:t>
      </w:r>
    </w:p>
    <w:p w14:paraId="4294DE01">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第三十三条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对不能当场作出处理的违法案件，劳动保障监察员经调查取证，应当提出初步处理建议，并填写案件处理报批表。</w:t>
      </w:r>
    </w:p>
    <w:p w14:paraId="6415ADEB">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案件处理报批表应写明被处理单位名称、案由、违反劳动保障法律行为事实、被处理单位的陈述、处理依据、建议处理意见。</w:t>
      </w:r>
    </w:p>
    <w:p w14:paraId="2EBDFD3E">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第三十四条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对违反劳动保障法律的行为作出行政处罚或者行政处理决定前，应当告知用人单位，听取其陈述和申辩；法律、法规规定应当依法听证的，应当告知用人单位有权依法要求举行听证；用人单位要求听证的，劳动保障行政部门应当组织听证。</w:t>
      </w:r>
    </w:p>
    <w:p w14:paraId="49A90A71">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第三十五条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劳动保障行政部门对违反劳动保障法律的行为，根据调查、检查的结果，作出以下处理：</w:t>
      </w:r>
    </w:p>
    <w:p w14:paraId="75025F7F">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（一）对依法应当受到行政处罚的，依法作出行政处罚决定；</w:t>
      </w:r>
    </w:p>
    <w:p w14:paraId="77169228">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（二）对应当改正未改正的，依法责令改正或者作出相应的行政处理决定；</w:t>
      </w:r>
    </w:p>
    <w:p w14:paraId="37F1EEA9">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（三）对情节轻微，且已改正的，撤销立案。</w:t>
      </w:r>
    </w:p>
    <w:p w14:paraId="575D930C">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经调查、检查，劳动保障行政部门认定违法事实不能成立的，也应当撤销立案。</w:t>
      </w:r>
    </w:p>
    <w:p w14:paraId="3BDF2267">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发现违法案件不属于劳动保障监察事项的，应当及时移送有关部门处理；涉嫌犯罪的，应当依法移送司法机关。</w:t>
      </w:r>
    </w:p>
    <w:p w14:paraId="7A37AA99">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第三十六条</w:t>
      </w:r>
      <w:r>
        <w:rPr>
          <w:rFonts w:hint="eastAsia" w:ascii="黑体" w:hAnsi="黑体" w:eastAsia="黑体"/>
          <w:bCs/>
          <w:color w:val="000000" w:themeColor="text1"/>
          <w:szCs w:val="21"/>
          <w14:textFill>
            <w14:solidFill>
              <w14:schemeClr w14:val="tx1"/>
            </w14:solidFill>
          </w14:textFill>
        </w:rPr>
        <w:t xml:space="preserve"> </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劳动保障监察行政处罚（处理）决定书应载明下列事项：</w:t>
      </w:r>
    </w:p>
    <w:p w14:paraId="44989FF9">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（一）被处罚（处理）单位名称、法定代表人、单位地址；</w:t>
      </w:r>
    </w:p>
    <w:p w14:paraId="2E3DFEFB">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（二）劳动保障行政部门认定的违法事实和主要证据；</w:t>
      </w:r>
    </w:p>
    <w:p w14:paraId="1B6BAFC3">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（三）劳动保障行政处罚（处理）的种类和依据；</w:t>
      </w:r>
    </w:p>
    <w:p w14:paraId="0D4297BF">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（四）处罚（处理）决定的履行方式和期限；</w:t>
      </w:r>
    </w:p>
    <w:p w14:paraId="4EC42DF0">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（五）不服行政处罚（处理）决定，申请行政复议或者提起行政诉讼的途径和期限；</w:t>
      </w:r>
    </w:p>
    <w:p w14:paraId="572328D4">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（六）作出处罚（处理）决定的行政机关名称和作出处罚（处理）决定的日期。</w:t>
      </w:r>
    </w:p>
    <w:p w14:paraId="7AE22248">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劳动保障行政处罚（处理）决定书应当加盖劳动保障行政部门印章。</w:t>
      </w:r>
    </w:p>
    <w:p w14:paraId="504A191E">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第三十七条</w:t>
      </w:r>
      <w:r>
        <w:rPr>
          <w:rFonts w:hint="eastAsia" w:ascii="黑体" w:hAnsi="黑体" w:eastAsia="黑体"/>
          <w:bCs/>
          <w:color w:val="000000" w:themeColor="text1"/>
          <w:szCs w:val="21"/>
          <w14:textFill>
            <w14:solidFill>
              <w14:schemeClr w14:val="tx1"/>
            </w14:solidFill>
          </w14:textFill>
        </w:rPr>
        <w:t xml:space="preserve"> </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劳动保障行政部门立案调查完成，应在15个工作日内作出行政处罚（行政处理或者责令改正）或者撤销立案决定；特殊情况，经劳动保障行政部门负责人批准可以延长。</w:t>
      </w:r>
    </w:p>
    <w:p w14:paraId="45B28291">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第三十八条</w:t>
      </w:r>
      <w:r>
        <w:rPr>
          <w:rFonts w:hint="eastAsia" w:ascii="黑体" w:hAnsi="黑体" w:eastAsia="黑体"/>
          <w:bCs/>
          <w:color w:val="000000" w:themeColor="text1"/>
          <w:szCs w:val="21"/>
          <w14:textFill>
            <w14:solidFill>
              <w14:schemeClr w14:val="tx1"/>
            </w14:solidFill>
          </w14:textFill>
        </w:rPr>
        <w:t xml:space="preserve"> </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劳动保障监察限期整改指令书、劳动保障行政处理决定书、劳动保障行政处罚决定书应当在宣告后当场交付当事人；当事人不在场的，劳动保障行政部门应当在7日内依照《中华人民共和国民事诉讼法》的有关规定，将劳动保障监察限期整改指令书、劳动保障行政处理决定书、劳动保障行政处罚决定书送达当事人。</w:t>
      </w:r>
    </w:p>
    <w:p w14:paraId="6C47D961">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第三十九条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作出行政处罚、行政处理决定的劳动保障行政部门发现决定不适当的，应当予以纠正并及时告知当事人。</w:t>
      </w:r>
    </w:p>
    <w:p w14:paraId="1B6B3CE0">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第四十条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劳动保障监察案件结案后应建立档案。档案资料应当至少保存3年。</w:t>
      </w:r>
    </w:p>
    <w:p w14:paraId="7C0B20BB">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第四十一条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劳动保障行政处理或处罚决定依法作出后，当事人应当在决定规定的期限内予以履行。</w:t>
      </w:r>
    </w:p>
    <w:p w14:paraId="51F3B173">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第四十二条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当事人对劳动保障行政处理或行政处罚决定不服申请行政复议或者提起行政诉讼的，行政处理或行政处罚决定不停止执行。法律另有规定的除外。</w:t>
      </w:r>
    </w:p>
    <w:p w14:paraId="0CEB6B03">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第四十三条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当事人确有经济困难，需要延期或者分期缴纳罚款的，经当事人申请和劳动保障行政部门批准，可以暂缓或者分期缴纳。</w:t>
      </w:r>
    </w:p>
    <w:p w14:paraId="3E750A96">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第四十四条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当事人对劳动保障行政部门作出的行政处罚决定、责令支付劳动者工资报酬、赔偿金或者征缴社会保险费等行政处理决定逾期不履行的，劳动保障行政部门可以申请人民法院强制执行，或者依法强制执行。</w:t>
      </w:r>
    </w:p>
    <w:p w14:paraId="2B23F4AF">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第四十五条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除依法当场收缴的罚款外，作出罚款决定的劳动保障行政部门及其劳动保障监察员不得自行收缴罚款。当事人应当自收到行政处罚决定书之日起15日内，到指定银行缴纳罚款。</w:t>
      </w:r>
    </w:p>
    <w:p w14:paraId="1D6EAF66">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第四十六条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地方各级劳动保障行政部门应当按照劳动保障部有关规定对承办的案件进行统计并填表上报。</w:t>
      </w:r>
    </w:p>
    <w:p w14:paraId="3A4B9D05">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Times New Roman" w:hAnsi="Times New Roman" w:eastAsiaTheme="minorEastAsia"/>
          <w:color w:val="000000" w:themeColor="text1"/>
          <w:szCs w:val="21"/>
          <w:shd w:val="clear" w:color="auto" w:fill="FFFFFF"/>
          <w:lang w:bidi="ar"/>
          <w14:textFill>
            <w14:solidFill>
              <w14:schemeClr w14:val="tx1"/>
            </w14:solidFill>
          </w14:textFill>
        </w:rPr>
        <w:t>地方各级劳动保障行政部门制作的行政处罚决定书，应当在10个工作日内报送上一级劳动保障行政部门备案。</w:t>
      </w:r>
    </w:p>
    <w:p w14:paraId="01D38ECE">
      <w:pPr>
        <w:spacing w:before="120" w:beforeLines="50" w:after="120" w:afterLines="50" w:line="320" w:lineRule="exact"/>
        <w:jc w:val="center"/>
        <w:rPr>
          <w:rFonts w:hint="eastAsia" w:ascii="黑体" w:hAnsi="黑体" w:eastAsia="黑体"/>
          <w:color w:val="000000" w:themeColor="text1"/>
          <w:sz w:val="24"/>
          <w:szCs w:val="24"/>
          <w14:textFill>
            <w14:solidFill>
              <w14:schemeClr w14:val="tx1"/>
            </w14:solidFill>
          </w14:textFill>
        </w:rPr>
      </w:pPr>
      <w:r>
        <w:rPr>
          <w:rFonts w:ascii="黑体" w:hAnsi="黑体" w:eastAsia="黑体"/>
          <w:color w:val="000000" w:themeColor="text1"/>
          <w:sz w:val="24"/>
          <w:szCs w:val="24"/>
          <w14:textFill>
            <w14:solidFill>
              <w14:schemeClr w14:val="tx1"/>
            </w14:solidFill>
          </w14:textFill>
        </w:rPr>
        <w:t>第六章</w:t>
      </w:r>
      <w:r>
        <w:rPr>
          <w:rFonts w:hint="eastAsia" w:ascii="黑体" w:hAnsi="黑体" w:eastAsia="黑体"/>
          <w:color w:val="000000" w:themeColor="text1"/>
          <w:sz w:val="24"/>
          <w:szCs w:val="24"/>
          <w14:textFill>
            <w14:solidFill>
              <w14:schemeClr w14:val="tx1"/>
            </w14:solidFill>
          </w14:textFill>
        </w:rPr>
        <w:t xml:space="preserve">  </w:t>
      </w:r>
      <w:r>
        <w:rPr>
          <w:rFonts w:ascii="黑体" w:hAnsi="黑体" w:eastAsia="黑体"/>
          <w:color w:val="000000" w:themeColor="text1"/>
          <w:sz w:val="24"/>
          <w:szCs w:val="24"/>
          <w14:textFill>
            <w14:solidFill>
              <w14:schemeClr w14:val="tx1"/>
            </w14:solidFill>
          </w14:textFill>
        </w:rPr>
        <w:t>附则</w:t>
      </w:r>
    </w:p>
    <w:p w14:paraId="2C1A1AFA">
      <w:pPr>
        <w:spacing w:line="320" w:lineRule="exact"/>
        <w:ind w:firstLine="420" w:firstLineChars="200"/>
        <w:rPr>
          <w:rFonts w:ascii="Times New Roman" w:hAnsi="Times New Roman" w:eastAsiaTheme="minorEastAsia"/>
          <w:color w:val="000000" w:themeColor="text1"/>
          <w:szCs w:val="21"/>
          <w:shd w:val="clear" w:color="auto" w:fill="FFFFFF"/>
          <w:lang w:bidi="ar"/>
          <w14:textFill>
            <w14:solidFill>
              <w14:schemeClr w14:val="tx1"/>
            </w14:solidFill>
          </w14:textFill>
        </w:rPr>
      </w:pPr>
      <w:r>
        <w:rPr>
          <w:rFonts w:ascii="黑体" w:hAnsi="黑体" w:eastAsia="黑体"/>
          <w:bCs/>
          <w:color w:val="000000" w:themeColor="text1"/>
          <w:szCs w:val="21"/>
          <w14:textFill>
            <w14:solidFill>
              <w14:schemeClr w14:val="tx1"/>
            </w14:solidFill>
          </w14:textFill>
        </w:rPr>
        <w:t>第四十七条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对无营业执照或者已被依法吊销营业执照，有劳动用工行为的，由劳动保障行政部门依照本规定实施劳动保障监察。</w:t>
      </w:r>
    </w:p>
    <w:p w14:paraId="7401A851">
      <w:r>
        <w:rPr>
          <w:rFonts w:ascii="黑体" w:hAnsi="黑体" w:eastAsia="黑体"/>
          <w:bCs/>
          <w:color w:val="000000" w:themeColor="text1"/>
          <w:szCs w:val="21"/>
          <w14:textFill>
            <w14:solidFill>
              <w14:schemeClr w14:val="tx1"/>
            </w14:solidFill>
          </w14:textFill>
        </w:rPr>
        <w:t>第四十八条</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 xml:space="preserve">  </w:t>
      </w:r>
      <w:r>
        <w:rPr>
          <w:rFonts w:ascii="Times New Roman" w:hAnsi="Times New Roman" w:eastAsiaTheme="minorEastAsia"/>
          <w:color w:val="000000" w:themeColor="text1"/>
          <w:szCs w:val="21"/>
          <w:shd w:val="clear" w:color="auto" w:fill="FFFFFF"/>
          <w:lang w:bidi="ar"/>
          <w14:textFill>
            <w14:solidFill>
              <w14:schemeClr w14:val="tx1"/>
            </w14:solidFill>
          </w14:textFill>
        </w:rPr>
        <w:t>本规定自2005年</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2</w:t>
      </w:r>
      <w:r>
        <w:rPr>
          <w:rFonts w:ascii="Times New Roman" w:hAnsi="Times New Roman" w:eastAsiaTheme="minorEastAsia"/>
          <w:color w:val="000000" w:themeColor="text1"/>
          <w:szCs w:val="21"/>
          <w:shd w:val="clear" w:color="auto" w:fill="FFFFFF"/>
          <w:lang w:bidi="ar"/>
          <w14:textFill>
            <w14:solidFill>
              <w14:schemeClr w14:val="tx1"/>
            </w14:solidFill>
          </w14:textFill>
        </w:rPr>
        <w:t>月</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1</w:t>
      </w:r>
      <w:r>
        <w:rPr>
          <w:rFonts w:ascii="Times New Roman" w:hAnsi="Times New Roman" w:eastAsiaTheme="minorEastAsia"/>
          <w:color w:val="000000" w:themeColor="text1"/>
          <w:szCs w:val="21"/>
          <w:shd w:val="clear" w:color="auto" w:fill="FFFFFF"/>
          <w:lang w:bidi="ar"/>
          <w14:textFill>
            <w14:solidFill>
              <w14:schemeClr w14:val="tx1"/>
            </w14:solidFill>
          </w14:textFill>
        </w:rPr>
        <w:t>日起施行。原《劳动监察规定》（劳部发〔1993〕167号）、《劳动监察程序规定》（劳部发〔1995〕457号）、《处理举报劳动违法行为规定》（劳动部令第</w:t>
      </w:r>
      <w:r>
        <w:rPr>
          <w:rFonts w:hint="eastAsia" w:ascii="Times New Roman" w:hAnsi="Times New Roman" w:eastAsiaTheme="minorEastAsia"/>
          <w:color w:val="000000" w:themeColor="text1"/>
          <w:szCs w:val="21"/>
          <w:shd w:val="clear" w:color="auto" w:fill="FFFFFF"/>
          <w:lang w:bidi="ar"/>
          <w14:textFill>
            <w14:solidFill>
              <w14:schemeClr w14:val="tx1"/>
            </w14:solidFill>
          </w14:textFill>
        </w:rPr>
        <w:t>5</w:t>
      </w:r>
      <w:r>
        <w:rPr>
          <w:rFonts w:ascii="Times New Roman" w:hAnsi="Times New Roman" w:eastAsiaTheme="minorEastAsia"/>
          <w:color w:val="000000" w:themeColor="text1"/>
          <w:szCs w:val="21"/>
          <w:shd w:val="clear" w:color="auto" w:fill="FFFFFF"/>
          <w:lang w:bidi="ar"/>
          <w14:textFill>
            <w14:solidFill>
              <w14:schemeClr w14:val="tx1"/>
            </w14:solidFill>
          </w14:textFill>
        </w:rPr>
        <w:t>号，1996年12月17日）同时废止。</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89" w:lineRule="auto"/>
      </w:pPr>
      <w:r>
        <w:separator/>
      </w:r>
    </w:p>
  </w:footnote>
  <w:footnote w:type="continuationSeparator" w:id="1">
    <w:p>
      <w:pPr>
        <w:spacing w:line="28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91185E"/>
    <w:rsid w:val="479118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89" w:lineRule="auto"/>
      <w:jc w:val="both"/>
    </w:pPr>
    <w:rPr>
      <w:rFonts w:ascii="Calibri" w:hAnsi="Calibri" w:eastAsia="宋体" w:cs="Times New Roman"/>
      <w:kern w:val="2"/>
      <w:sz w:val="21"/>
      <w:szCs w:val="22"/>
      <w:lang w:val="en-US" w:eastAsia="zh-CN" w:bidi="ar-SA"/>
      <w14:ligatures w14:val="standardContextual"/>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qFormat/>
    <w:uiPriority w:val="99"/>
    <w:pPr>
      <w:suppressAutoHyphens/>
      <w:spacing w:before="0" w:beforeAutospacing="0" w:after="0" w:line="200" w:lineRule="atLeast"/>
    </w:pPr>
    <w:rPr>
      <w:sz w:val="18"/>
      <w:szCs w:val="18"/>
    </w:rPr>
  </w:style>
  <w:style w:type="paragraph" w:styleId="3">
    <w:name w:val="Body Text"/>
    <w:basedOn w:val="1"/>
    <w:unhideWhenUsed/>
    <w:qFormat/>
    <w:uiPriority w:val="99"/>
    <w:pPr>
      <w:spacing w:before="100" w:beforeAutospacing="1" w:after="120"/>
    </w:pPr>
    <w:rPr>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2025-09-10T07:04:00Z</dcterms:created>
  <dc:creator>北风行古道</dc:creator>
  <cp:lastModifiedBy>北风行古道</cp:lastModifiedBy>
  <dcterms:modified xsi:type="dcterms:W3CDTF">2025-09-10T07:04:36Z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8F3289BF54E24840B255EAF72796AFBD_11</vt:lpwstr>
  </property>
  <property fmtid="{D5CDD505-2E9C-101B-9397-08002B2CF9AE}" pid="4" name="KSOTemplateDocerSaveRecord">
    <vt:lpwstr>eyJoZGlkIjoiMjNlNjcxMjU2MGE4OGVhZTE2OTg0M2RmM2JmNDExM2EiLCJ1c2VySWQiOiIzOTIzODIyNjYifQ==</vt:lpwstr>
  </property>
</Properties>
</file>