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spacing w:line="560" w:lineRule="exact"/>
        <w:ind w:firstLine="0"/>
        <w:rPr>
          <w:rFonts w:eastAsia="方正黑体_GBK"/>
        </w:rPr>
      </w:pPr>
      <w:r>
        <w:rPr>
          <w:rFonts w:eastAsia="方正黑体_GBK"/>
        </w:rPr>
        <w:t xml:space="preserve">附件1 </w:t>
      </w:r>
    </w:p>
    <w:p>
      <w:pPr>
        <w:overflowPunct w:val="0"/>
        <w:snapToGrid/>
        <w:spacing w:line="560" w:lineRule="exact"/>
        <w:ind w:firstLine="0"/>
        <w:jc w:val="center"/>
        <w:rPr>
          <w:rFonts w:eastAsia="方正小标宋_GBK"/>
          <w:sz w:val="44"/>
          <w:szCs w:val="44"/>
        </w:rPr>
      </w:pPr>
      <w:bookmarkStart w:id="0" w:name="_GoBack"/>
      <w:bookmarkEnd w:id="0"/>
    </w:p>
    <w:p>
      <w:pPr>
        <w:overflowPunct w:val="0"/>
        <w:snapToGrid/>
        <w:spacing w:line="560" w:lineRule="exact"/>
        <w:ind w:firstLine="0"/>
        <w:jc w:val="center"/>
        <w:rPr>
          <w:rFonts w:eastAsia="方正小标宋_GBK"/>
          <w:sz w:val="44"/>
          <w:szCs w:val="44"/>
        </w:rPr>
      </w:pPr>
      <w:r>
        <w:rPr>
          <w:rFonts w:eastAsia="方正小标宋_GBK"/>
          <w:sz w:val="44"/>
          <w:szCs w:val="44"/>
        </w:rPr>
        <w:t>区防指四级响应联动情况表</w:t>
      </w:r>
    </w:p>
    <w:p>
      <w:pPr>
        <w:overflowPunct w:val="0"/>
        <w:snapToGrid/>
        <w:spacing w:line="560" w:lineRule="exact"/>
        <w:ind w:firstLine="0"/>
        <w:jc w:val="center"/>
        <w:rPr>
          <w:rFonts w:eastAsia="方正小标宋_GBK"/>
          <w:sz w:val="44"/>
          <w:szCs w:val="44"/>
        </w:rPr>
      </w:pPr>
    </w:p>
    <w:tbl>
      <w:tblPr>
        <w:tblStyle w:val="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5" w:type="dxa"/>
          <w:bottom w:w="0" w:type="dxa"/>
          <w:right w:w="45" w:type="dxa"/>
        </w:tblCellMar>
      </w:tblPr>
      <w:tblGrid>
        <w:gridCol w:w="940"/>
        <w:gridCol w:w="2331"/>
        <w:gridCol w:w="3593"/>
        <w:gridCol w:w="3588"/>
        <w:gridCol w:w="359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717" w:hRule="atLeast"/>
          <w:tblHeader/>
          <w:jc w:val="center"/>
        </w:trPr>
        <w:tc>
          <w:tcPr>
            <w:tcW w:w="940" w:type="dxa"/>
            <w:noWrap w:val="0"/>
            <w:vAlign w:val="center"/>
          </w:tcPr>
          <w:p>
            <w:pPr>
              <w:pStyle w:val="6"/>
              <w:spacing w:line="240" w:lineRule="exact"/>
              <w:ind w:firstLine="0" w:firstLineChars="0"/>
              <w:jc w:val="center"/>
              <w:textAlignment w:val="center"/>
              <w:rPr>
                <w:rFonts w:eastAsia="方正黑体_GBK"/>
                <w:sz w:val="24"/>
                <w:szCs w:val="24"/>
              </w:rPr>
            </w:pPr>
            <w:r>
              <w:rPr>
                <w:rFonts w:eastAsia="方正黑体_GBK"/>
                <w:sz w:val="24"/>
                <w:szCs w:val="24"/>
              </w:rPr>
              <w:t>应急响应等级</w:t>
            </w:r>
          </w:p>
        </w:tc>
        <w:tc>
          <w:tcPr>
            <w:tcW w:w="2331" w:type="dxa"/>
            <w:noWrap w:val="0"/>
            <w:vAlign w:val="center"/>
          </w:tcPr>
          <w:p>
            <w:pPr>
              <w:pStyle w:val="6"/>
              <w:spacing w:line="240" w:lineRule="exact"/>
              <w:ind w:firstLine="0" w:firstLineChars="0"/>
              <w:jc w:val="center"/>
              <w:textAlignment w:val="center"/>
              <w:rPr>
                <w:rFonts w:eastAsia="方正黑体_GBK"/>
                <w:sz w:val="24"/>
                <w:szCs w:val="24"/>
              </w:rPr>
            </w:pPr>
            <w:r>
              <w:rPr>
                <w:rFonts w:hint="eastAsia" w:ascii="宋体" w:hAnsi="宋体" w:eastAsia="宋体" w:cs="宋体"/>
                <w:sz w:val="24"/>
                <w:szCs w:val="24"/>
              </w:rPr>
              <w:t>Ⅳ</w:t>
            </w:r>
            <w:r>
              <w:rPr>
                <w:rFonts w:eastAsia="方正黑体_GBK"/>
                <w:sz w:val="24"/>
                <w:szCs w:val="24"/>
              </w:rPr>
              <w:t>级</w:t>
            </w:r>
          </w:p>
        </w:tc>
        <w:tc>
          <w:tcPr>
            <w:tcW w:w="3593" w:type="dxa"/>
            <w:noWrap w:val="0"/>
            <w:vAlign w:val="center"/>
          </w:tcPr>
          <w:p>
            <w:pPr>
              <w:pStyle w:val="6"/>
              <w:spacing w:line="240" w:lineRule="exact"/>
              <w:ind w:firstLine="0" w:firstLineChars="0"/>
              <w:jc w:val="center"/>
              <w:textAlignment w:val="center"/>
              <w:rPr>
                <w:rFonts w:eastAsia="方正黑体_GBK"/>
                <w:sz w:val="24"/>
                <w:szCs w:val="24"/>
              </w:rPr>
            </w:pPr>
            <w:r>
              <w:rPr>
                <w:rFonts w:hint="eastAsia" w:ascii="宋体" w:hAnsi="宋体" w:eastAsia="宋体" w:cs="宋体"/>
                <w:sz w:val="24"/>
                <w:szCs w:val="24"/>
              </w:rPr>
              <w:t>Ⅲ</w:t>
            </w:r>
            <w:r>
              <w:rPr>
                <w:rFonts w:eastAsia="方正黑体_GBK"/>
                <w:sz w:val="24"/>
                <w:szCs w:val="24"/>
              </w:rPr>
              <w:t>级</w:t>
            </w:r>
          </w:p>
        </w:tc>
        <w:tc>
          <w:tcPr>
            <w:tcW w:w="3588" w:type="dxa"/>
            <w:noWrap w:val="0"/>
            <w:vAlign w:val="center"/>
          </w:tcPr>
          <w:p>
            <w:pPr>
              <w:pStyle w:val="6"/>
              <w:spacing w:line="240" w:lineRule="exact"/>
              <w:ind w:firstLine="0" w:firstLineChars="0"/>
              <w:jc w:val="center"/>
              <w:textAlignment w:val="center"/>
              <w:rPr>
                <w:rFonts w:eastAsia="方正黑体_GBK"/>
                <w:sz w:val="24"/>
                <w:szCs w:val="24"/>
              </w:rPr>
            </w:pPr>
            <w:r>
              <w:rPr>
                <w:rFonts w:hint="eastAsia" w:ascii="宋体" w:hAnsi="宋体" w:eastAsia="宋体" w:cs="宋体"/>
                <w:sz w:val="24"/>
                <w:szCs w:val="24"/>
              </w:rPr>
              <w:t>Ⅱ</w:t>
            </w:r>
            <w:r>
              <w:rPr>
                <w:rFonts w:eastAsia="方正黑体_GBK"/>
                <w:sz w:val="24"/>
                <w:szCs w:val="24"/>
              </w:rPr>
              <w:t>级</w:t>
            </w:r>
          </w:p>
        </w:tc>
        <w:tc>
          <w:tcPr>
            <w:tcW w:w="3596" w:type="dxa"/>
            <w:noWrap w:val="0"/>
            <w:vAlign w:val="center"/>
          </w:tcPr>
          <w:p>
            <w:pPr>
              <w:pStyle w:val="6"/>
              <w:spacing w:line="240" w:lineRule="exact"/>
              <w:ind w:firstLine="0" w:firstLineChars="0"/>
              <w:jc w:val="center"/>
              <w:textAlignment w:val="center"/>
              <w:rPr>
                <w:rFonts w:eastAsia="方正黑体_GBK"/>
                <w:sz w:val="24"/>
                <w:szCs w:val="24"/>
              </w:rPr>
            </w:pPr>
            <w:r>
              <w:rPr>
                <w:rFonts w:hint="eastAsia" w:ascii="宋体" w:hAnsi="宋体" w:eastAsia="宋体" w:cs="宋体"/>
                <w:sz w:val="24"/>
                <w:szCs w:val="24"/>
              </w:rPr>
              <w:t>Ⅰ</w:t>
            </w:r>
            <w:r>
              <w:rPr>
                <w:rFonts w:eastAsia="方正黑体_GBK"/>
                <w:sz w:val="24"/>
                <w:szCs w:val="24"/>
              </w:rPr>
              <w:t>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区防汛防旱指挥部及其办公室</w:t>
            </w:r>
          </w:p>
        </w:tc>
        <w:tc>
          <w:tcPr>
            <w:tcW w:w="2331"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区防指副指挥或委托市防办主任主持会商，研究防御重点和对策，作出相应工作安排，并及时向街道防汛防旱指挥部通报。</w:t>
            </w:r>
          </w:p>
        </w:tc>
        <w:tc>
          <w:tcPr>
            <w:tcW w:w="3593"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区防指副指挥主持会商，部署防汛抗旱工作，明确防御目标和重点，在2h内将情况上报区政府并通报各街道防指和市防指成员单位；区防指及时派出工作组，督促指导地方组织人力、物力做好抢险救灾等准备和实施工作。</w:t>
            </w:r>
          </w:p>
        </w:tc>
        <w:tc>
          <w:tcPr>
            <w:tcW w:w="3588"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区防指指挥主持会商，防汛防旱指挥部成员单位参加，部署防汛抗旱工作，明确防御目标和重点。1h内将情况上报市防汛抗旱指挥部，并及时派出由应急、自然资源和规划、农业农村、住建等区防指成员单位组成的工作组赴一线督查指导防汛抗旱工作。</w:t>
            </w: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区防指指挥主持会商，部署防汛抗旱和抢险救灾工作。召开防汛抗旱紧急会议，进行紧急动员部署，要求有关地区全力做好防汛抗旱工作。区防指提出防御目标、重点和对策措施，宣布进入紧急防汛抗旱期。区防指1h内将情况上报市防汛抗旱指挥部，并提请区政府派工作组赴一线指导防汛抗旱工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区农业农村局（区水利局）</w:t>
            </w:r>
          </w:p>
        </w:tc>
        <w:tc>
          <w:tcPr>
            <w:tcW w:w="2331"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及时掌握水雨情、工情和灾情，合理分析，优化调度。指导水利行业做好水旱灾害防御和调度，督促各单位加强值守和巡查。负责抗洪排涝抗旱农业机械设备的组织供应和协调调配；</w:t>
            </w:r>
          </w:p>
        </w:tc>
        <w:tc>
          <w:tcPr>
            <w:tcW w:w="3593"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密切监视水雨情、工情，做好河库洪水预测预报和调度工作，监督指导防汛抗旱影响区域内水库、河网预排预泄和洪水调度，督促检查水利工程行政与技术负责人到位情况。督促各地组织力量加强海、河堤防的巡查，督促对险堤、险闸、险库进行抢护或采取必要的紧急处置措施。</w:t>
            </w:r>
          </w:p>
        </w:tc>
        <w:tc>
          <w:tcPr>
            <w:tcW w:w="3588" w:type="dxa"/>
            <w:noWrap w:val="0"/>
            <w:vAlign w:val="center"/>
          </w:tcPr>
          <w:p>
            <w:pPr>
              <w:pStyle w:val="6"/>
              <w:spacing w:line="240" w:lineRule="exact"/>
              <w:ind w:firstLine="0" w:firstLineChars="0"/>
              <w:textAlignment w:val="center"/>
              <w:rPr>
                <w:rFonts w:eastAsia="方正仿宋_GBK"/>
                <w:snapToGrid/>
                <w:kern w:val="2"/>
                <w:sz w:val="21"/>
                <w:szCs w:val="21"/>
              </w:rPr>
            </w:pPr>
            <w:r>
              <w:rPr>
                <w:rFonts w:eastAsia="方正仿宋_GBK"/>
                <w:snapToGrid/>
                <w:kern w:val="2"/>
                <w:sz w:val="21"/>
                <w:szCs w:val="21"/>
              </w:rPr>
              <w:t>密切关注洪水干旱的发展变化，及时收集汇总水雨情、工情、灾情等各类信息，做好重点水利工程的预报调度，按照防指部署要求各单位、部门全力做好防汛抗旱工作。督促做好各类水利工程的巡查和安全运行，指导街道加强险工险段巡查和抢护工作。重大险情发生时，要迅速组织水利应急救援人员深入现场，提出防汛抗旱灾害的具体技术方案，并协助相关部门组织实施。负责农业的防灾、减灾、救灾和生产恢复工作，减少受灾损失</w:t>
            </w:r>
            <w:r>
              <w:rPr>
                <w:rFonts w:hint="eastAsia" w:eastAsia="方正仿宋_GBK"/>
                <w:snapToGrid/>
                <w:kern w:val="2"/>
                <w:sz w:val="21"/>
                <w:szCs w:val="21"/>
              </w:rPr>
              <w:t>。</w:t>
            </w: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密切关注洪水干旱的发展变化，做好水雨情预测预报，做好重点工程调度。督促各地做好重点险工段的巡查防守，并及时向区防指报告有关重大隐患险情。提供防御洪水应急抢险技术支撑，并协助相关部门组织实施。负责农牧渔业的防灾、减灾、救灾和生产恢复工作，减少受灾损失</w:t>
            </w:r>
            <w:r>
              <w:rPr>
                <w:rFonts w:hint="eastAsia" w:eastAsia="方正仿宋_GBK"/>
                <w:snapToGrid/>
                <w:kern w:val="2"/>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区应急管理局</w:t>
            </w:r>
          </w:p>
        </w:tc>
        <w:tc>
          <w:tcPr>
            <w:tcW w:w="2331"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密切监视汛情、旱情、灾情、工情动向，做好防汛抗旱期间应急抢险救灾物资及队伍各项准备工作。</w:t>
            </w:r>
          </w:p>
        </w:tc>
        <w:tc>
          <w:tcPr>
            <w:tcW w:w="3593"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指导应急抢险救灾工作。统筹协调各类专业应急救援力量随时准备参与救援，做好重要应急救援物资的调拨和紧急配送准备工作。协调消防救援队伍、武装部救援队伍处于应急救援待命状态。依法发布灾情信息。</w:t>
            </w:r>
          </w:p>
        </w:tc>
        <w:tc>
          <w:tcPr>
            <w:tcW w:w="3588"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组织指导应急抢险救灾工作。统筹协调各类专业应急救援力量参与救援，做好重要应急救援物资的调拨和紧急配送工作。协调消防救援队伍、武装部救援队伍视情参与应急救援工作。依法发布灾情信息。</w:t>
            </w: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组织指导应急抢险救灾工作。做好重要应急救援物资的调拨和紧急配送工作。协调消防救援队伍、武装部救援队伍参与应急救援工作。依法发布灾情信息。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区林海局</w:t>
            </w:r>
          </w:p>
        </w:tc>
        <w:tc>
          <w:tcPr>
            <w:tcW w:w="2331"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做好防汛抗旱工作的行业管理；监督指导渔业船舶的防台风工作。</w:t>
            </w:r>
          </w:p>
        </w:tc>
        <w:tc>
          <w:tcPr>
            <w:tcW w:w="3593"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组织监督暴雨、洪涝期间渔船和养殖人员回港上岸避险。及时提供台风动向，分析、预报沿海风暴潮，适时发布海洋灾害预警信息。</w:t>
            </w:r>
          </w:p>
        </w:tc>
        <w:tc>
          <w:tcPr>
            <w:tcW w:w="3588"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协助水利部门做好河库非法拦网养殖所造成的行滞洪障碍的清除；监督指导渔业船舶的防台风工作。发生险情，立即处置。加强风暴潮和海浪预报，加密发布海洋灾害预警信息。</w:t>
            </w: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协助水利部门做好河库非法拦网养殖所造成的行滞洪障碍的清除；监督指导渔业船舶的防台风工作。发生险情，立即处置。及时发布风暴潮预警信息。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市自然资源和规划局连云分局</w:t>
            </w:r>
          </w:p>
        </w:tc>
        <w:tc>
          <w:tcPr>
            <w:tcW w:w="2331"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做好防汛抗旱工作的行业管理。加大对重要地质灾害隐患点的排查、巡查和监测力度，做好突发地质灾害的相关准备工作。</w:t>
            </w:r>
          </w:p>
        </w:tc>
        <w:tc>
          <w:tcPr>
            <w:tcW w:w="3593"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对预警区内重要地质灾害隐患点开展24h巡查与监测，应急救援专家组处于警备状态。</w:t>
            </w:r>
          </w:p>
        </w:tc>
        <w:tc>
          <w:tcPr>
            <w:tcW w:w="3588" w:type="dxa"/>
            <w:noWrap w:val="0"/>
            <w:vAlign w:val="center"/>
          </w:tcPr>
          <w:p>
            <w:pPr>
              <w:pStyle w:val="6"/>
              <w:spacing w:line="260" w:lineRule="exact"/>
              <w:ind w:firstLine="0" w:firstLineChars="0"/>
              <w:textAlignment w:val="center"/>
              <w:rPr>
                <w:rFonts w:eastAsia="方正仿宋_GBK"/>
                <w:snapToGrid/>
                <w:kern w:val="2"/>
                <w:sz w:val="24"/>
                <w:szCs w:val="24"/>
              </w:rPr>
            </w:pPr>
            <w:r>
              <w:rPr>
                <w:rFonts w:eastAsia="方正仿宋_GBK"/>
                <w:snapToGrid/>
                <w:kern w:val="2"/>
                <w:sz w:val="24"/>
                <w:szCs w:val="24"/>
              </w:rPr>
              <w:t>加强对重点地质灾害隐患点的监测巡查，及时通过电视台、报纸、手机短信信息系统通报地质灾害预报信息。重大险情发生时，要迅速组织应急救援专家组，深入现场，提出抗御地质灾害的具体技术方案，并协助地方政府、应急管理部门等组织实施。</w:t>
            </w: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及时掌握各地的突发地质灾害情况，每小时上报市防指1次，供决策参考。应急救援专家组继续提出应急处置意见，防止灾害进一步扩大。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区住房和城乡建设局</w:t>
            </w:r>
          </w:p>
        </w:tc>
        <w:tc>
          <w:tcPr>
            <w:tcW w:w="5924" w:type="dxa"/>
            <w:gridSpan w:val="2"/>
            <w:noWrap w:val="0"/>
            <w:vAlign w:val="center"/>
          </w:tcPr>
          <w:p>
            <w:pPr>
              <w:pStyle w:val="6"/>
              <w:spacing w:line="220" w:lineRule="exact"/>
              <w:ind w:firstLine="0" w:firstLineChars="0"/>
              <w:textAlignment w:val="center"/>
              <w:rPr>
                <w:rFonts w:eastAsia="方正仿宋_GBK"/>
                <w:snapToGrid/>
                <w:kern w:val="2"/>
                <w:sz w:val="21"/>
                <w:szCs w:val="21"/>
              </w:rPr>
            </w:pPr>
            <w:r>
              <w:rPr>
                <w:rFonts w:eastAsia="方正仿宋_GBK"/>
                <w:snapToGrid/>
                <w:kern w:val="2"/>
                <w:sz w:val="21"/>
                <w:szCs w:val="21"/>
              </w:rPr>
              <w:t>做好防汛抗旱工作的行业管理。督促做好洪涝干旱影响期间城市高楼塔吊、深基坑、临时建筑物等加固工作；组织城市供水、供气单位加强设施的防护和巡查，保障供水、供气；组织城市园林部门加强城市林木的支护加固。负责督促做好城市直管公房、危房、民防工程检查及防汛抗旱措施；协助做好居住在危房中的群众安全转移工作及城市物管住宅小区的排涝工作。督促做好全市地下人防工程防汛抗旱安全管理工作。协助有关部门做好洪涝干旱期间指挥通信保障工作。</w:t>
            </w:r>
          </w:p>
        </w:tc>
        <w:tc>
          <w:tcPr>
            <w:tcW w:w="7184" w:type="dxa"/>
            <w:gridSpan w:val="2"/>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组织做好市政设施的抢修准备，停止在建工程施工。组织相关部门加强供水、供气等市政设施的巡查检查，督促做好危旧房屋、物业小区的检查及防汛抗旱措施，保障安全。发生险情，立即处置。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napToGrid/>
                <w:kern w:val="2"/>
                <w:sz w:val="24"/>
                <w:szCs w:val="24"/>
              </w:rPr>
            </w:pPr>
            <w:r>
              <w:rPr>
                <w:rFonts w:eastAsia="方正仿宋_GBK"/>
                <w:snapToGrid/>
                <w:kern w:val="2"/>
                <w:sz w:val="24"/>
                <w:szCs w:val="24"/>
              </w:rPr>
              <w:t>区城市管理局</w:t>
            </w:r>
          </w:p>
        </w:tc>
        <w:tc>
          <w:tcPr>
            <w:tcW w:w="5924" w:type="dxa"/>
            <w:gridSpan w:val="2"/>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做好防汛抗旱工作的行业管理。负责防汛抗旱影响期间的城市垃圾及时清运工作。督促各地做好户外广告牌安全检查工作。</w:t>
            </w:r>
          </w:p>
        </w:tc>
        <w:tc>
          <w:tcPr>
            <w:tcW w:w="3588"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负责防汛抗旱影响期间的城市垃圾及时清运工作。督促各地做好户外广告牌安全检查工作。</w:t>
            </w: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负责防汛抗旱影响期间的城市垃圾及时清运工作。督促各地做好户外广告牌安全检查工作。发生险情，立即组织处置。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区气象局</w:t>
            </w:r>
          </w:p>
        </w:tc>
        <w:tc>
          <w:tcPr>
            <w:tcW w:w="2331"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将灾害性天气信息报告区防指和区政府办公室。</w:t>
            </w:r>
          </w:p>
        </w:tc>
        <w:tc>
          <w:tcPr>
            <w:tcW w:w="3593"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加强监测预报，对灾害性天气发展趋势提出具体的分析和预报意见，并向公众发布。</w:t>
            </w:r>
          </w:p>
        </w:tc>
        <w:tc>
          <w:tcPr>
            <w:tcW w:w="3588"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及时预报灾害性天气动态与发展趋势，雨情等实况监测信息应在1h内报到区防指。</w:t>
            </w: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及时预报灾害性天气动态与发展趋势，雨情等实况监测信息应在1h内报到区防指，重要站点的雨情等实况监测信息应在30分钟内报到区防指。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3084"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连云公安分局</w:t>
            </w:r>
          </w:p>
        </w:tc>
        <w:tc>
          <w:tcPr>
            <w:tcW w:w="5924" w:type="dxa"/>
            <w:gridSpan w:val="2"/>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加强对暴雨、洪涝、干旱、行洪重点地区、重点场所、重点人群、重要物资设备的保护，维护治安和交通秩序。</w:t>
            </w:r>
          </w:p>
        </w:tc>
        <w:tc>
          <w:tcPr>
            <w:tcW w:w="3588"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警力，随时准备投入抢险救灾工作；限制公路车流车速，及时处置因灾害引发的交通事故。依法打击阻挠防汛抗旱工作、造谣惑众和盗窃、哄抢防汛抗旱物资以及破坏防汛抗旱设施的违法犯罪活动。协助组织群众从危险地区安全撤离或转移。</w:t>
            </w: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灾害事件发生地的治安救助工作；必要时封闭高速公路、高架道路，实行交通管制。协助有关部门妥善处置因防汛抗旱引发的群众性治安事件，组织群众从危险地区安全撤离和转移。依法打击阻挠防汛抗旱工作、造谣惑众和盗窃、哄抢防汛抗旱物资以及破坏防汛抗旱设施的违法犯罪活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区教育局</w:t>
            </w:r>
          </w:p>
        </w:tc>
        <w:tc>
          <w:tcPr>
            <w:tcW w:w="5924" w:type="dxa"/>
            <w:gridSpan w:val="2"/>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提示系统内学校、幼儿园做好防汛抗旱准备、暂停室外教学活动和户外活动。</w:t>
            </w:r>
          </w:p>
        </w:tc>
        <w:tc>
          <w:tcPr>
            <w:tcW w:w="3588"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督察系统内学校、幼儿园做好防汛抗旱应急准备，停止室外教学活动，保护已经抵达学校学生、幼儿园儿童的安全。必要时，通知系统内学校、幼儿园停课。停课后，保护好在校学生和幼儿园儿童的安全。</w:t>
            </w: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组织做好受洪涝干旱严重影响地区的学校（幼儿园）的防汛抗旱工作，并安排停课。协助组织学校师生转移安置。督促指导受灾学校开展灾后自救和恢复教学秩序工作。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区委宣传部</w:t>
            </w:r>
          </w:p>
        </w:tc>
        <w:tc>
          <w:tcPr>
            <w:tcW w:w="13108" w:type="dxa"/>
            <w:gridSpan w:val="4"/>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负责统筹协调信息发布、新闻报道和舆论引导调控工作。协调新闻媒体单位运用多种形式，及时传播气象台站发布的预警信息，提示社会公众采取有效措施，做好洪涝干旱灾害防护。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区文体和旅游局</w:t>
            </w:r>
          </w:p>
        </w:tc>
        <w:tc>
          <w:tcPr>
            <w:tcW w:w="2331"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宣传洪涝干旱可能对游客的不利影响及对策。</w:t>
            </w:r>
          </w:p>
        </w:tc>
        <w:tc>
          <w:tcPr>
            <w:tcW w:w="3593"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督促、协助A级旅游景区疏散游客、转移安置工作，保障游客安全。</w:t>
            </w:r>
          </w:p>
        </w:tc>
        <w:tc>
          <w:tcPr>
            <w:tcW w:w="3588"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督促各地关闭受洪涝干旱台风影响A级旅游景区，组织安置游客至安全地带。</w:t>
            </w: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协助做好受灾A级旅游景区的救灾工作。督促各地关闭受洪涝干旱台风影响的A级旅游景区，组织安置游客至安全地带。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区经发局</w:t>
            </w:r>
          </w:p>
        </w:tc>
        <w:tc>
          <w:tcPr>
            <w:tcW w:w="5924" w:type="dxa"/>
            <w:gridSpan w:val="2"/>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负责工业企业的行业管理，督促检查重点企业，落实相应防汛抗旱防台措施，做好防汛抗旱防台相关工作。协调洪涝干旱影响期间抢险救灾所需工业物资器材的生产和组织。做好防汛抗旱期间通信保障工作。</w:t>
            </w:r>
          </w:p>
        </w:tc>
        <w:tc>
          <w:tcPr>
            <w:tcW w:w="3588"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加大指导受影响企业防汛抗旱防台措施落实，一旦发生灾情，及时组织处置。保障防汛抗旱抢险期间应急通信。</w:t>
            </w: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督促检查重点企业，落实相应防汛抗旱防台措施。一旦发生灾情，及时组织处置。保障防汛抗旱抢险期间应急通信。牵头统筹协调灾后重建的重要事项，提出灾后重建总体安排。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区卫生健康委</w:t>
            </w:r>
          </w:p>
        </w:tc>
        <w:tc>
          <w:tcPr>
            <w:tcW w:w="2331"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采取措施，宣传洪涝干旱可能对公众健康带来的不利影响及对策，做好各项相关准备工作。</w:t>
            </w:r>
          </w:p>
        </w:tc>
        <w:tc>
          <w:tcPr>
            <w:tcW w:w="3593"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采取措施，随时做好洪涝干旱引发的疾病救治工作，抢救受灾伤病员。</w:t>
            </w:r>
          </w:p>
        </w:tc>
        <w:tc>
          <w:tcPr>
            <w:tcW w:w="7184" w:type="dxa"/>
            <w:gridSpan w:val="2"/>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负责灾区疾病预防控制和医疗救护工作。灾害发生后，及时向市防指提供灾区疫情与防治信息，组织卫生部门和医疗卫生人员赶赴灾区，开展医疗救治防病治病工作，预防和控制疫病的发生和流行。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textAlignment w:val="center"/>
              <w:rPr>
                <w:rFonts w:eastAsia="方正仿宋_GBK"/>
                <w:sz w:val="24"/>
                <w:szCs w:val="24"/>
              </w:rPr>
            </w:pPr>
            <w:r>
              <w:rPr>
                <w:rFonts w:eastAsia="方正仿宋_GBK"/>
                <w:sz w:val="24"/>
                <w:szCs w:val="24"/>
              </w:rPr>
              <w:t>区商务局</w:t>
            </w:r>
          </w:p>
        </w:tc>
        <w:tc>
          <w:tcPr>
            <w:tcW w:w="2331" w:type="dxa"/>
            <w:noWrap w:val="0"/>
            <w:vAlign w:val="center"/>
          </w:tcPr>
          <w:p>
            <w:pPr>
              <w:pStyle w:val="6"/>
              <w:spacing w:line="280" w:lineRule="exact"/>
              <w:ind w:firstLine="0" w:firstLineChars="0"/>
              <w:textAlignment w:val="center"/>
              <w:rPr>
                <w:rFonts w:eastAsia="方正仿宋_GBK"/>
                <w:snapToGrid/>
                <w:kern w:val="2"/>
                <w:sz w:val="24"/>
                <w:szCs w:val="24"/>
              </w:rPr>
            </w:pPr>
          </w:p>
        </w:tc>
        <w:tc>
          <w:tcPr>
            <w:tcW w:w="10777" w:type="dxa"/>
            <w:gridSpan w:val="3"/>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做好防汛抗旱防台风期间生活必需品的组织和供应工作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连云区消防大队</w:t>
            </w:r>
          </w:p>
        </w:tc>
        <w:tc>
          <w:tcPr>
            <w:tcW w:w="2331"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及时收听有关洪涝干旱信息，认真做好抢险救灾准备工作。</w:t>
            </w:r>
          </w:p>
        </w:tc>
        <w:tc>
          <w:tcPr>
            <w:tcW w:w="3593"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处于应急抢险救灾警备状态。</w:t>
            </w:r>
          </w:p>
        </w:tc>
        <w:tc>
          <w:tcPr>
            <w:tcW w:w="7184" w:type="dxa"/>
            <w:gridSpan w:val="2"/>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根据区防指要求，对灾害现场实施应急抢险救灾。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区电信局</w:t>
            </w:r>
          </w:p>
        </w:tc>
        <w:tc>
          <w:tcPr>
            <w:tcW w:w="5924" w:type="dxa"/>
            <w:gridSpan w:val="2"/>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负责市内通信设施的防洪安全，确保通信畅通；协调市内各电信运营企业、铁塔公司做好公用通信网应急通信保障工作。</w:t>
            </w:r>
          </w:p>
        </w:tc>
        <w:tc>
          <w:tcPr>
            <w:tcW w:w="7184" w:type="dxa"/>
            <w:gridSpan w:val="2"/>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做好抗御特大洪水的应急通信工作。根据需要，协调区内各基础电信运营企业向公众发送公益性预警短信。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noWrap w:val="0"/>
            <w:vAlign w:val="center"/>
          </w:tcPr>
          <w:p>
            <w:pPr>
              <w:pStyle w:val="6"/>
              <w:spacing w:line="280" w:lineRule="exact"/>
              <w:ind w:firstLine="0" w:firstLineChars="0"/>
              <w:jc w:val="center"/>
              <w:textAlignment w:val="center"/>
              <w:rPr>
                <w:rFonts w:eastAsia="方正仿宋_GBK"/>
                <w:sz w:val="24"/>
                <w:szCs w:val="24"/>
              </w:rPr>
            </w:pPr>
            <w:r>
              <w:rPr>
                <w:rFonts w:eastAsia="方正仿宋_GBK"/>
                <w:sz w:val="24"/>
                <w:szCs w:val="24"/>
              </w:rPr>
              <w:t>供电、供水、供气、通信等基础设施营运单位</w:t>
            </w:r>
          </w:p>
        </w:tc>
        <w:tc>
          <w:tcPr>
            <w:tcW w:w="5924" w:type="dxa"/>
            <w:gridSpan w:val="2"/>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及时收听、收看洪涝干旱信息，落实有效措施，做好防汛抗旱的各项工作。</w:t>
            </w:r>
          </w:p>
        </w:tc>
        <w:tc>
          <w:tcPr>
            <w:tcW w:w="3588"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关注洪涝干旱最新动态，采取必要措施避免设施受损。</w:t>
            </w:r>
          </w:p>
          <w:p>
            <w:pPr>
              <w:pStyle w:val="6"/>
              <w:spacing w:line="280" w:lineRule="exact"/>
              <w:ind w:firstLine="0" w:firstLineChars="0"/>
              <w:textAlignment w:val="center"/>
              <w:rPr>
                <w:rFonts w:eastAsia="方正仿宋_GBK"/>
                <w:snapToGrid/>
                <w:kern w:val="2"/>
                <w:sz w:val="24"/>
                <w:szCs w:val="24"/>
              </w:rPr>
            </w:pPr>
          </w:p>
        </w:tc>
        <w:tc>
          <w:tcPr>
            <w:tcW w:w="3596" w:type="dxa"/>
            <w:noWrap w:val="0"/>
            <w:vAlign w:val="center"/>
          </w:tcPr>
          <w:p>
            <w:pPr>
              <w:pStyle w:val="6"/>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迅速组织调集力量，抢修受洪涝干旱侵袭损毁的设施。</w:t>
            </w:r>
          </w:p>
          <w:p>
            <w:pPr>
              <w:pStyle w:val="6"/>
              <w:spacing w:line="280" w:lineRule="exact"/>
              <w:ind w:firstLine="0" w:firstLineChars="0"/>
              <w:textAlignment w:val="center"/>
              <w:rPr>
                <w:rFonts w:eastAsia="方正仿宋_GBK"/>
                <w:snapToGrid/>
                <w:kern w:val="2"/>
                <w:sz w:val="24"/>
                <w:szCs w:val="24"/>
              </w:rPr>
            </w:pPr>
          </w:p>
        </w:tc>
      </w:tr>
    </w:tbl>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sectPr>
          <w:pgSz w:w="16838" w:h="11906" w:orient="landscape"/>
          <w:pgMar w:top="1588" w:right="2098" w:bottom="1474" w:left="1985" w:header="720" w:footer="1474" w:gutter="0"/>
          <w:cols w:space="720" w:num="1"/>
          <w:docGrid w:type="lines" w:linePitch="590" w:charSpace="-1024"/>
        </w:sectPr>
      </w:pPr>
    </w:p>
    <w:p>
      <w:pPr>
        <w:overflowPunct w:val="0"/>
        <w:snapToGrid/>
        <w:spacing w:line="560" w:lineRule="exact"/>
        <w:ind w:firstLine="0"/>
        <w:rPr>
          <w:rFonts w:eastAsia="方正黑体_GBK"/>
        </w:rPr>
      </w:pPr>
      <w:r>
        <w:rPr>
          <w:rFonts w:eastAsia="方正黑体_GBK"/>
        </w:rPr>
        <w:t>附件2</w:t>
      </w:r>
    </w:p>
    <w:p>
      <w:pPr>
        <w:overflowPunct w:val="0"/>
        <w:snapToGrid/>
        <w:spacing w:line="560" w:lineRule="exact"/>
        <w:ind w:firstLine="0"/>
        <w:jc w:val="center"/>
        <w:rPr>
          <w:rFonts w:eastAsia="方正小标宋_GBK"/>
          <w:sz w:val="44"/>
          <w:szCs w:val="44"/>
        </w:rPr>
      </w:pPr>
    </w:p>
    <w:p>
      <w:pPr>
        <w:overflowPunct w:val="0"/>
        <w:snapToGrid/>
        <w:spacing w:line="560" w:lineRule="exact"/>
        <w:ind w:firstLine="0"/>
        <w:jc w:val="center"/>
        <w:rPr>
          <w:rFonts w:eastAsia="方正小标宋_GBK"/>
          <w:sz w:val="44"/>
          <w:szCs w:val="44"/>
        </w:rPr>
      </w:pPr>
      <w:r>
        <w:rPr>
          <w:rFonts w:eastAsia="方正小标宋_GBK"/>
          <w:sz w:val="44"/>
          <w:szCs w:val="44"/>
        </w:rPr>
        <w:t>名词术语定义</w:t>
      </w:r>
    </w:p>
    <w:p>
      <w:pPr>
        <w:overflowPunct w:val="0"/>
        <w:snapToGrid/>
        <w:spacing w:line="560" w:lineRule="exact"/>
        <w:ind w:firstLine="0"/>
        <w:jc w:val="center"/>
        <w:rPr>
          <w:rFonts w:eastAsia="方正小标宋_GBK"/>
          <w:sz w:val="44"/>
          <w:szCs w:val="44"/>
        </w:rPr>
      </w:pPr>
    </w:p>
    <w:p>
      <w:pPr>
        <w:overflowPunct w:val="0"/>
        <w:snapToGrid/>
        <w:spacing w:line="560" w:lineRule="exact"/>
        <w:ind w:firstLine="640" w:firstLineChars="200"/>
      </w:pPr>
      <w:r>
        <w:rPr>
          <w:rFonts w:eastAsia="方正楷体_GBK"/>
        </w:rPr>
        <w:t>防御洪水预案：</w:t>
      </w:r>
      <w:r>
        <w:t>是有防汛防洪任务的县级以上地方人民政府根据流域综合规划、防洪工程实际状况和国家规定的防洪标准，制定的防御江河洪水（包括对特大洪水）、山洪灾害（山洪、泥石流、滑坡等）、台风暴潮灾害等方案的统称。</w:t>
      </w:r>
    </w:p>
    <w:p>
      <w:pPr>
        <w:overflowPunct w:val="0"/>
        <w:snapToGrid/>
        <w:spacing w:line="560" w:lineRule="exact"/>
        <w:ind w:firstLine="640" w:firstLineChars="200"/>
      </w:pPr>
      <w:r>
        <w:rPr>
          <w:rFonts w:eastAsia="方正楷体_GBK"/>
        </w:rPr>
        <w:t>抗旱预案：</w:t>
      </w:r>
      <w:r>
        <w:t>是在现有工程设施条件和抗旱能力下，针对不同等级、程度的干旱，而预先制定的对策和措施，是各级防汛抗旱指挥部实施指挥决策的依据。</w:t>
      </w:r>
    </w:p>
    <w:p>
      <w:pPr>
        <w:overflowPunct w:val="0"/>
        <w:snapToGrid/>
        <w:spacing w:line="560" w:lineRule="exact"/>
        <w:ind w:firstLine="640" w:firstLineChars="200"/>
      </w:pPr>
      <w:r>
        <w:rPr>
          <w:rFonts w:eastAsia="方正楷体_GBK"/>
        </w:rPr>
        <w:t>轻度干旱：</w:t>
      </w:r>
      <w:r>
        <w:t>受旱区域作物受旱面积占播种面积的比例在30%以下；以及因旱造成农（牧）区临时性饮水困难人口占所在地区人口比例在20%以下。</w:t>
      </w:r>
    </w:p>
    <w:p>
      <w:pPr>
        <w:overflowPunct w:val="0"/>
        <w:snapToGrid/>
        <w:spacing w:line="560" w:lineRule="exact"/>
        <w:ind w:firstLine="640" w:firstLineChars="200"/>
      </w:pPr>
      <w:r>
        <w:rPr>
          <w:rFonts w:eastAsia="方正楷体_GBK"/>
        </w:rPr>
        <w:t>中度干旱：</w:t>
      </w:r>
      <w:r>
        <w:t>受旱区域作物受旱面积占播种面积的比例达31%-50%；以及因旱造成农（牧）区临时性饮水困难人口占所在地区人口比例达2l%-40%。</w:t>
      </w:r>
    </w:p>
    <w:p>
      <w:pPr>
        <w:overflowPunct w:val="0"/>
        <w:snapToGrid/>
        <w:spacing w:line="560" w:lineRule="exact"/>
        <w:ind w:firstLine="640" w:firstLineChars="200"/>
      </w:pPr>
      <w:r>
        <w:rPr>
          <w:rFonts w:eastAsia="方正楷体_GBK"/>
        </w:rPr>
        <w:t>严重干旱：</w:t>
      </w:r>
      <w:r>
        <w:t>受旱区域作物受旱面积占播种面积的比例达5l%-80%；以及因旱造成农（牧）区临时性饮水困难人口占所在地区人口比例达41%-60%。</w:t>
      </w:r>
    </w:p>
    <w:p>
      <w:pPr>
        <w:overflowPunct w:val="0"/>
        <w:snapToGrid/>
        <w:spacing w:line="560" w:lineRule="exact"/>
        <w:ind w:firstLine="640" w:firstLineChars="200"/>
      </w:pPr>
      <w:r>
        <w:rPr>
          <w:rFonts w:eastAsia="方正楷体_GBK"/>
        </w:rPr>
        <w:t>特大干旱：</w:t>
      </w:r>
      <w:r>
        <w:t>受旱区域作物受旱面积占播种面积的比例在80%以上；以及因旱造成农（牧）区临时性饮水困难人口占所在地区人口比例高于60%。</w:t>
      </w:r>
    </w:p>
    <w:p>
      <w:pPr>
        <w:overflowPunct w:val="0"/>
        <w:snapToGrid/>
        <w:spacing w:line="560" w:lineRule="exact"/>
        <w:ind w:firstLine="640" w:firstLineChars="200"/>
      </w:pPr>
      <w:r>
        <w:rPr>
          <w:rFonts w:eastAsia="方正楷体_GBK"/>
        </w:rPr>
        <w:t>紧急防汛期：</w:t>
      </w:r>
      <w:r>
        <w:t>根据《中华人民共和国防洪法》规定，当江河、湖泊的水情接近保证水位或者安全流量，水库水位接近设计洪水位，或者防洪工程设施发生重大险情时，有关县级以上人民政府防汛抗旱指挥机构可以宣布进入紧急防汛期。在紧急防汛期，国家防汛抗旱指挥机构或者其授权的流域、省、自治区、直辖市防汛抗旱指挥机构有权对壅水、阻水严重的桥梁、引道、码头和其他跨河工程设施作出紧急处置。防汛抗旱指挥机构根据防汛防洪的需要，有权在其管辖范围内调用物资、设备、交通运输工具和人力，决定采取取土占地、砍伐林木、清除阻水障碍物和其他必要的紧急措施；必要时，公安、交通等有关部门按照防汛抗旱指挥机构的决定，依法实施陆地和水面交通管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0A0285"/>
    <w:rsid w:val="280A0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pacing w:line="400" w:lineRule="atLeast"/>
      <w:ind w:firstLine="0"/>
      <w:jc w:val="center"/>
    </w:pPr>
    <w:rPr>
      <w:sz w:val="28"/>
    </w:rPr>
  </w:style>
  <w:style w:type="character" w:styleId="5">
    <w:name w:val="page number"/>
    <w:basedOn w:val="4"/>
    <w:uiPriority w:val="0"/>
  </w:style>
  <w:style w:type="paragraph" w:customStyle="1" w:styleId="6">
    <w:name w:val="公文正文"/>
    <w:basedOn w:val="1"/>
    <w:uiPriority w:val="0"/>
    <w:pPr>
      <w:widowControl/>
      <w:adjustRightInd w:val="0"/>
      <w:spacing w:line="480" w:lineRule="atLeast"/>
      <w:ind w:firstLine="600" w:firstLineChars="200"/>
    </w:pPr>
    <w:rPr>
      <w:rFonts w:eastAsia="仿宋"/>
      <w:kern w:val="24"/>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2020-07-07T06:47:00Z</dcterms:created>
  <dc:creator>NTKO</dc:creator>
  <cp:lastModifiedBy>NTKO</cp:lastModifiedBy>
  <dcterms:modified xsi:type="dcterms:W3CDTF">2020-07-07T06:48:50Z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