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1FB56">
      <w:pPr>
        <w:keepNext w:val="0"/>
        <w:keepLines w:val="0"/>
        <w:pageBreakBefore w:val="0"/>
        <w:widowControl/>
        <w:kinsoku/>
        <w:wordWrap/>
        <w:overflowPunct/>
        <w:topLinePunct/>
        <w:autoSpaceDE w:val="0"/>
        <w:autoSpaceDN w:val="0"/>
        <w:bidi w:val="0"/>
        <w:adjustRightInd w:val="0"/>
        <w:snapToGrid w:val="0"/>
        <w:spacing w:line="560" w:lineRule="exact"/>
        <w:ind w:firstLine="0"/>
        <w:jc w:val="center"/>
        <w:textAlignment w:val="auto"/>
        <w:rPr>
          <w:rFonts w:hint="default" w:ascii="Times New Roman" w:hAnsi="Times New Roman" w:eastAsia="仿宋_GB2312" w:cs="Times New Roman"/>
          <w:sz w:val="44"/>
          <w:szCs w:val="44"/>
          <w:lang w:val="en-US" w:eastAsia="zh-CN"/>
        </w:rPr>
      </w:pPr>
    </w:p>
    <w:p w14:paraId="53E436E1">
      <w:pPr>
        <w:pStyle w:val="5"/>
        <w:keepNext w:val="0"/>
        <w:keepLines w:val="0"/>
        <w:pageBreakBefore w:val="0"/>
        <w:widowControl/>
        <w:kinsoku/>
        <w:wordWrap/>
        <w:overflowPunct/>
        <w:bidi w:val="0"/>
        <w:spacing w:line="560" w:lineRule="exact"/>
        <w:textAlignment w:val="auto"/>
        <w:rPr>
          <w:rFonts w:hint="default" w:ascii="Times New Roman" w:hAnsi="Times New Roman" w:cs="Times New Roman"/>
          <w:sz w:val="44"/>
          <w:szCs w:val="44"/>
        </w:rPr>
      </w:pPr>
    </w:p>
    <w:p w14:paraId="19C012A8">
      <w:pPr>
        <w:autoSpaceDE/>
        <w:autoSpaceDN/>
        <w:adjustRightInd/>
        <w:spacing w:line="540" w:lineRule="exact"/>
        <w:ind w:firstLine="0"/>
        <w:jc w:val="both"/>
        <w:rPr>
          <w:rFonts w:hint="default" w:ascii="Times New Roman" w:hAnsi="Times New Roman" w:eastAsia="方正小标宋_GBK" w:cs="Times New Roman"/>
          <w:kern w:val="2"/>
          <w:sz w:val="44"/>
          <w:szCs w:val="44"/>
        </w:rPr>
      </w:pPr>
    </w:p>
    <w:p w14:paraId="2C85E6B9">
      <w:pPr>
        <w:autoSpaceDE/>
        <w:autoSpaceDN/>
        <w:adjustRightInd/>
        <w:spacing w:line="540" w:lineRule="exact"/>
        <w:ind w:firstLine="0"/>
        <w:jc w:val="center"/>
        <w:rPr>
          <w:rFonts w:hint="default" w:ascii="Times New Roman" w:hAnsi="Times New Roman" w:eastAsia="方正小标宋_GBK" w:cs="Times New Roman"/>
          <w:kern w:val="2"/>
          <w:sz w:val="44"/>
          <w:szCs w:val="44"/>
        </w:rPr>
      </w:pPr>
    </w:p>
    <w:p w14:paraId="11238B0B">
      <w:pPr>
        <w:autoSpaceDE/>
        <w:autoSpaceDN/>
        <w:adjustRightInd/>
        <w:spacing w:line="540" w:lineRule="exact"/>
        <w:ind w:firstLine="0"/>
        <w:jc w:val="center"/>
        <w:rPr>
          <w:rFonts w:hint="default" w:ascii="Times New Roman" w:hAnsi="Times New Roman" w:eastAsia="方正小标宋_GBK" w:cs="Times New Roman"/>
          <w:kern w:val="2"/>
          <w:sz w:val="52"/>
          <w:szCs w:val="52"/>
        </w:rPr>
      </w:pPr>
    </w:p>
    <w:p w14:paraId="6B267703">
      <w:pPr>
        <w:autoSpaceDE/>
        <w:autoSpaceDN/>
        <w:adjustRightInd/>
        <w:spacing w:line="540" w:lineRule="exact"/>
        <w:ind w:firstLine="0"/>
        <w:jc w:val="center"/>
        <w:rPr>
          <w:rFonts w:hint="default" w:ascii="Times New Roman" w:hAnsi="Times New Roman" w:eastAsia="方正小标宋_GBK" w:cs="Times New Roman"/>
          <w:kern w:val="2"/>
          <w:sz w:val="52"/>
          <w:szCs w:val="52"/>
        </w:rPr>
      </w:pPr>
      <w:r>
        <w:rPr>
          <w:rFonts w:hint="default" w:ascii="Times New Roman" w:hAnsi="Times New Roman" w:eastAsia="方正小标宋_GBK" w:cs="Times New Roman"/>
          <w:kern w:val="2"/>
          <w:sz w:val="52"/>
          <w:szCs w:val="52"/>
        </w:rPr>
        <w:t>连云新城</w:t>
      </w:r>
      <w:r>
        <w:rPr>
          <w:rFonts w:hint="default" w:ascii="Times New Roman" w:hAnsi="Times New Roman" w:eastAsia="方正小标宋_GBK" w:cs="Times New Roman"/>
          <w:kern w:val="2"/>
          <w:sz w:val="52"/>
          <w:szCs w:val="52"/>
          <w:lang w:eastAsia="zh-CN"/>
        </w:rPr>
        <w:t>“十四五”建设专项</w:t>
      </w:r>
      <w:r>
        <w:rPr>
          <w:rFonts w:hint="default" w:ascii="Times New Roman" w:hAnsi="Times New Roman" w:eastAsia="方正小标宋_GBK" w:cs="Times New Roman"/>
          <w:kern w:val="2"/>
          <w:sz w:val="52"/>
          <w:szCs w:val="52"/>
        </w:rPr>
        <w:t>规划</w:t>
      </w:r>
    </w:p>
    <w:p w14:paraId="3B9A7F84">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14:paraId="0BDB666A">
      <w:pPr>
        <w:pStyle w:val="2"/>
        <w:rPr>
          <w:rFonts w:hint="default" w:ascii="Times New Roman" w:hAnsi="Times New Roman" w:eastAsia="方正小标宋_GBK" w:cs="Times New Roman"/>
          <w:kern w:val="2"/>
          <w:sz w:val="52"/>
          <w:szCs w:val="52"/>
          <w:highlight w:val="none"/>
        </w:rPr>
      </w:pPr>
    </w:p>
    <w:p w14:paraId="3EDA27DD">
      <w:pPr>
        <w:rPr>
          <w:rFonts w:hint="default" w:ascii="Times New Roman" w:hAnsi="Times New Roman" w:eastAsia="方正小标宋_GBK" w:cs="Times New Roman"/>
          <w:kern w:val="2"/>
          <w:sz w:val="52"/>
          <w:szCs w:val="52"/>
          <w:highlight w:val="none"/>
        </w:rPr>
      </w:pPr>
    </w:p>
    <w:p w14:paraId="6966CA8F">
      <w:pPr>
        <w:pStyle w:val="2"/>
        <w:rPr>
          <w:rFonts w:hint="default" w:ascii="Times New Roman" w:hAnsi="Times New Roman" w:eastAsia="方正小标宋_GBK" w:cs="Times New Roman"/>
          <w:kern w:val="2"/>
          <w:sz w:val="52"/>
          <w:szCs w:val="52"/>
          <w:highlight w:val="none"/>
        </w:rPr>
      </w:pPr>
    </w:p>
    <w:p w14:paraId="5A99CDAB">
      <w:pPr>
        <w:rPr>
          <w:rFonts w:hint="default" w:ascii="Times New Roman" w:hAnsi="Times New Roman" w:eastAsia="方正小标宋_GBK" w:cs="Times New Roman"/>
          <w:kern w:val="2"/>
          <w:sz w:val="52"/>
          <w:szCs w:val="52"/>
          <w:highlight w:val="none"/>
        </w:rPr>
      </w:pPr>
    </w:p>
    <w:p w14:paraId="61193371">
      <w:pPr>
        <w:pStyle w:val="2"/>
        <w:rPr>
          <w:rFonts w:hint="default" w:ascii="Times New Roman" w:hAnsi="Times New Roman" w:eastAsia="方正小标宋_GBK" w:cs="Times New Roman"/>
          <w:kern w:val="2"/>
          <w:sz w:val="52"/>
          <w:szCs w:val="52"/>
          <w:highlight w:val="none"/>
        </w:rPr>
      </w:pPr>
    </w:p>
    <w:p w14:paraId="2738D2BF">
      <w:pPr>
        <w:ind w:left="0" w:leftChars="0" w:firstLine="0" w:firstLineChars="0"/>
        <w:rPr>
          <w:rFonts w:hint="default"/>
        </w:rPr>
      </w:pPr>
    </w:p>
    <w:p w14:paraId="65F7821C">
      <w:pPr>
        <w:ind w:left="0" w:leftChars="0" w:firstLine="0" w:firstLineChars="0"/>
        <w:rPr>
          <w:rFonts w:hint="default" w:ascii="Times New Roman" w:hAnsi="Times New Roman" w:cs="Times New Roman"/>
          <w:lang w:eastAsia="zh-CN"/>
        </w:rPr>
      </w:pPr>
    </w:p>
    <w:p w14:paraId="3313185B">
      <w:pPr>
        <w:keepNext w:val="0"/>
        <w:keepLines w:val="0"/>
        <w:pageBreakBefore w:val="0"/>
        <w:widowControl/>
        <w:kinsoku/>
        <w:wordWrap/>
        <w:overflowPunct/>
        <w:autoSpaceDE w:val="0"/>
        <w:autoSpaceDN w:val="0"/>
        <w:bidi w:val="0"/>
        <w:adjustRightInd w:val="0"/>
        <w:spacing w:line="560" w:lineRule="exact"/>
        <w:ind w:left="0" w:leftChars="0" w:firstLine="0" w:firstLineChars="0"/>
        <w:jc w:val="center"/>
        <w:textAlignment w:val="auto"/>
        <w:rPr>
          <w:rFonts w:hint="default" w:ascii="Times New Roman" w:hAnsi="Times New Roman" w:eastAsia="楷体_GB2312" w:cs="Times New Roman"/>
          <w:kern w:val="0"/>
          <w:sz w:val="32"/>
          <w:szCs w:val="32"/>
        </w:rPr>
      </w:pPr>
    </w:p>
    <w:p w14:paraId="3F4D7419">
      <w:pPr>
        <w:pStyle w:val="5"/>
        <w:keepNext w:val="0"/>
        <w:keepLines w:val="0"/>
        <w:pageBreakBefore w:val="0"/>
        <w:widowControl/>
        <w:kinsoku/>
        <w:wordWrap/>
        <w:overflowPunct/>
        <w:bidi w:val="0"/>
        <w:spacing w:line="560" w:lineRule="exact"/>
        <w:textAlignment w:val="auto"/>
        <w:rPr>
          <w:rFonts w:hint="default" w:ascii="Times New Roman" w:hAnsi="Times New Roman" w:eastAsia="楷体_GB2312" w:cs="Times New Roman"/>
          <w:kern w:val="0"/>
          <w:sz w:val="32"/>
          <w:szCs w:val="32"/>
        </w:rPr>
      </w:pPr>
    </w:p>
    <w:p w14:paraId="4AC6F987">
      <w:pPr>
        <w:keepNext w:val="0"/>
        <w:keepLines w:val="0"/>
        <w:pageBreakBefore w:val="0"/>
        <w:widowControl/>
        <w:kinsoku/>
        <w:wordWrap/>
        <w:overflowPunct/>
        <w:bidi w:val="0"/>
        <w:spacing w:line="560" w:lineRule="exact"/>
        <w:textAlignment w:val="auto"/>
        <w:rPr>
          <w:rFonts w:hint="default" w:ascii="Times New Roman" w:hAnsi="Times New Roman" w:eastAsia="楷体_GB2312" w:cs="Times New Roman"/>
          <w:kern w:val="0"/>
          <w:sz w:val="32"/>
          <w:szCs w:val="32"/>
        </w:rPr>
      </w:pPr>
    </w:p>
    <w:p w14:paraId="443D40CF">
      <w:pPr>
        <w:pStyle w:val="5"/>
        <w:keepNext w:val="0"/>
        <w:keepLines w:val="0"/>
        <w:pageBreakBefore w:val="0"/>
        <w:widowControl/>
        <w:kinsoku/>
        <w:wordWrap/>
        <w:overflowPunct/>
        <w:bidi w:val="0"/>
        <w:spacing w:line="560" w:lineRule="exact"/>
        <w:textAlignment w:val="auto"/>
        <w:rPr>
          <w:rFonts w:hint="default" w:ascii="Times New Roman" w:hAnsi="Times New Roman" w:eastAsia="楷体_GB2312" w:cs="Times New Roman"/>
          <w:kern w:val="0"/>
          <w:sz w:val="32"/>
          <w:szCs w:val="32"/>
        </w:rPr>
      </w:pPr>
    </w:p>
    <w:p w14:paraId="26DCC88F">
      <w:pPr>
        <w:spacing w:line="560" w:lineRule="exact"/>
        <w:ind w:left="0" w:leftChars="0" w:firstLine="0" w:firstLineChars="0"/>
        <w:jc w:val="center"/>
        <w:rPr>
          <w:rFonts w:hint="default" w:ascii="方正楷体_GBK" w:hAnsi="Times New Roman" w:eastAsia="方正楷体_GBK"/>
          <w:w w:val="90"/>
          <w:sz w:val="36"/>
          <w:szCs w:val="36"/>
          <w:lang w:val="en-US" w:eastAsia="zh-CN"/>
        </w:rPr>
      </w:pPr>
      <w:r>
        <w:rPr>
          <w:rFonts w:hint="eastAsia" w:ascii="方正楷体_GBK" w:hAnsi="楷体_GB2312" w:eastAsia="方正楷体_GBK"/>
          <w:w w:val="90"/>
          <w:sz w:val="36"/>
          <w:szCs w:val="36"/>
        </w:rPr>
        <w:t>连云</w:t>
      </w:r>
      <w:r>
        <w:rPr>
          <w:rFonts w:hint="eastAsia" w:ascii="方正楷体_GBK" w:hAnsi="楷体_GB2312" w:eastAsia="方正楷体_GBK"/>
          <w:w w:val="90"/>
          <w:sz w:val="36"/>
          <w:szCs w:val="36"/>
          <w:lang w:val="en-US" w:eastAsia="zh-CN"/>
        </w:rPr>
        <w:t>新城建设管理办公室</w:t>
      </w:r>
    </w:p>
    <w:p w14:paraId="296202F7">
      <w:pPr>
        <w:keepNext w:val="0"/>
        <w:keepLines w:val="0"/>
        <w:pageBreakBefore w:val="0"/>
        <w:widowControl/>
        <w:kinsoku/>
        <w:wordWrap/>
        <w:overflowPunct/>
        <w:bidi w:val="0"/>
        <w:spacing w:line="560" w:lineRule="exact"/>
        <w:textAlignment w:val="auto"/>
        <w:rPr>
          <w:rFonts w:hint="default" w:ascii="Times New Roman" w:hAnsi="Times New Roman" w:eastAsia="楷体_GB2312" w:cs="Times New Roman"/>
          <w:kern w:val="0"/>
          <w:sz w:val="32"/>
          <w:szCs w:val="32"/>
        </w:rPr>
      </w:pPr>
    </w:p>
    <w:p w14:paraId="4E5554C2">
      <w:pPr>
        <w:pStyle w:val="5"/>
        <w:keepNext w:val="0"/>
        <w:keepLines w:val="0"/>
        <w:pageBreakBefore w:val="0"/>
        <w:widowControl/>
        <w:kinsoku/>
        <w:wordWrap/>
        <w:overflowPunct/>
        <w:bidi w:val="0"/>
        <w:spacing w:line="560" w:lineRule="exact"/>
        <w:ind w:left="0" w:leftChars="0" w:firstLine="0" w:firstLineChars="0"/>
        <w:textAlignment w:val="auto"/>
        <w:rPr>
          <w:rFonts w:hint="default" w:ascii="Times New Roman" w:hAnsi="Times New Roman" w:eastAsia="仿宋_GB2312" w:cs="Times New Roman"/>
          <w:lang w:val="en-US" w:eastAsia="zh-CN"/>
        </w:rPr>
      </w:pPr>
      <w:r>
        <w:rPr>
          <w:rFonts w:hint="eastAsia" w:ascii="Times New Roman" w:cs="Times New Roman"/>
          <w:lang w:val="en-US" w:eastAsia="zh-CN"/>
        </w:rPr>
        <w:t xml:space="preserve">  </w:t>
      </w:r>
    </w:p>
    <w:p w14:paraId="5663112F">
      <w:pPr>
        <w:keepNext w:val="0"/>
        <w:keepLines w:val="0"/>
        <w:pageBreakBefore w:val="0"/>
        <w:widowControl/>
        <w:kinsoku/>
        <w:wordWrap/>
        <w:overflowPunct/>
        <w:bidi w:val="0"/>
        <w:spacing w:line="560" w:lineRule="exact"/>
        <w:textAlignment w:val="auto"/>
        <w:rPr>
          <w:rFonts w:hint="default" w:ascii="Times New Roman" w:hAnsi="Times New Roman" w:cs="Times New Roman"/>
        </w:rPr>
      </w:pPr>
    </w:p>
    <w:p w14:paraId="7E9E6ECF">
      <w:pPr>
        <w:keepNext w:val="0"/>
        <w:keepLines w:val="0"/>
        <w:pageBreakBefore w:val="0"/>
        <w:widowControl w:val="0"/>
        <w:tabs>
          <w:tab w:val="left" w:pos="70"/>
          <w:tab w:val="center" w:pos="4153"/>
        </w:tabs>
        <w:kinsoku/>
        <w:wordWrap/>
        <w:overflowPunct/>
        <w:topLinePunct w:val="0"/>
        <w:autoSpaceDE/>
        <w:autoSpaceDN/>
        <w:bidi w:val="0"/>
        <w:adjustRightInd/>
        <w:spacing w:after="120" w:line="560" w:lineRule="exact"/>
        <w:ind w:firstLine="0" w:firstLineChars="0"/>
        <w:jc w:val="center"/>
        <w:textAlignment w:val="auto"/>
        <w:rPr>
          <w:rFonts w:hint="default" w:ascii="Times New Roman" w:hAnsi="Times New Roman" w:eastAsia="黑体" w:cs="Times New Roman"/>
          <w:kern w:val="2"/>
          <w:sz w:val="36"/>
          <w:szCs w:val="36"/>
          <w:highlight w:val="none"/>
        </w:rPr>
      </w:pPr>
      <w:bookmarkStart w:id="0" w:name="_Toc3250"/>
      <w:r>
        <w:rPr>
          <w:rFonts w:hint="default" w:ascii="Times New Roman" w:hAnsi="Times New Roman" w:eastAsia="黑体" w:cs="Times New Roman"/>
          <w:kern w:val="2"/>
          <w:sz w:val="36"/>
          <w:szCs w:val="36"/>
          <w:highlight w:val="none"/>
        </w:rPr>
        <w:t>目</w:t>
      </w:r>
      <w:r>
        <w:rPr>
          <w:rFonts w:hint="default" w:ascii="Times New Roman" w:hAnsi="Times New Roman" w:eastAsia="黑体" w:cs="Times New Roman"/>
          <w:kern w:val="2"/>
          <w:sz w:val="36"/>
          <w:szCs w:val="36"/>
          <w:highlight w:val="none"/>
          <w:lang w:val="en-US" w:eastAsia="zh-CN"/>
        </w:rPr>
        <w:t xml:space="preserve">  </w:t>
      </w:r>
      <w:r>
        <w:rPr>
          <w:rFonts w:hint="default" w:ascii="Times New Roman" w:hAnsi="Times New Roman" w:eastAsia="黑体" w:cs="Times New Roman"/>
          <w:kern w:val="2"/>
          <w:sz w:val="36"/>
          <w:szCs w:val="36"/>
          <w:highlight w:val="none"/>
        </w:rPr>
        <w:t>录</w:t>
      </w:r>
    </w:p>
    <w:p w14:paraId="307D0471">
      <w:pPr>
        <w:pStyle w:val="9"/>
        <w:keepNext w:val="0"/>
        <w:keepLines w:val="0"/>
        <w:pageBreakBefore w:val="0"/>
        <w:tabs>
          <w:tab w:val="right" w:leader="dot" w:pos="8789"/>
        </w:tabs>
        <w:kinsoku/>
        <w:wordWrap/>
        <w:overflowPunct/>
        <w:bidi w:val="0"/>
        <w:spacing w:line="560" w:lineRule="exact"/>
        <w:ind w:left="0" w:leftChars="0" w:firstLine="0" w:firstLineChars="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rPr>
        <w:fldChar w:fldCharType="begin"/>
      </w:r>
      <w:r>
        <w:rPr>
          <w:rFonts w:hint="default" w:ascii="Times New Roman" w:hAnsi="Times New Roman" w:eastAsia="宋体" w:cs="Times New Roman"/>
          <w:b/>
          <w:bCs/>
          <w:sz w:val="24"/>
          <w:szCs w:val="24"/>
        </w:rPr>
        <w:instrText xml:space="preserve">TOC \o "1-3" \h \u </w:instrText>
      </w:r>
      <w:r>
        <w:rPr>
          <w:rFonts w:hint="default" w:ascii="Times New Roman" w:hAnsi="Times New Roman" w:eastAsia="宋体" w:cs="Times New Roman"/>
          <w:b/>
          <w:bCs/>
          <w:sz w:val="24"/>
          <w:szCs w:val="24"/>
        </w:rPr>
        <w:fldChar w:fldCharType="separate"/>
      </w: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HYPERLINK \l _Toc23503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kern w:val="44"/>
          <w:sz w:val="24"/>
          <w:szCs w:val="24"/>
          <w:highlight w:val="none"/>
          <w:lang w:val="en-US" w:eastAsia="zh-CN" w:bidi="ar-SA"/>
        </w:rPr>
        <w:t>序  言</w:t>
      </w:r>
      <w:r>
        <w:rPr>
          <w:rFonts w:hint="default" w:ascii="Times New Roman" w:hAnsi="Times New Roman" w:eastAsia="宋体" w:cs="Times New Roman"/>
          <w:b/>
          <w:bCs/>
          <w:sz w:val="24"/>
          <w:szCs w:val="24"/>
          <w:highlight w:val="none"/>
        </w:rPr>
        <w:tab/>
      </w:r>
      <w:r>
        <w:rPr>
          <w:rFonts w:hint="default" w:ascii="Times New Roman" w:hAnsi="Times New Roman" w:eastAsia="宋体" w:cs="Times New Roman"/>
          <w:b/>
          <w:bCs/>
          <w:sz w:val="24"/>
          <w:szCs w:val="24"/>
          <w:highlight w:val="none"/>
        </w:rPr>
        <w:fldChar w:fldCharType="end"/>
      </w:r>
      <w:r>
        <w:rPr>
          <w:rFonts w:hint="eastAsia" w:ascii="Times New Roman" w:eastAsia="宋体" w:cs="Times New Roman"/>
          <w:b/>
          <w:bCs/>
          <w:sz w:val="24"/>
          <w:szCs w:val="24"/>
          <w:highlight w:val="none"/>
          <w:lang w:val="en-US" w:eastAsia="zh-CN"/>
        </w:rPr>
        <w:t>1</w:t>
      </w:r>
    </w:p>
    <w:p w14:paraId="460AE923">
      <w:pPr>
        <w:pStyle w:val="9"/>
        <w:keepNext w:val="0"/>
        <w:keepLines w:val="0"/>
        <w:pageBreakBefore w:val="0"/>
        <w:tabs>
          <w:tab w:val="right" w:leader="dot" w:pos="8789"/>
        </w:tabs>
        <w:kinsoku/>
        <w:wordWrap/>
        <w:overflowPunct/>
        <w:bidi w:val="0"/>
        <w:spacing w:line="560" w:lineRule="exact"/>
        <w:ind w:left="0" w:leftChars="0" w:firstLine="0" w:firstLineChars="0"/>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HYPERLINK \l _Toc14059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kern w:val="44"/>
          <w:sz w:val="24"/>
          <w:szCs w:val="24"/>
          <w:highlight w:val="none"/>
          <w:lang w:val="en-US" w:eastAsia="zh-CN" w:bidi="ar-SA"/>
        </w:rPr>
        <w:t>第一章  发展基础、面临形势、机遇和挑战</w:t>
      </w:r>
      <w:r>
        <w:rPr>
          <w:rFonts w:hint="default" w:ascii="Times New Roman" w:hAnsi="Times New Roman" w:eastAsia="宋体" w:cs="Times New Roman"/>
          <w:b/>
          <w:bCs/>
          <w:sz w:val="24"/>
          <w:szCs w:val="24"/>
          <w:highlight w:val="none"/>
        </w:rPr>
        <w:tab/>
      </w:r>
      <w:r>
        <w:rPr>
          <w:rFonts w:hint="eastAsia" w:asci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fldChar w:fldCharType="end"/>
      </w:r>
    </w:p>
    <w:p w14:paraId="2547B940">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_Toc20065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第一节  发展基础</w:t>
      </w:r>
      <w:r>
        <w:rPr>
          <w:rFonts w:hint="default" w:ascii="Times New Roman" w:hAnsi="Times New Roman" w:eastAsia="宋体" w:cs="Times New Roman"/>
          <w:b w:val="0"/>
          <w:bCs w:val="0"/>
          <w:sz w:val="24"/>
          <w:szCs w:val="24"/>
          <w:highlight w:val="none"/>
        </w:rPr>
        <w:tab/>
      </w:r>
      <w:r>
        <w:rPr>
          <w:rFonts w:hint="eastAsia" w:asci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rPr>
        <w:fldChar w:fldCharType="end"/>
      </w:r>
    </w:p>
    <w:p w14:paraId="5349EC85">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_Toc11084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第二节  面临形势</w:t>
      </w:r>
      <w:r>
        <w:rPr>
          <w:rFonts w:hint="default" w:ascii="Times New Roman" w:hAnsi="Times New Roman" w:eastAsia="宋体" w:cs="Times New Roman"/>
          <w:b w:val="0"/>
          <w:bCs w:val="0"/>
          <w:sz w:val="24"/>
          <w:szCs w:val="24"/>
          <w:highlight w:val="none"/>
        </w:rPr>
        <w:tab/>
      </w:r>
      <w:r>
        <w:rPr>
          <w:rFonts w:hint="eastAsia" w:ascii="Times New Roman" w:eastAsia="宋体" w:cs="Times New Roman"/>
          <w:b w:val="0"/>
          <w:bCs w:val="0"/>
          <w:sz w:val="24"/>
          <w:szCs w:val="24"/>
          <w:highlight w:val="none"/>
          <w:lang w:val="en-US" w:eastAsia="zh-CN"/>
        </w:rPr>
        <w:t>5</w:t>
      </w:r>
      <w:r>
        <w:rPr>
          <w:rFonts w:hint="default" w:ascii="Times New Roman" w:hAnsi="Times New Roman" w:eastAsia="宋体" w:cs="Times New Roman"/>
          <w:b w:val="0"/>
          <w:bCs w:val="0"/>
          <w:sz w:val="24"/>
          <w:szCs w:val="24"/>
          <w:highlight w:val="none"/>
        </w:rPr>
        <w:fldChar w:fldCharType="end"/>
      </w:r>
    </w:p>
    <w:p w14:paraId="6D524008">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_Toc4501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第三节  面临机遇</w:t>
      </w:r>
      <w:r>
        <w:rPr>
          <w:rFonts w:hint="default" w:ascii="Times New Roman" w:hAnsi="Times New Roman" w:eastAsia="宋体" w:cs="Times New Roman"/>
          <w:b w:val="0"/>
          <w:bCs w:val="0"/>
          <w:sz w:val="24"/>
          <w:szCs w:val="24"/>
          <w:highlight w:val="none"/>
        </w:rPr>
        <w:tab/>
      </w:r>
      <w:r>
        <w:rPr>
          <w:rFonts w:hint="eastAsia" w:ascii="Times New Roman" w:eastAsia="宋体" w:cs="Times New Roman"/>
          <w:b w:val="0"/>
          <w:bCs w:val="0"/>
          <w:sz w:val="24"/>
          <w:szCs w:val="24"/>
          <w:highlight w:val="none"/>
          <w:lang w:val="en-US" w:eastAsia="zh-CN"/>
        </w:rPr>
        <w:t>6</w:t>
      </w:r>
      <w:r>
        <w:rPr>
          <w:rFonts w:hint="default" w:ascii="Times New Roman" w:hAnsi="Times New Roman" w:eastAsia="宋体" w:cs="Times New Roman"/>
          <w:b w:val="0"/>
          <w:bCs w:val="0"/>
          <w:sz w:val="24"/>
          <w:szCs w:val="24"/>
          <w:highlight w:val="none"/>
        </w:rPr>
        <w:fldChar w:fldCharType="end"/>
      </w:r>
    </w:p>
    <w:p w14:paraId="3F559D1C">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_Toc29391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第四节  面临挑战</w:t>
      </w:r>
      <w:r>
        <w:rPr>
          <w:rFonts w:hint="default" w:ascii="Times New Roman" w:hAnsi="Times New Roman" w:eastAsia="宋体" w:cs="Times New Roman"/>
          <w:b w:val="0"/>
          <w:bCs w:val="0"/>
          <w:sz w:val="24"/>
          <w:szCs w:val="24"/>
          <w:highlight w:val="none"/>
        </w:rPr>
        <w:tab/>
      </w:r>
      <w:r>
        <w:rPr>
          <w:rFonts w:hint="eastAsia" w:ascii="Times New Roman" w:eastAsia="宋体" w:cs="Times New Roman"/>
          <w:b w:val="0"/>
          <w:bCs w:val="0"/>
          <w:sz w:val="24"/>
          <w:szCs w:val="24"/>
          <w:highlight w:val="none"/>
          <w:lang w:val="en-US" w:eastAsia="zh-CN"/>
        </w:rPr>
        <w:t>8</w:t>
      </w:r>
      <w:r>
        <w:rPr>
          <w:rFonts w:hint="default" w:ascii="Times New Roman" w:hAnsi="Times New Roman" w:eastAsia="宋体" w:cs="Times New Roman"/>
          <w:b w:val="0"/>
          <w:bCs w:val="0"/>
          <w:sz w:val="24"/>
          <w:szCs w:val="24"/>
          <w:highlight w:val="none"/>
        </w:rPr>
        <w:fldChar w:fldCharType="end"/>
      </w:r>
    </w:p>
    <w:p w14:paraId="02137E49">
      <w:pPr>
        <w:pStyle w:val="9"/>
        <w:keepNext w:val="0"/>
        <w:keepLines w:val="0"/>
        <w:pageBreakBefore w:val="0"/>
        <w:tabs>
          <w:tab w:val="right" w:leader="dot" w:pos="8789"/>
        </w:tabs>
        <w:kinsoku/>
        <w:wordWrap/>
        <w:overflowPunct/>
        <w:bidi w:val="0"/>
        <w:spacing w:line="560" w:lineRule="exact"/>
        <w:ind w:left="0" w:leftChars="0" w:firstLine="0" w:firstLineChars="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HYPERLINK \l _Toc12626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kern w:val="44"/>
          <w:sz w:val="24"/>
          <w:szCs w:val="24"/>
          <w:highlight w:val="none"/>
          <w:lang w:val="en-US" w:eastAsia="zh-CN" w:bidi="ar-SA"/>
        </w:rPr>
        <w:t>第二章  指导思想、基本原则和发展目标</w:t>
      </w:r>
      <w:r>
        <w:rPr>
          <w:rFonts w:hint="default" w:ascii="Times New Roman" w:hAnsi="Times New Roman" w:eastAsia="宋体" w:cs="Times New Roman"/>
          <w:b/>
          <w:bCs/>
          <w:sz w:val="24"/>
          <w:szCs w:val="24"/>
          <w:highlight w:val="none"/>
        </w:rPr>
        <w:tab/>
      </w:r>
      <w:r>
        <w:rPr>
          <w:rFonts w:hint="eastAsia" w:asci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fldChar w:fldCharType="end"/>
      </w:r>
      <w:r>
        <w:rPr>
          <w:rFonts w:hint="eastAsia" w:ascii="Times New Roman" w:eastAsia="宋体" w:cs="Times New Roman"/>
          <w:b/>
          <w:bCs/>
          <w:sz w:val="24"/>
          <w:szCs w:val="24"/>
          <w:highlight w:val="none"/>
          <w:lang w:val="en-US" w:eastAsia="zh-CN"/>
        </w:rPr>
        <w:t>1</w:t>
      </w:r>
    </w:p>
    <w:p w14:paraId="51E06C72">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_Toc13285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第一节  指导思想</w:t>
      </w:r>
      <w:r>
        <w:rPr>
          <w:rFonts w:hint="default" w:ascii="Times New Roman" w:hAnsi="Times New Roman" w:eastAsia="宋体" w:cs="Times New Roman"/>
          <w:b w:val="0"/>
          <w:bCs w:val="0"/>
          <w:sz w:val="24"/>
          <w:szCs w:val="24"/>
          <w:highlight w:val="none"/>
        </w:rPr>
        <w:tab/>
      </w: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PAGEREF _Toc13285 \h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sz w:val="24"/>
          <w:szCs w:val="24"/>
          <w:highlight w:val="none"/>
        </w:rPr>
        <w:t>1</w:t>
      </w:r>
      <w:r>
        <w:rPr>
          <w:rFonts w:hint="eastAsia" w:ascii="Times New Roman" w:eastAsia="宋体" w:cs="Times New Roman"/>
          <w:b w:val="0"/>
          <w:bCs w:val="0"/>
          <w:sz w:val="24"/>
          <w:szCs w:val="24"/>
          <w:highlight w:val="none"/>
          <w:lang w:val="en-US" w:eastAsia="zh-CN"/>
        </w:rPr>
        <w:t>1</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eastAsia="宋体" w:cs="Times New Roman"/>
          <w:b w:val="0"/>
          <w:bCs w:val="0"/>
          <w:sz w:val="24"/>
          <w:szCs w:val="24"/>
          <w:highlight w:val="none"/>
        </w:rPr>
        <w:fldChar w:fldCharType="end"/>
      </w:r>
    </w:p>
    <w:p w14:paraId="48D9165A">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_Toc969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第二节  基本原则</w:t>
      </w:r>
      <w:r>
        <w:rPr>
          <w:rFonts w:hint="default" w:ascii="Times New Roman" w:hAnsi="Times New Roman" w:eastAsia="宋体" w:cs="Times New Roman"/>
          <w:b w:val="0"/>
          <w:bCs w:val="0"/>
          <w:sz w:val="24"/>
          <w:szCs w:val="24"/>
          <w:highlight w:val="none"/>
        </w:rPr>
        <w:tab/>
      </w: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PAGEREF _Toc969 \h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sz w:val="24"/>
          <w:szCs w:val="24"/>
          <w:highlight w:val="none"/>
        </w:rPr>
        <w:t>1</w:t>
      </w:r>
      <w:r>
        <w:rPr>
          <w:rFonts w:hint="eastAsia" w:ascii="Times New Roman" w:eastAsia="宋体" w:cs="Times New Roman"/>
          <w:b w:val="0"/>
          <w:bCs w:val="0"/>
          <w:sz w:val="24"/>
          <w:szCs w:val="24"/>
          <w:highlight w:val="none"/>
          <w:lang w:val="en-US" w:eastAsia="zh-CN"/>
        </w:rPr>
        <w:t>1</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eastAsia="宋体" w:cs="Times New Roman"/>
          <w:b w:val="0"/>
          <w:bCs w:val="0"/>
          <w:sz w:val="24"/>
          <w:szCs w:val="24"/>
          <w:highlight w:val="none"/>
        </w:rPr>
        <w:fldChar w:fldCharType="end"/>
      </w:r>
    </w:p>
    <w:p w14:paraId="544D17F1">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_Toc6005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第三节  发展目标</w:t>
      </w:r>
      <w:r>
        <w:rPr>
          <w:rFonts w:hint="default" w:ascii="Times New Roman" w:hAnsi="Times New Roman" w:eastAsia="宋体" w:cs="Times New Roman"/>
          <w:b w:val="0"/>
          <w:bCs w:val="0"/>
          <w:sz w:val="24"/>
          <w:szCs w:val="24"/>
          <w:highlight w:val="none"/>
        </w:rPr>
        <w:tab/>
      </w: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PAGEREF _Toc6005 \h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sz w:val="24"/>
          <w:szCs w:val="24"/>
          <w:highlight w:val="none"/>
        </w:rPr>
        <w:t>1</w:t>
      </w:r>
      <w:r>
        <w:rPr>
          <w:rFonts w:hint="eastAsia" w:ascii="Times New Roman" w:eastAsia="宋体" w:cs="Times New Roman"/>
          <w:b w:val="0"/>
          <w:bCs w:val="0"/>
          <w:sz w:val="24"/>
          <w:szCs w:val="24"/>
          <w:highlight w:val="none"/>
          <w:lang w:val="en-US" w:eastAsia="zh-CN"/>
        </w:rPr>
        <w:t>2</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eastAsia="宋体" w:cs="Times New Roman"/>
          <w:b w:val="0"/>
          <w:bCs w:val="0"/>
          <w:sz w:val="24"/>
          <w:szCs w:val="24"/>
          <w:highlight w:val="none"/>
        </w:rPr>
        <w:fldChar w:fldCharType="end"/>
      </w:r>
    </w:p>
    <w:p w14:paraId="2547CCD6">
      <w:pPr>
        <w:pStyle w:val="9"/>
        <w:keepNext w:val="0"/>
        <w:keepLines w:val="0"/>
        <w:pageBreakBefore w:val="0"/>
        <w:tabs>
          <w:tab w:val="right" w:leader="dot" w:pos="8789"/>
        </w:tabs>
        <w:kinsoku/>
        <w:wordWrap/>
        <w:overflowPunct/>
        <w:bidi w:val="0"/>
        <w:spacing w:line="560" w:lineRule="exact"/>
        <w:ind w:left="0" w:leftChars="0" w:firstLine="0" w:firstLineChars="0"/>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HYPERLINK \l _Toc29652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kern w:val="44"/>
          <w:sz w:val="24"/>
          <w:szCs w:val="24"/>
          <w:highlight w:val="none"/>
          <w:lang w:val="en-US" w:eastAsia="zh-CN" w:bidi="ar-SA"/>
        </w:rPr>
        <w:t>第三章  发展重点和主要任务</w:t>
      </w:r>
      <w:r>
        <w:rPr>
          <w:rFonts w:hint="default" w:ascii="Times New Roman" w:hAnsi="Times New Roman" w:eastAsia="宋体" w:cs="Times New Roman"/>
          <w:b/>
          <w:bCs/>
          <w:sz w:val="24"/>
          <w:szCs w:val="24"/>
          <w:highlight w:val="none"/>
        </w:rPr>
        <w:tab/>
      </w: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PAGEREF _Toc29652 \h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sz w:val="24"/>
          <w:szCs w:val="24"/>
          <w:highlight w:val="none"/>
        </w:rPr>
        <w:t>1</w:t>
      </w:r>
      <w:r>
        <w:rPr>
          <w:rFonts w:hint="eastAsia" w:ascii="Times New Roman" w:eastAsia="宋体" w:cs="Times New Roman"/>
          <w:b/>
          <w:bCs/>
          <w:sz w:val="24"/>
          <w:szCs w:val="24"/>
          <w:highlight w:val="none"/>
          <w:lang w:val="en-US" w:eastAsia="zh-CN"/>
        </w:rPr>
        <w:t>5</w:t>
      </w:r>
      <w:r>
        <w:rPr>
          <w:rFonts w:hint="default" w:ascii="Times New Roman" w:hAnsi="Times New Roman" w:eastAsia="宋体" w:cs="Times New Roman"/>
          <w:b/>
          <w:bCs/>
          <w:sz w:val="24"/>
          <w:szCs w:val="24"/>
          <w:highlight w:val="none"/>
        </w:rPr>
        <w:fldChar w:fldCharType="end"/>
      </w:r>
      <w:r>
        <w:rPr>
          <w:rFonts w:hint="default" w:ascii="Times New Roman" w:hAnsi="Times New Roman" w:eastAsia="宋体" w:cs="Times New Roman"/>
          <w:b/>
          <w:bCs/>
          <w:sz w:val="24"/>
          <w:szCs w:val="24"/>
          <w:highlight w:val="none"/>
        </w:rPr>
        <w:fldChar w:fldCharType="end"/>
      </w:r>
    </w:p>
    <w:p w14:paraId="11024739">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_Toc29759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第一节  发展重点</w:t>
      </w:r>
      <w:r>
        <w:rPr>
          <w:rFonts w:hint="default" w:ascii="Times New Roman" w:hAnsi="Times New Roman" w:eastAsia="宋体" w:cs="Times New Roman"/>
          <w:b w:val="0"/>
          <w:bCs w:val="0"/>
          <w:sz w:val="24"/>
          <w:szCs w:val="24"/>
          <w:highlight w:val="none"/>
        </w:rPr>
        <w:tab/>
      </w: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PAGEREF _Toc29759 \h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sz w:val="24"/>
          <w:szCs w:val="24"/>
          <w:highlight w:val="none"/>
        </w:rPr>
        <w:t>1</w:t>
      </w:r>
      <w:r>
        <w:rPr>
          <w:rFonts w:hint="eastAsia" w:ascii="Times New Roman" w:eastAsia="宋体" w:cs="Times New Roman"/>
          <w:b w:val="0"/>
          <w:bCs w:val="0"/>
          <w:sz w:val="24"/>
          <w:szCs w:val="24"/>
          <w:highlight w:val="none"/>
          <w:lang w:val="en-US" w:eastAsia="zh-CN"/>
        </w:rPr>
        <w:t>5</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eastAsia="宋体" w:cs="Times New Roman"/>
          <w:b w:val="0"/>
          <w:bCs w:val="0"/>
          <w:sz w:val="24"/>
          <w:szCs w:val="24"/>
          <w:highlight w:val="none"/>
        </w:rPr>
        <w:fldChar w:fldCharType="end"/>
      </w:r>
    </w:p>
    <w:p w14:paraId="6CABFA8F">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HYPERLINK \l _Toc24409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kern w:val="2"/>
          <w:sz w:val="24"/>
          <w:szCs w:val="24"/>
          <w:highlight w:val="none"/>
          <w:lang w:val="en-US" w:eastAsia="zh-CN" w:bidi="ar-SA"/>
        </w:rPr>
        <w:t>第二节  实施路径</w:t>
      </w:r>
      <w:r>
        <w:rPr>
          <w:rFonts w:hint="default" w:ascii="Times New Roman" w:hAnsi="Times New Roman" w:eastAsia="宋体" w:cs="Times New Roman"/>
          <w:b w:val="0"/>
          <w:bCs w:val="0"/>
          <w:sz w:val="24"/>
          <w:szCs w:val="24"/>
          <w:highlight w:val="none"/>
        </w:rPr>
        <w:tab/>
      </w:r>
      <w:r>
        <w:rPr>
          <w:rFonts w:hint="default" w:ascii="Times New Roman" w:hAnsi="Times New Roman" w:eastAsia="宋体" w:cs="Times New Roman"/>
          <w:b w:val="0"/>
          <w:bCs w:val="0"/>
          <w:sz w:val="24"/>
          <w:szCs w:val="24"/>
          <w:highlight w:val="none"/>
        </w:rPr>
        <w:fldChar w:fldCharType="begin"/>
      </w:r>
      <w:r>
        <w:rPr>
          <w:rFonts w:hint="default" w:ascii="Times New Roman" w:hAnsi="Times New Roman" w:eastAsia="宋体" w:cs="Times New Roman"/>
          <w:b w:val="0"/>
          <w:bCs w:val="0"/>
          <w:sz w:val="24"/>
          <w:szCs w:val="24"/>
          <w:highlight w:val="none"/>
        </w:rPr>
        <w:instrText xml:space="preserve"> PAGEREF _Toc24409 \h </w:instrText>
      </w:r>
      <w:r>
        <w:rPr>
          <w:rFonts w:hint="default" w:ascii="Times New Roman" w:hAnsi="Times New Roman" w:eastAsia="宋体" w:cs="Times New Roman"/>
          <w:b w:val="0"/>
          <w:bCs w:val="0"/>
          <w:sz w:val="24"/>
          <w:szCs w:val="24"/>
          <w:highlight w:val="none"/>
        </w:rPr>
        <w:fldChar w:fldCharType="separate"/>
      </w:r>
      <w:r>
        <w:rPr>
          <w:rFonts w:hint="default" w:ascii="Times New Roman" w:hAnsi="Times New Roman" w:eastAsia="宋体" w:cs="Times New Roman"/>
          <w:b w:val="0"/>
          <w:bCs w:val="0"/>
          <w:sz w:val="24"/>
          <w:szCs w:val="24"/>
          <w:highlight w:val="none"/>
        </w:rPr>
        <w:t>1</w:t>
      </w:r>
      <w:r>
        <w:rPr>
          <w:rFonts w:hint="eastAsia" w:ascii="Times New Roman" w:eastAsia="宋体" w:cs="Times New Roman"/>
          <w:b w:val="0"/>
          <w:bCs w:val="0"/>
          <w:sz w:val="24"/>
          <w:szCs w:val="24"/>
          <w:highlight w:val="none"/>
          <w:lang w:val="en-US" w:eastAsia="zh-CN"/>
        </w:rPr>
        <w:t>7</w:t>
      </w:r>
      <w:r>
        <w:rPr>
          <w:rFonts w:hint="default" w:ascii="Times New Roman" w:hAnsi="Times New Roman" w:eastAsia="宋体" w:cs="Times New Roman"/>
          <w:b w:val="0"/>
          <w:bCs w:val="0"/>
          <w:sz w:val="24"/>
          <w:szCs w:val="24"/>
          <w:highlight w:val="none"/>
        </w:rPr>
        <w:fldChar w:fldCharType="end"/>
      </w:r>
      <w:r>
        <w:rPr>
          <w:rFonts w:hint="default" w:ascii="Times New Roman" w:hAnsi="Times New Roman" w:eastAsia="宋体" w:cs="Times New Roman"/>
          <w:b w:val="0"/>
          <w:bCs w:val="0"/>
          <w:sz w:val="24"/>
          <w:szCs w:val="24"/>
          <w:highlight w:val="none"/>
        </w:rPr>
        <w:fldChar w:fldCharType="end"/>
      </w:r>
    </w:p>
    <w:p w14:paraId="59439931">
      <w:pPr>
        <w:pStyle w:val="9"/>
        <w:keepNext w:val="0"/>
        <w:keepLines w:val="0"/>
        <w:pageBreakBefore w:val="0"/>
        <w:tabs>
          <w:tab w:val="right" w:leader="dot" w:pos="8789"/>
        </w:tabs>
        <w:kinsoku/>
        <w:wordWrap/>
        <w:overflowPunct/>
        <w:bidi w:val="0"/>
        <w:spacing w:line="560" w:lineRule="exact"/>
        <w:ind w:left="0" w:leftChars="0" w:firstLine="0" w:firstLine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HYPERLINK \l _Toc4645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kern w:val="44"/>
          <w:sz w:val="24"/>
          <w:szCs w:val="24"/>
          <w:highlight w:val="none"/>
          <w:lang w:val="en-US" w:eastAsia="zh-CN" w:bidi="ar-SA"/>
        </w:rPr>
        <w:t>第四章  规划实施保障</w:t>
      </w:r>
      <w:r>
        <w:rPr>
          <w:rFonts w:hint="default" w:ascii="Times New Roman" w:hAnsi="Times New Roman" w:eastAsia="宋体" w:cs="Times New Roman"/>
          <w:b/>
          <w:bCs/>
          <w:sz w:val="24"/>
          <w:szCs w:val="24"/>
          <w:highlight w:val="none"/>
        </w:rPr>
        <w:tab/>
      </w: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PAGEREF _Toc4645 \h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sz w:val="24"/>
          <w:szCs w:val="24"/>
          <w:highlight w:val="none"/>
        </w:rPr>
        <w:t>2</w:t>
      </w:r>
      <w:r>
        <w:rPr>
          <w:rFonts w:hint="eastAsia" w:asci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fldChar w:fldCharType="end"/>
      </w:r>
      <w:r>
        <w:rPr>
          <w:rFonts w:hint="default" w:ascii="Times New Roman" w:hAnsi="Times New Roman" w:eastAsia="宋体" w:cs="Times New Roman"/>
          <w:b/>
          <w:bCs/>
          <w:sz w:val="24"/>
          <w:szCs w:val="24"/>
          <w:highlight w:val="none"/>
        </w:rPr>
        <w:fldChar w:fldCharType="end"/>
      </w:r>
    </w:p>
    <w:p w14:paraId="6EBC776D">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_Toc12771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kern w:val="2"/>
          <w:sz w:val="24"/>
          <w:szCs w:val="24"/>
          <w:highlight w:val="none"/>
          <w:lang w:val="en-US" w:eastAsia="zh-CN" w:bidi="ar-SA"/>
        </w:rPr>
        <w:t>第一节  坚持和加强党的领导</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_Toc12771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2</w:t>
      </w:r>
      <w:r>
        <w:rPr>
          <w:rFonts w:hint="eastAsia" w:asci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551B7475">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_Toc11512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kern w:val="2"/>
          <w:sz w:val="24"/>
          <w:szCs w:val="24"/>
          <w:highlight w:val="none"/>
          <w:lang w:val="en-US" w:eastAsia="zh-CN" w:bidi="ar-SA"/>
        </w:rPr>
        <w:t>第二节  完善规划实施机制</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_Toc11512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2</w:t>
      </w:r>
      <w:r>
        <w:rPr>
          <w:rFonts w:hint="eastAsia" w:asci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53DE5722">
      <w:pPr>
        <w:pStyle w:val="10"/>
        <w:keepNext w:val="0"/>
        <w:keepLines w:val="0"/>
        <w:pageBreakBefore w:val="0"/>
        <w:tabs>
          <w:tab w:val="right" w:leader="dot" w:pos="8789"/>
        </w:tabs>
        <w:kinsoku/>
        <w:wordWrap/>
        <w:overflowPunct/>
        <w:bidi w:val="0"/>
        <w:spacing w:line="560" w:lineRule="exact"/>
        <w:ind w:left="0" w:leftChars="0" w:firstLine="472"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_Toc25793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kern w:val="2"/>
          <w:sz w:val="24"/>
          <w:szCs w:val="24"/>
          <w:highlight w:val="none"/>
          <w:lang w:val="en-US" w:eastAsia="zh-CN" w:bidi="ar-SA"/>
        </w:rPr>
        <w:t>第三节  完善监督考核机制</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_Toc25793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2</w:t>
      </w:r>
      <w:r>
        <w:rPr>
          <w:rFonts w:hint="eastAsia" w:asci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25F79D65">
      <w:pPr>
        <w:keepNext w:val="0"/>
        <w:keepLines w:val="0"/>
        <w:pageBreakBefore w:val="0"/>
        <w:kinsoku/>
        <w:wordWrap/>
        <w:overflowPunct/>
        <w:bidi w:val="0"/>
        <w:spacing w:line="560" w:lineRule="exact"/>
        <w:jc w:val="both"/>
        <w:textAlignment w:val="auto"/>
        <w:rPr>
          <w:rFonts w:hint="default" w:ascii="Times New Roman" w:hAnsi="Times New Roman" w:eastAsia="宋体" w:cs="Times New Roman"/>
          <w:sz w:val="32"/>
          <w:szCs w:val="32"/>
        </w:rPr>
      </w:pPr>
      <w:r>
        <w:rPr>
          <w:rFonts w:hint="default" w:ascii="Times New Roman" w:hAnsi="Times New Roman" w:eastAsia="宋体" w:cs="Times New Roman"/>
          <w:b/>
          <w:bCs/>
          <w:sz w:val="24"/>
          <w:szCs w:val="24"/>
        </w:rPr>
        <w:fldChar w:fldCharType="end"/>
      </w:r>
    </w:p>
    <w:p w14:paraId="790E9C14">
      <w:pPr>
        <w:keepNext w:val="0"/>
        <w:keepLines w:val="0"/>
        <w:pageBreakBefore w:val="0"/>
        <w:widowControl/>
        <w:numPr>
          <w:ilvl w:val="0"/>
          <w:numId w:val="0"/>
        </w:numPr>
        <w:kinsoku/>
        <w:wordWrap/>
        <w:overflowPunct/>
        <w:autoSpaceDE w:val="0"/>
        <w:autoSpaceDN w:val="0"/>
        <w:bidi w:val="0"/>
        <w:adjustRightInd w:val="0"/>
        <w:spacing w:line="560" w:lineRule="exact"/>
        <w:jc w:val="center"/>
        <w:textAlignment w:val="auto"/>
        <w:outlineLvl w:val="0"/>
        <w:rPr>
          <w:rFonts w:hint="default" w:ascii="Times New Roman" w:hAnsi="Times New Roman" w:eastAsia="宋体" w:cs="Times New Roman"/>
          <w:b/>
          <w:bCs/>
          <w:kern w:val="44"/>
          <w:sz w:val="32"/>
          <w:szCs w:val="32"/>
          <w:highlight w:val="none"/>
          <w:lang w:val="en-US" w:eastAsia="zh-CN" w:bidi="ar-SA"/>
        </w:rPr>
      </w:pPr>
    </w:p>
    <w:p w14:paraId="46AFF759">
      <w:pPr>
        <w:pStyle w:val="2"/>
        <w:keepNext w:val="0"/>
        <w:keepLines w:val="0"/>
        <w:pageBreakBefore w:val="0"/>
        <w:kinsoku/>
        <w:wordWrap/>
        <w:overflowPunct/>
        <w:bidi w:val="0"/>
        <w:spacing w:after="0" w:line="560" w:lineRule="exact"/>
        <w:textAlignment w:val="auto"/>
        <w:rPr>
          <w:rFonts w:hint="default" w:ascii="Times New Roman" w:hAnsi="Times New Roman" w:eastAsia="宋体" w:cs="Times New Roman"/>
          <w:b/>
          <w:bCs/>
          <w:kern w:val="44"/>
          <w:sz w:val="32"/>
          <w:szCs w:val="32"/>
          <w:highlight w:val="none"/>
          <w:lang w:val="en-US" w:eastAsia="zh-CN" w:bidi="ar-SA"/>
        </w:rPr>
      </w:pPr>
    </w:p>
    <w:p w14:paraId="58CE5BC3">
      <w:pPr>
        <w:keepNext w:val="0"/>
        <w:keepLines w:val="0"/>
        <w:pageBreakBefore w:val="0"/>
        <w:widowControl/>
        <w:numPr>
          <w:ilvl w:val="0"/>
          <w:numId w:val="0"/>
        </w:numPr>
        <w:kinsoku/>
        <w:wordWrap/>
        <w:overflowPunct/>
        <w:autoSpaceDE w:val="0"/>
        <w:autoSpaceDN w:val="0"/>
        <w:bidi w:val="0"/>
        <w:adjustRightInd w:val="0"/>
        <w:spacing w:line="560" w:lineRule="exact"/>
        <w:jc w:val="center"/>
        <w:textAlignment w:val="auto"/>
        <w:outlineLvl w:val="0"/>
        <w:rPr>
          <w:rFonts w:hint="default" w:ascii="Times New Roman" w:hAnsi="Times New Roman" w:eastAsia="宋体" w:cs="Times New Roman"/>
          <w:b/>
          <w:bCs/>
          <w:kern w:val="44"/>
          <w:sz w:val="32"/>
          <w:szCs w:val="32"/>
          <w:highlight w:val="none"/>
          <w:lang w:val="en-US" w:eastAsia="zh-CN" w:bidi="ar-SA"/>
        </w:rPr>
        <w:sectPr>
          <w:footerReference r:id="rId5" w:type="default"/>
          <w:pgSz w:w="11906" w:h="16838"/>
          <w:pgMar w:top="2098" w:right="1474" w:bottom="1984" w:left="1587" w:header="851" w:footer="992" w:gutter="0"/>
          <w:pgNumType w:fmt="numberInDash" w:start="1"/>
          <w:cols w:space="0" w:num="1"/>
          <w:rtlGutter w:val="0"/>
          <w:docGrid w:type="linesAndChars" w:linePitch="600" w:charSpace="-842"/>
        </w:sectPr>
      </w:pPr>
    </w:p>
    <w:p w14:paraId="77FAFEA7">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bookmarkStart w:id="1" w:name="_Toc23503"/>
      <w:r>
        <w:rPr>
          <w:rFonts w:hint="default" w:ascii="Times New Roman" w:hAnsi="Times New Roman" w:eastAsia="方正小标宋_GBK" w:cs="Times New Roman"/>
          <w:kern w:val="2"/>
          <w:sz w:val="44"/>
          <w:szCs w:val="44"/>
          <w:lang w:val="en-US" w:eastAsia="zh-CN"/>
        </w:rPr>
        <w:t>序  言</w:t>
      </w:r>
      <w:bookmarkEnd w:id="0"/>
      <w:bookmarkEnd w:id="1"/>
    </w:p>
    <w:p w14:paraId="64EADBBB">
      <w:pPr>
        <w:keepNext w:val="0"/>
        <w:keepLines w:val="0"/>
        <w:pageBreakBefore w:val="0"/>
        <w:widowControl/>
        <w:suppressLineNumbers w:val="0"/>
        <w:kinsoku/>
        <w:wordWrap/>
        <w:overflowPunct/>
        <w:autoSpaceDE w:val="0"/>
        <w:autoSpaceDN w:val="0"/>
        <w:bidi w:val="0"/>
        <w:adjustRightInd w:val="0"/>
        <w:spacing w:line="560" w:lineRule="exact"/>
        <w:jc w:val="left"/>
        <w:textAlignment w:val="auto"/>
        <w:rPr>
          <w:rFonts w:hint="default" w:ascii="Times New Roman" w:hAnsi="Times New Roman" w:eastAsia="仿宋" w:cs="Times New Roman"/>
          <w:color w:val="000000"/>
          <w:kern w:val="0"/>
          <w:sz w:val="32"/>
          <w:szCs w:val="32"/>
          <w:lang w:val="en-US" w:eastAsia="zh-CN" w:bidi="ar"/>
        </w:rPr>
      </w:pPr>
    </w:p>
    <w:p w14:paraId="1BA1C0B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24"/>
        <w:jc w:val="both"/>
        <w:textAlignment w:val="auto"/>
        <w:rPr>
          <w:rFonts w:hint="default" w:ascii="Times New Roman" w:hAnsi="Times New Roman" w:eastAsia="仿宋" w:cs="Times New Roman"/>
          <w:kern w:val="0"/>
          <w:sz w:val="32"/>
          <w:szCs w:val="32"/>
          <w:highlight w:val="darkGray"/>
          <w:lang w:val="en-US" w:eastAsia="zh-CN" w:bidi="ar-SA"/>
        </w:rPr>
      </w:pPr>
      <w:r>
        <w:rPr>
          <w:rFonts w:hint="default" w:ascii="Times New Roman" w:hAnsi="Times New Roman" w:eastAsia="仿宋" w:cs="Times New Roman"/>
          <w:color w:val="000000"/>
          <w:kern w:val="0"/>
          <w:sz w:val="32"/>
          <w:szCs w:val="32"/>
          <w:lang w:val="en-US" w:eastAsia="zh-CN" w:bidi="ar"/>
        </w:rPr>
        <w:t>“十四五”时期是我国全面建成小康社会、实现第一个百年奋斗目标之后，乘势而上开启全面建设社会主义现代化国家新征程、向第二个百年奋斗目标进军的第一个五年，是高举习近平新时代中国特色社会主义思想伟大旗帜，全面落实“争当表率、争做示范、走在前列”使命担当，开启社会主义现代化建设新征程的第一个五年，是</w:t>
      </w:r>
      <w:r>
        <w:rPr>
          <w:rFonts w:hint="default" w:ascii="Times New Roman" w:hAnsi="Times New Roman" w:eastAsia="仿宋" w:cs="Times New Roman"/>
          <w:color w:val="000000"/>
          <w:kern w:val="0"/>
          <w:sz w:val="32"/>
          <w:szCs w:val="32"/>
          <w:highlight w:val="none"/>
          <w:lang w:val="en-US" w:eastAsia="zh-CN" w:bidi="ar"/>
        </w:rPr>
        <w:t>围绕打造“城市新中心、江苏外滩”的关键五年。根据《中共连云港市委 连云港市人民政府关于深入推进连云新城开发建设的实施方案》（连发〔2019〕9号）和区委区政府《关于支持和促进连</w:t>
      </w:r>
      <w:r>
        <w:rPr>
          <w:rFonts w:hint="default" w:ascii="Times New Roman" w:hAnsi="Times New Roman" w:eastAsia="仿宋" w:cs="Times New Roman"/>
          <w:color w:val="000000"/>
          <w:kern w:val="0"/>
          <w:sz w:val="32"/>
          <w:szCs w:val="32"/>
          <w:lang w:val="en-US" w:eastAsia="zh-CN" w:bidi="ar"/>
        </w:rPr>
        <w:t>云新城产业发展的暂行办法》（连区政发〔2019〕126号）等文件以及连云新城开发建设领导小组多次工作会议精神，编制《连云新城“十四五”建设专项规划》，主要阐明“十四五”时期的发展思路、主要目标、重点任务和实施保障，是连云新城未来五年内建设发展的指导性文件。</w:t>
      </w:r>
    </w:p>
    <w:p w14:paraId="035C6988">
      <w:pPr>
        <w:keepNext w:val="0"/>
        <w:keepLines w:val="0"/>
        <w:pageBreakBefore w:val="0"/>
        <w:widowControl/>
        <w:numPr>
          <w:ilvl w:val="0"/>
          <w:numId w:val="0"/>
        </w:numPr>
        <w:kinsoku/>
        <w:wordWrap/>
        <w:overflowPunct/>
        <w:autoSpaceDE w:val="0"/>
        <w:autoSpaceDN w:val="0"/>
        <w:bidi w:val="0"/>
        <w:adjustRightInd w:val="0"/>
        <w:spacing w:line="560" w:lineRule="exact"/>
        <w:ind w:firstLine="632" w:firstLineChars="200"/>
        <w:jc w:val="both"/>
        <w:textAlignment w:val="auto"/>
        <w:rPr>
          <w:rFonts w:hint="default" w:ascii="Times New Roman" w:hAnsi="Times New Roman" w:eastAsia="仿宋" w:cs="Times New Roman"/>
          <w:kern w:val="0"/>
          <w:sz w:val="32"/>
          <w:szCs w:val="32"/>
          <w:highlight w:val="darkGray"/>
          <w:lang w:val="en-US" w:eastAsia="zh-CN" w:bidi="ar-SA"/>
        </w:rPr>
      </w:pPr>
    </w:p>
    <w:p w14:paraId="268D2BB7">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rPr>
      </w:pPr>
    </w:p>
    <w:p w14:paraId="7E5D61E1">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525DE53B">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54A5C276">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1DBD6B87">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68C5D5E5">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592B74DD">
      <w:pPr>
        <w:pStyle w:val="5"/>
        <w:keepNext w:val="0"/>
        <w:keepLines w:val="0"/>
        <w:pageBreakBefore w:val="0"/>
        <w:widowControl/>
        <w:numPr>
          <w:ilvl w:val="0"/>
          <w:numId w:val="0"/>
        </w:numPr>
        <w:kinsoku/>
        <w:wordWrap/>
        <w:overflowPunct/>
        <w:autoSpaceDE w:val="0"/>
        <w:autoSpaceDN w:val="0"/>
        <w:bidi w:val="0"/>
        <w:adjustRightInd w:val="0"/>
        <w:spacing w:line="560" w:lineRule="exact"/>
        <w:ind w:left="624" w:leftChars="0"/>
        <w:jc w:val="both"/>
        <w:textAlignment w:val="auto"/>
        <w:rPr>
          <w:rFonts w:hint="default" w:ascii="Times New Roman" w:hAnsi="Times New Roman" w:eastAsia="仿宋" w:cs="Times New Roman"/>
          <w:sz w:val="32"/>
          <w:szCs w:val="32"/>
          <w:lang w:val="en-US" w:eastAsia="zh-CN"/>
        </w:rPr>
      </w:pPr>
    </w:p>
    <w:p w14:paraId="4F940C90">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sectPr>
          <w:footerReference r:id="rId6" w:type="default"/>
          <w:pgSz w:w="11906" w:h="16838"/>
          <w:pgMar w:top="2098" w:right="1474" w:bottom="1531" w:left="1587" w:header="851" w:footer="992" w:gutter="0"/>
          <w:pgNumType w:fmt="numberInDash" w:start="1"/>
          <w:cols w:space="0" w:num="1"/>
          <w:rtlGutter w:val="0"/>
          <w:docGrid w:type="linesAndChars" w:linePitch="600" w:charSpace="-842"/>
        </w:sectPr>
      </w:pPr>
      <w:bookmarkStart w:id="2" w:name="_Toc5932"/>
      <w:bookmarkStart w:id="3" w:name="_Toc14059"/>
    </w:p>
    <w:p w14:paraId="60F9A47F">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r>
        <w:rPr>
          <w:rFonts w:hint="default" w:ascii="Times New Roman" w:hAnsi="Times New Roman" w:eastAsia="方正小标宋_GBK" w:cs="Times New Roman"/>
          <w:kern w:val="2"/>
          <w:sz w:val="44"/>
          <w:szCs w:val="44"/>
          <w:lang w:val="en-US" w:eastAsia="zh-CN"/>
        </w:rPr>
        <w:t>第一章  发展基础、面临形势</w:t>
      </w:r>
      <w:bookmarkEnd w:id="2"/>
      <w:r>
        <w:rPr>
          <w:rFonts w:hint="default" w:ascii="Times New Roman" w:hAnsi="Times New Roman" w:eastAsia="方正小标宋_GBK" w:cs="Times New Roman"/>
          <w:kern w:val="2"/>
          <w:sz w:val="44"/>
          <w:szCs w:val="44"/>
          <w:lang w:val="en-US" w:eastAsia="zh-CN"/>
        </w:rPr>
        <w:t>、机遇和挑战</w:t>
      </w:r>
      <w:bookmarkEnd w:id="3"/>
    </w:p>
    <w:p w14:paraId="2C57C64C">
      <w:pPr>
        <w:keepNext w:val="0"/>
        <w:keepLines w:val="0"/>
        <w:pageBreakBefore w:val="0"/>
        <w:widowControl/>
        <w:kinsoku/>
        <w:wordWrap/>
        <w:overflowPunct/>
        <w:autoSpaceDE w:val="0"/>
        <w:autoSpaceDN w:val="0"/>
        <w:bidi w:val="0"/>
        <w:adjustRightInd w:val="0"/>
        <w:spacing w:line="560" w:lineRule="exact"/>
        <w:textAlignment w:val="auto"/>
        <w:rPr>
          <w:rFonts w:hint="default" w:ascii="Times New Roman" w:hAnsi="Times New Roman" w:eastAsia="仿宋" w:cs="Times New Roman"/>
          <w:sz w:val="32"/>
          <w:szCs w:val="32"/>
          <w:highlight w:val="none"/>
          <w:lang w:val="en-US" w:eastAsia="zh-CN"/>
        </w:rPr>
      </w:pPr>
    </w:p>
    <w:p w14:paraId="7F815F7C">
      <w:pPr>
        <w:keepNext w:val="0"/>
        <w:keepLines w:val="0"/>
        <w:pageBreakBefore w:val="0"/>
        <w:widowControl/>
        <w:kinsoku/>
        <w:wordWrap/>
        <w:overflowPunct/>
        <w:autoSpaceDE w:val="0"/>
        <w:autoSpaceDN w:val="0"/>
        <w:bidi w:val="0"/>
        <w:adjustRightInd w:val="0"/>
        <w:spacing w:line="560" w:lineRule="exac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十三五”是实施“一带一路”、推动经济发展方式转变、建设更高水平小康社会的关键时期。“十三五”时期，连云新城建设取得重大阶段性成果，在城市建设、产业发展方面都取得了不俗的成绩，为全面开启社会主义现代化新征程奠定了坚实基础。“十四五”时期，连云新城将进入建设加速期、海上连城提升期，必须准确把握新发展阶段，贯彻新发展理念，加快构建新发展格局，坚决夺取“十四五”发展新胜利，为全面建设社会主义现代化开好局、起好步。</w:t>
      </w:r>
    </w:p>
    <w:p w14:paraId="726C1D95">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Times New Roman" w:hAnsi="Times New Roman" w:eastAsia="仿宋" w:cs="Times New Roman"/>
          <w:b w:val="0"/>
          <w:bCs w:val="0"/>
          <w:kern w:val="2"/>
          <w:sz w:val="32"/>
          <w:szCs w:val="32"/>
          <w:highlight w:val="none"/>
          <w:lang w:val="en-US" w:eastAsia="zh-CN" w:bidi="ar-SA"/>
        </w:rPr>
      </w:pPr>
      <w:bookmarkStart w:id="4" w:name="_Toc20065"/>
      <w:r>
        <w:rPr>
          <w:rFonts w:hint="eastAsia" w:ascii="楷体" w:hAnsi="楷体" w:eastAsia="楷体" w:cs="楷体"/>
          <w:b w:val="0"/>
          <w:bCs w:val="0"/>
          <w:kern w:val="2"/>
          <w:sz w:val="32"/>
          <w:szCs w:val="32"/>
          <w:highlight w:val="none"/>
          <w:lang w:val="en-US" w:eastAsia="zh-CN" w:bidi="ar-SA"/>
        </w:rPr>
        <w:t>第一节  发展基础</w:t>
      </w:r>
      <w:bookmarkEnd w:id="4"/>
    </w:p>
    <w:p w14:paraId="4DBB9C3B">
      <w:pPr>
        <w:keepNext w:val="0"/>
        <w:keepLines w:val="0"/>
        <w:pageBreakBefore w:val="0"/>
        <w:widowControl/>
        <w:kinsoku/>
        <w:wordWrap/>
        <w:overflowPunct/>
        <w:topLinePunct w:val="0"/>
        <w:autoSpaceDE w:val="0"/>
        <w:autoSpaceDN w:val="0"/>
        <w:bidi w:val="0"/>
        <w:adjustRightInd w:val="0"/>
        <w:spacing w:line="560" w:lineRule="exact"/>
        <w:ind w:firstLine="632" w:firstLineChars="200"/>
        <w:textAlignment w:val="auto"/>
        <w:rPr>
          <w:rFonts w:hint="default" w:ascii="Times New Roman" w:hAnsi="Times New Roman" w:eastAsia="仿宋" w:cs="Times New Roman"/>
          <w:b/>
          <w:bCs/>
          <w:color w:val="000000"/>
          <w:kern w:val="0"/>
          <w:sz w:val="32"/>
          <w:szCs w:val="32"/>
          <w:highlight w:val="yellow"/>
          <w:lang w:val="en-US" w:eastAsia="zh-CN"/>
        </w:rPr>
      </w:pPr>
      <w:r>
        <w:rPr>
          <w:rFonts w:hint="default" w:ascii="Times New Roman" w:hAnsi="Times New Roman" w:eastAsia="仿宋" w:cs="Times New Roman"/>
          <w:sz w:val="32"/>
          <w:szCs w:val="32"/>
          <w:highlight w:val="none"/>
          <w:lang w:val="en-US" w:eastAsia="zh-CN"/>
        </w:rPr>
        <w:t>“十三五”时期，</w:t>
      </w:r>
      <w:r>
        <w:rPr>
          <w:rFonts w:hint="default" w:ascii="Times New Roman" w:hAnsi="Times New Roman" w:eastAsia="仿宋" w:cs="Times New Roman"/>
          <w:color w:val="000000"/>
          <w:kern w:val="0"/>
          <w:sz w:val="32"/>
          <w:szCs w:val="32"/>
          <w:lang w:val="en-US" w:eastAsia="zh-CN"/>
        </w:rPr>
        <w:t>在</w:t>
      </w:r>
      <w:r>
        <w:rPr>
          <w:rFonts w:hint="default" w:ascii="Times New Roman" w:hAnsi="Times New Roman" w:eastAsia="仿宋" w:cs="Times New Roman"/>
          <w:color w:val="000000"/>
          <w:kern w:val="0"/>
          <w:sz w:val="32"/>
          <w:szCs w:val="32"/>
        </w:rPr>
        <w:t>市委市政府</w:t>
      </w:r>
      <w:r>
        <w:rPr>
          <w:rFonts w:hint="default" w:ascii="Times New Roman" w:hAnsi="Times New Roman" w:eastAsia="仿宋" w:cs="Times New Roman"/>
          <w:color w:val="000000"/>
          <w:kern w:val="0"/>
          <w:sz w:val="32"/>
          <w:szCs w:val="32"/>
          <w:lang w:eastAsia="zh-CN"/>
        </w:rPr>
        <w:t>、区委区政府</w:t>
      </w:r>
      <w:r>
        <w:rPr>
          <w:rFonts w:hint="default" w:ascii="Times New Roman" w:hAnsi="Times New Roman" w:eastAsia="仿宋" w:cs="Times New Roman"/>
          <w:color w:val="000000"/>
          <w:kern w:val="0"/>
          <w:sz w:val="32"/>
          <w:szCs w:val="32"/>
          <w:lang w:val="en-US" w:eastAsia="zh-CN"/>
        </w:rPr>
        <w:t>领导下，</w:t>
      </w:r>
      <w:r>
        <w:rPr>
          <w:rFonts w:hint="default" w:ascii="Times New Roman" w:hAnsi="Times New Roman" w:eastAsia="仿宋" w:cs="Times New Roman"/>
          <w:sz w:val="32"/>
          <w:szCs w:val="32"/>
          <w:highlight w:val="none"/>
          <w:lang w:val="en-US" w:eastAsia="zh-CN"/>
        </w:rPr>
        <w:t>连云新城坚持以习近平新时代中国特色社会主义思想为指导，</w:t>
      </w:r>
      <w:r>
        <w:rPr>
          <w:rFonts w:hint="default" w:ascii="Times New Roman" w:hAnsi="Times New Roman" w:eastAsia="仿宋" w:cs="Times New Roman"/>
          <w:color w:val="000000"/>
          <w:kern w:val="0"/>
          <w:sz w:val="32"/>
          <w:szCs w:val="32"/>
          <w:lang w:eastAsia="zh-CN"/>
        </w:rPr>
        <w:t>积极</w:t>
      </w:r>
      <w:r>
        <w:rPr>
          <w:rFonts w:hint="default" w:ascii="Times New Roman" w:hAnsi="Times New Roman" w:eastAsia="仿宋" w:cs="Times New Roman"/>
          <w:sz w:val="32"/>
          <w:szCs w:val="32"/>
        </w:rPr>
        <w:t>抢抓国家“</w:t>
      </w:r>
      <w:bookmarkStart w:id="19" w:name="_GoBack"/>
      <w:r>
        <w:rPr>
          <w:rFonts w:hint="default" w:ascii="Times New Roman" w:hAnsi="Times New Roman" w:eastAsia="仿宋" w:cs="Times New Roman"/>
          <w:sz w:val="32"/>
          <w:szCs w:val="32"/>
        </w:rPr>
        <w:t>一带一路</w:t>
      </w:r>
      <w:bookmarkEnd w:id="19"/>
      <w:r>
        <w:rPr>
          <w:rFonts w:hint="default" w:ascii="Times New Roman" w:hAnsi="Times New Roman" w:eastAsia="仿宋" w:cs="Times New Roman"/>
          <w:sz w:val="32"/>
          <w:szCs w:val="32"/>
        </w:rPr>
        <w:t>”发展机遇、全省加快沿海地区和沿东陇海线地区发展的重大部署，以及全市推动港产城融合发展、加快区域性国际商务中心建设的具体要求，紧扣全区发展大局，依托连云新城总体规划和各项专题策划规划成果，牢固树立创新、协调、绿色、开放、共享的科学发展理念，以现代服务业为主攻方向，不断提升连云新城国际化水平及服务“一带一路”交汇点建设的综合能力，</w:t>
      </w:r>
      <w:r>
        <w:rPr>
          <w:rFonts w:hint="default" w:ascii="Times New Roman" w:hAnsi="Times New Roman" w:eastAsia="仿宋" w:cs="Times New Roman"/>
          <w:color w:val="000000"/>
          <w:kern w:val="0"/>
          <w:sz w:val="32"/>
          <w:szCs w:val="32"/>
        </w:rPr>
        <w:t>全面推进连云新城开发建设，各项工作取得</w:t>
      </w:r>
      <w:r>
        <w:rPr>
          <w:rFonts w:hint="default" w:ascii="Times New Roman" w:hAnsi="Times New Roman" w:eastAsia="仿宋" w:cs="Times New Roman"/>
          <w:color w:val="000000"/>
          <w:kern w:val="0"/>
          <w:sz w:val="32"/>
          <w:szCs w:val="32"/>
          <w:lang w:eastAsia="zh-CN"/>
        </w:rPr>
        <w:t>了</w:t>
      </w:r>
      <w:r>
        <w:rPr>
          <w:rFonts w:hint="default" w:ascii="Times New Roman" w:hAnsi="Times New Roman" w:eastAsia="仿宋" w:cs="Times New Roman"/>
          <w:color w:val="000000"/>
          <w:kern w:val="0"/>
          <w:sz w:val="32"/>
          <w:szCs w:val="32"/>
        </w:rPr>
        <w:t>积极进展。</w:t>
      </w:r>
    </w:p>
    <w:p w14:paraId="47EEA1A1">
      <w:pPr>
        <w:keepNext w:val="0"/>
        <w:keepLines w:val="0"/>
        <w:pageBreakBefore w:val="0"/>
        <w:widowControl/>
        <w:kinsoku/>
        <w:wordWrap/>
        <w:overflowPunct/>
        <w:autoSpaceDE w:val="0"/>
        <w:autoSpaceDN w:val="0"/>
        <w:bidi w:val="0"/>
        <w:adjustRightInd w:val="0"/>
        <w:spacing w:line="560" w:lineRule="exact"/>
        <w:ind w:firstLine="632" w:firstLineChars="200"/>
        <w:textAlignment w:val="auto"/>
        <w:rPr>
          <w:rFonts w:hint="default" w:ascii="Times New Roman" w:hAnsi="Times New Roman" w:eastAsia="仿宋" w:cs="Times New Roman"/>
          <w:kern w:val="21"/>
          <w:sz w:val="32"/>
          <w:szCs w:val="32"/>
          <w:highlight w:val="none"/>
        </w:rPr>
      </w:pPr>
      <w:r>
        <w:rPr>
          <w:rFonts w:hint="default" w:ascii="Times New Roman" w:hAnsi="Times New Roman" w:eastAsia="楷体" w:cs="Times New Roman"/>
          <w:b w:val="0"/>
          <w:bCs/>
          <w:kern w:val="2"/>
          <w:sz w:val="32"/>
          <w:szCs w:val="32"/>
          <w:highlight w:val="none"/>
          <w:lang w:val="en-US" w:eastAsia="zh-CN" w:bidi="ar-SA"/>
        </w:rPr>
        <w:t>城市建设方面，</w:t>
      </w:r>
      <w:r>
        <w:rPr>
          <w:rFonts w:hint="default" w:ascii="Times New Roman" w:hAnsi="Times New Roman" w:eastAsia="仿宋" w:cs="Times New Roman"/>
          <w:color w:val="000000"/>
          <w:kern w:val="0"/>
          <w:sz w:val="32"/>
          <w:szCs w:val="32"/>
        </w:rPr>
        <w:t>连云新城商务中心区</w:t>
      </w:r>
      <w:r>
        <w:rPr>
          <w:rFonts w:hint="default" w:ascii="Times New Roman" w:hAnsi="Times New Roman" w:eastAsia="仿宋" w:cs="Times New Roman"/>
          <w:color w:val="000000"/>
          <w:kern w:val="0"/>
          <w:sz w:val="32"/>
          <w:szCs w:val="32"/>
          <w:lang w:eastAsia="zh-CN"/>
        </w:rPr>
        <w:t>基础设施、景观绿化全面建成，</w:t>
      </w:r>
      <w:r>
        <w:rPr>
          <w:rFonts w:hint="default" w:ascii="Times New Roman" w:hAnsi="Times New Roman" w:eastAsia="仿宋" w:cs="Times New Roman"/>
          <w:color w:val="000000"/>
          <w:kern w:val="0"/>
          <w:sz w:val="32"/>
          <w:szCs w:val="32"/>
        </w:rPr>
        <w:t>主干道路成网成片，功能配套逐步完善，</w:t>
      </w:r>
      <w:r>
        <w:rPr>
          <w:rFonts w:hint="default" w:ascii="Times New Roman" w:hAnsi="Times New Roman" w:eastAsia="仿宋" w:cs="Times New Roman"/>
          <w:color w:val="000000"/>
          <w:kern w:val="0"/>
          <w:sz w:val="32"/>
          <w:szCs w:val="32"/>
          <w:lang w:eastAsia="zh-CN"/>
        </w:rPr>
        <w:t>商务服务、休闲旅游等业态集聚发展，</w:t>
      </w:r>
      <w:r>
        <w:rPr>
          <w:rFonts w:hint="default" w:ascii="Times New Roman" w:hAnsi="Times New Roman" w:eastAsia="仿宋" w:cs="Times New Roman"/>
          <w:color w:val="000000"/>
          <w:kern w:val="0"/>
          <w:sz w:val="32"/>
          <w:szCs w:val="32"/>
        </w:rPr>
        <w:t>城市形象日益提升。总长44公里的23条道路、27座桥闸按照“三化”标准全面建成，海滨大道贯穿全境；建筑面积12万平方米的海州湾会议中心、12万平方米的西墅湾美食文化水岸建成使用，7.2万平方米的商务公共服务中心、占地8万平方米的商务公园和新城小学、中学、社区服务中心建成投入使用，44万平</w:t>
      </w:r>
      <w:r>
        <w:rPr>
          <w:rFonts w:hint="default" w:ascii="Times New Roman" w:hAnsi="Times New Roman" w:eastAsia="仿宋" w:cs="Times New Roman"/>
          <w:color w:val="000000"/>
          <w:kern w:val="0"/>
          <w:sz w:val="32"/>
          <w:szCs w:val="32"/>
          <w:highlight w:val="none"/>
        </w:rPr>
        <w:t>方米的商务租赁式办公和医院等配套设施</w:t>
      </w:r>
      <w:r>
        <w:rPr>
          <w:rFonts w:hint="default" w:ascii="Times New Roman" w:hAnsi="Times New Roman" w:eastAsia="仿宋" w:cs="Times New Roman"/>
          <w:color w:val="000000"/>
          <w:kern w:val="0"/>
          <w:sz w:val="32"/>
          <w:szCs w:val="32"/>
          <w:highlight w:val="none"/>
          <w:lang w:val="en-US" w:eastAsia="zh-CN"/>
        </w:rPr>
        <w:t>建设完成</w:t>
      </w:r>
      <w:r>
        <w:rPr>
          <w:rFonts w:hint="default" w:ascii="Times New Roman" w:hAnsi="Times New Roman" w:eastAsia="仿宋" w:cs="Times New Roman"/>
          <w:color w:val="000000"/>
          <w:kern w:val="0"/>
          <w:sz w:val="32"/>
          <w:szCs w:val="32"/>
          <w:highlight w:val="none"/>
        </w:rPr>
        <w:t>。</w:t>
      </w:r>
      <w:r>
        <w:rPr>
          <w:rFonts w:hint="default" w:ascii="Times New Roman" w:hAnsi="Times New Roman" w:eastAsia="仿宋" w:cs="Times New Roman"/>
          <w:kern w:val="21"/>
          <w:sz w:val="32"/>
          <w:szCs w:val="32"/>
          <w:highlight w:val="none"/>
          <w:lang w:val="en-US" w:eastAsia="zh-CN"/>
        </w:rPr>
        <w:t>特别是</w:t>
      </w:r>
      <w:r>
        <w:rPr>
          <w:rFonts w:hint="default" w:ascii="Times New Roman" w:hAnsi="Times New Roman" w:eastAsia="仿宋" w:cs="Times New Roman"/>
          <w:kern w:val="21"/>
          <w:sz w:val="32"/>
          <w:szCs w:val="32"/>
          <w:highlight w:val="none"/>
        </w:rPr>
        <w:t>2019年</w:t>
      </w:r>
      <w:r>
        <w:rPr>
          <w:rFonts w:hint="default" w:ascii="Times New Roman" w:hAnsi="Times New Roman" w:eastAsia="仿宋" w:cs="Times New Roman"/>
          <w:kern w:val="21"/>
          <w:sz w:val="32"/>
          <w:szCs w:val="32"/>
          <w:highlight w:val="none"/>
          <w:lang w:val="en-US" w:eastAsia="zh-CN"/>
        </w:rPr>
        <w:t>初</w:t>
      </w:r>
      <w:r>
        <w:rPr>
          <w:rFonts w:hint="default" w:ascii="Times New Roman" w:hAnsi="Times New Roman" w:eastAsia="仿宋" w:cs="Times New Roman"/>
          <w:kern w:val="21"/>
          <w:sz w:val="32"/>
          <w:szCs w:val="32"/>
          <w:highlight w:val="none"/>
        </w:rPr>
        <w:t>连云港市委、市政府召开连云新城深入开发建设动员部署会，印发《关于深入推进连云新城开发建设的实施方案》，掀起了连云新城新一轮大开发、大建设热潮。连云新城深入贯彻新发展理念，围绕打造城市新中心、江苏外滩发展定位，高标准高质量组织推进新城总体空间概念规划和重点地区城市设计。始终牢固树立“项目为王”理念，全力服务推进项目建设。蓝色海湾一期围堤工程加快推进</w:t>
      </w:r>
      <w:r>
        <w:rPr>
          <w:rFonts w:hint="default" w:ascii="Times New Roman" w:hAnsi="Times New Roman" w:eastAsia="仿宋" w:cs="Times New Roman"/>
          <w:kern w:val="21"/>
          <w:sz w:val="32"/>
          <w:szCs w:val="32"/>
          <w:highlight w:val="none"/>
          <w:lang w:eastAsia="zh-CN"/>
        </w:rPr>
        <w:t>；</w:t>
      </w:r>
      <w:r>
        <w:rPr>
          <w:rFonts w:hint="default" w:ascii="Times New Roman" w:hAnsi="Times New Roman" w:eastAsia="仿宋" w:cs="Times New Roman"/>
          <w:kern w:val="21"/>
          <w:sz w:val="32"/>
          <w:szCs w:val="32"/>
          <w:highlight w:val="none"/>
        </w:rPr>
        <w:t>市域列车开通运营，实现东部城区乘坐高铁“零换乘”</w:t>
      </w:r>
      <w:r>
        <w:rPr>
          <w:rFonts w:hint="default" w:ascii="Times New Roman" w:hAnsi="Times New Roman" w:eastAsia="仿宋" w:cs="Times New Roman"/>
          <w:kern w:val="21"/>
          <w:sz w:val="32"/>
          <w:szCs w:val="32"/>
          <w:highlight w:val="none"/>
          <w:lang w:eastAsia="zh-CN"/>
        </w:rPr>
        <w:t>；</w:t>
      </w:r>
      <w:r>
        <w:rPr>
          <w:rFonts w:hint="default" w:ascii="Times New Roman" w:hAnsi="Times New Roman" w:eastAsia="仿宋" w:cs="Times New Roman"/>
          <w:kern w:val="21"/>
          <w:sz w:val="32"/>
          <w:szCs w:val="32"/>
          <w:highlight w:val="none"/>
        </w:rPr>
        <w:t>“一带一路”大数据产业园核心区加快建设，移动大数据中心、电信天翼云中心等加快推进</w:t>
      </w:r>
      <w:r>
        <w:rPr>
          <w:rFonts w:hint="default" w:ascii="Times New Roman" w:hAnsi="Times New Roman" w:eastAsia="仿宋" w:cs="Times New Roman"/>
          <w:kern w:val="21"/>
          <w:sz w:val="32"/>
          <w:szCs w:val="32"/>
          <w:highlight w:val="none"/>
          <w:lang w:eastAsia="zh-CN"/>
        </w:rPr>
        <w:t>；</w:t>
      </w:r>
      <w:r>
        <w:rPr>
          <w:rFonts w:hint="default" w:ascii="Times New Roman" w:hAnsi="Times New Roman" w:eastAsia="仿宋" w:cs="Times New Roman"/>
          <w:kern w:val="21"/>
          <w:sz w:val="32"/>
          <w:szCs w:val="32"/>
          <w:highlight w:val="none"/>
        </w:rPr>
        <w:t>总投资8亿元的苏州外国语学校项目开工建设。</w:t>
      </w:r>
    </w:p>
    <w:p w14:paraId="7D13FA71">
      <w:pPr>
        <w:keepNext w:val="0"/>
        <w:keepLines w:val="0"/>
        <w:pageBreakBefore w:val="0"/>
        <w:widowControl/>
        <w:kinsoku/>
        <w:wordWrap/>
        <w:overflowPunct/>
        <w:topLinePunct w:val="0"/>
        <w:autoSpaceDE w:val="0"/>
        <w:autoSpaceDN w:val="0"/>
        <w:bidi w:val="0"/>
        <w:adjustRightInd w:val="0"/>
        <w:snapToGrid/>
        <w:spacing w:line="560" w:lineRule="exact"/>
        <w:ind w:firstLine="624"/>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产业发展方面，</w:t>
      </w:r>
      <w:r>
        <w:rPr>
          <w:rFonts w:hint="default" w:ascii="Times New Roman" w:hAnsi="Times New Roman" w:eastAsia="仿宋" w:cs="Times New Roman"/>
          <w:kern w:val="21"/>
          <w:sz w:val="32"/>
          <w:szCs w:val="32"/>
          <w:highlight w:val="none"/>
          <w:lang w:val="en-US" w:eastAsia="zh-CN"/>
        </w:rPr>
        <w:t>跨境电商发展迅速，</w:t>
      </w:r>
      <w:r>
        <w:rPr>
          <w:rFonts w:hint="default" w:ascii="Times New Roman" w:hAnsi="Times New Roman" w:eastAsia="仿宋" w:cs="Times New Roman"/>
          <w:b w:val="0"/>
          <w:bCs w:val="0"/>
          <w:color w:val="000000"/>
          <w:kern w:val="0"/>
          <w:sz w:val="32"/>
          <w:szCs w:val="32"/>
          <w:highlight w:val="none"/>
        </w:rPr>
        <w:t>连云港保税商品展示交易中心成功开业，成为全省第一家保税展示交易中心，也是全国第一个不在省会城市和直辖市开业的保税展示交易中心。2016年直购进口分拨中心正式上线运营，成功开展全省首例海运跨境网购进口直邮业务；2017年全市首家跨境电</w:t>
      </w:r>
      <w:r>
        <w:rPr>
          <w:rFonts w:hint="default" w:ascii="Times New Roman" w:hAnsi="Times New Roman" w:eastAsia="仿宋" w:cs="Times New Roman"/>
          <w:b w:val="0"/>
          <w:bCs w:val="0"/>
          <w:color w:val="000000"/>
          <w:kern w:val="0"/>
          <w:sz w:val="32"/>
          <w:szCs w:val="32"/>
        </w:rPr>
        <w:t>子商务公共服务平台-“点点通”跨境电商公共服务平台成功上线运营，并接入海关总署进出口通关系统，成为全省第二家获准接入的公共服务平台</w:t>
      </w:r>
      <w:r>
        <w:rPr>
          <w:rFonts w:hint="default" w:ascii="Times New Roman" w:hAnsi="Times New Roman" w:eastAsia="仿宋" w:cs="Times New Roman"/>
          <w:b w:val="0"/>
          <w:bCs w:val="0"/>
          <w:color w:val="000000"/>
          <w:kern w:val="0"/>
          <w:sz w:val="32"/>
          <w:szCs w:val="32"/>
          <w:lang w:eastAsia="zh-CN"/>
        </w:rPr>
        <w:t>，</w:t>
      </w:r>
      <w:r>
        <w:rPr>
          <w:rFonts w:hint="default" w:ascii="Times New Roman" w:hAnsi="Times New Roman" w:eastAsia="仿宋" w:cs="Times New Roman"/>
          <w:b w:val="0"/>
          <w:bCs w:val="0"/>
          <w:color w:val="000000"/>
          <w:kern w:val="0"/>
          <w:sz w:val="32"/>
          <w:szCs w:val="32"/>
          <w:lang w:val="en-US" w:eastAsia="zh-CN"/>
        </w:rPr>
        <w:t>顺利开通网购保税进口、跨境直购、出口海外仓等业务，全省首单海运跨境B2C出口业务顺利通关，全省首家跨境电商体验中心开业。</w:t>
      </w:r>
      <w:r>
        <w:rPr>
          <w:rFonts w:hint="default" w:ascii="Times New Roman" w:hAnsi="Times New Roman" w:eastAsia="仿宋" w:cs="Times New Roman"/>
          <w:kern w:val="21"/>
          <w:sz w:val="32"/>
          <w:szCs w:val="32"/>
          <w:highlight w:val="none"/>
          <w:lang w:val="en-US" w:eastAsia="zh-CN"/>
        </w:rPr>
        <w:t>国际商务中心加快推进，</w:t>
      </w:r>
      <w:r>
        <w:rPr>
          <w:rFonts w:hint="default" w:ascii="Times New Roman" w:hAnsi="Times New Roman" w:eastAsia="仿宋" w:cs="Times New Roman"/>
          <w:b w:val="0"/>
          <w:bCs w:val="0"/>
          <w:color w:val="000000"/>
          <w:kern w:val="0"/>
          <w:sz w:val="32"/>
          <w:szCs w:val="32"/>
          <w:highlight w:val="none"/>
          <w:lang w:val="en-US" w:eastAsia="zh-CN"/>
        </w:rPr>
        <w:t>2018</w:t>
      </w:r>
      <w:r>
        <w:rPr>
          <w:rFonts w:hint="default" w:ascii="Times New Roman" w:hAnsi="Times New Roman" w:eastAsia="仿宋" w:cs="Times New Roman"/>
          <w:b w:val="0"/>
          <w:bCs w:val="0"/>
          <w:color w:val="000000"/>
          <w:kern w:val="0"/>
          <w:sz w:val="32"/>
          <w:szCs w:val="32"/>
          <w:highlight w:val="none"/>
        </w:rPr>
        <w:t>年以“一带一路”（连云港）国际商务中心为主体，成功获批</w:t>
      </w:r>
      <w:r>
        <w:rPr>
          <w:rFonts w:hint="default" w:ascii="Times New Roman" w:hAnsi="Times New Roman" w:eastAsia="仿宋" w:cs="Times New Roman"/>
          <w:b w:val="0"/>
          <w:bCs w:val="0"/>
          <w:color w:val="000000"/>
          <w:kern w:val="0"/>
          <w:sz w:val="32"/>
          <w:szCs w:val="32"/>
          <w:highlight w:val="none"/>
          <w:lang w:val="en-US" w:eastAsia="zh-CN"/>
        </w:rPr>
        <w:t>第三批</w:t>
      </w:r>
      <w:r>
        <w:rPr>
          <w:rFonts w:hint="default" w:ascii="Times New Roman" w:hAnsi="Times New Roman" w:eastAsia="仿宋" w:cs="Times New Roman"/>
          <w:b w:val="0"/>
          <w:bCs w:val="0"/>
          <w:color w:val="000000"/>
          <w:kern w:val="0"/>
          <w:sz w:val="32"/>
          <w:szCs w:val="32"/>
          <w:highlight w:val="none"/>
        </w:rPr>
        <w:t>省级生产性服务业集聚示范区</w:t>
      </w:r>
      <w:r>
        <w:rPr>
          <w:rFonts w:hint="default" w:ascii="Times New Roman" w:hAnsi="Times New Roman" w:eastAsia="仿宋" w:cs="Times New Roman"/>
          <w:b w:val="0"/>
          <w:bCs w:val="0"/>
          <w:color w:val="000000"/>
          <w:kern w:val="0"/>
          <w:sz w:val="32"/>
          <w:szCs w:val="32"/>
          <w:highlight w:val="none"/>
          <w:lang w:eastAsia="zh-CN"/>
        </w:rPr>
        <w:t>。</w:t>
      </w:r>
      <w:r>
        <w:rPr>
          <w:rFonts w:hint="default" w:ascii="Times New Roman" w:hAnsi="Times New Roman" w:eastAsia="仿宋" w:cs="Times New Roman"/>
          <w:b w:val="0"/>
          <w:bCs w:val="0"/>
          <w:kern w:val="21"/>
          <w:sz w:val="32"/>
          <w:szCs w:val="32"/>
          <w:highlight w:val="none"/>
          <w:lang w:val="en-US" w:eastAsia="zh-CN"/>
        </w:rPr>
        <w:t>2019年以来，</w:t>
      </w:r>
      <w:r>
        <w:rPr>
          <w:rFonts w:hint="default" w:ascii="Times New Roman" w:hAnsi="Times New Roman" w:eastAsia="仿宋" w:cs="Times New Roman"/>
          <w:b w:val="0"/>
          <w:bCs w:val="0"/>
          <w:kern w:val="21"/>
          <w:sz w:val="32"/>
          <w:szCs w:val="32"/>
          <w:highlight w:val="none"/>
        </w:rPr>
        <w:t>连云新城始终坚持把招商引资工作作为新城深入开发建设的核心动力和重要引擎。《连云新城招商引资激励办法》</w:t>
      </w:r>
      <w:r>
        <w:rPr>
          <w:rFonts w:hint="default" w:ascii="Times New Roman" w:hAnsi="Times New Roman" w:eastAsia="仿宋" w:cs="Times New Roman"/>
          <w:b w:val="0"/>
          <w:bCs w:val="0"/>
          <w:kern w:val="21"/>
          <w:sz w:val="32"/>
          <w:szCs w:val="32"/>
          <w:highlight w:val="none"/>
          <w:lang w:eastAsia="zh-CN"/>
        </w:rPr>
        <w:t>、</w:t>
      </w:r>
      <w:r>
        <w:rPr>
          <w:rFonts w:hint="default" w:ascii="Times New Roman" w:hAnsi="Times New Roman" w:eastAsia="仿宋" w:cs="Times New Roman"/>
          <w:b w:val="0"/>
          <w:bCs w:val="0"/>
          <w:kern w:val="21"/>
          <w:sz w:val="32"/>
          <w:szCs w:val="32"/>
          <w:highlight w:val="none"/>
        </w:rPr>
        <w:t>《关于支持和促进连云新城产业发展暂行办法》</w:t>
      </w:r>
      <w:r>
        <w:rPr>
          <w:rFonts w:hint="default" w:ascii="Times New Roman" w:hAnsi="Times New Roman" w:eastAsia="仿宋" w:cs="Times New Roman"/>
          <w:b w:val="0"/>
          <w:bCs w:val="0"/>
          <w:kern w:val="21"/>
          <w:sz w:val="32"/>
          <w:szCs w:val="32"/>
          <w:highlight w:val="none"/>
          <w:lang w:eastAsia="zh-CN"/>
        </w:rPr>
        <w:t>等</w:t>
      </w:r>
      <w:r>
        <w:rPr>
          <w:rFonts w:hint="default" w:ascii="Times New Roman" w:hAnsi="Times New Roman" w:eastAsia="仿宋" w:cs="Times New Roman"/>
          <w:b w:val="0"/>
          <w:bCs w:val="0"/>
          <w:kern w:val="21"/>
          <w:sz w:val="32"/>
          <w:szCs w:val="32"/>
          <w:highlight w:val="none"/>
        </w:rPr>
        <w:t>相继出台，招商基础不断夯实。连云区政府、城建控股集团分别组建专业招商队伍，实行联合招商，新增注册企业</w:t>
      </w:r>
      <w:r>
        <w:rPr>
          <w:rFonts w:hint="default" w:ascii="Times New Roman" w:hAnsi="Times New Roman" w:eastAsia="仿宋" w:cs="Times New Roman"/>
          <w:b w:val="0"/>
          <w:bCs w:val="0"/>
          <w:kern w:val="21"/>
          <w:sz w:val="32"/>
          <w:szCs w:val="32"/>
          <w:highlight w:val="none"/>
          <w:lang w:val="en-US" w:eastAsia="zh-CN"/>
        </w:rPr>
        <w:t>500余</w:t>
      </w:r>
      <w:r>
        <w:rPr>
          <w:rFonts w:hint="default" w:ascii="Times New Roman" w:hAnsi="Times New Roman" w:eastAsia="仿宋" w:cs="Times New Roman"/>
          <w:b w:val="0"/>
          <w:bCs w:val="0"/>
          <w:kern w:val="21"/>
          <w:sz w:val="32"/>
          <w:szCs w:val="32"/>
          <w:highlight w:val="none"/>
        </w:rPr>
        <w:t>家。</w:t>
      </w:r>
      <w:r>
        <w:rPr>
          <w:rFonts w:hint="default" w:ascii="Times New Roman" w:hAnsi="Times New Roman" w:eastAsia="仿宋" w:cs="Times New Roman"/>
          <w:kern w:val="21"/>
          <w:sz w:val="32"/>
          <w:szCs w:val="32"/>
          <w:highlight w:val="none"/>
          <w:lang w:val="en-US" w:eastAsia="zh-CN"/>
        </w:rPr>
        <w:t>大数据产业培育壮大，</w:t>
      </w:r>
      <w:r>
        <w:rPr>
          <w:rFonts w:hint="default" w:ascii="Times New Roman" w:hAnsi="Times New Roman" w:eastAsia="仿宋" w:cs="Times New Roman"/>
          <w:b w:val="0"/>
          <w:bCs w:val="0"/>
          <w:kern w:val="21"/>
          <w:sz w:val="32"/>
          <w:szCs w:val="32"/>
          <w:highlight w:val="none"/>
          <w:lang w:val="en-US" w:eastAsia="zh-CN"/>
        </w:rPr>
        <w:t>加快推进移动大数据中心、电信天翼云中心等项目。</w:t>
      </w:r>
      <w:r>
        <w:rPr>
          <w:rFonts w:hint="default" w:ascii="Times New Roman" w:hAnsi="Times New Roman" w:eastAsia="仿宋" w:cs="Times New Roman"/>
          <w:kern w:val="21"/>
          <w:sz w:val="32"/>
          <w:szCs w:val="32"/>
          <w:highlight w:val="none"/>
          <w:lang w:val="en-US" w:eastAsia="zh-CN"/>
        </w:rPr>
        <w:t>教育质量明显提高，连云港</w:t>
      </w:r>
      <w:r>
        <w:rPr>
          <w:rFonts w:hint="default" w:ascii="Times New Roman" w:hAnsi="Times New Roman" w:eastAsia="仿宋" w:cs="Times New Roman"/>
          <w:b w:val="0"/>
          <w:bCs w:val="0"/>
          <w:color w:val="000000"/>
          <w:kern w:val="0"/>
          <w:sz w:val="32"/>
          <w:szCs w:val="32"/>
          <w:highlight w:val="none"/>
          <w:lang w:val="en-US" w:eastAsia="zh-CN"/>
        </w:rPr>
        <w:t>英华</w:t>
      </w:r>
      <w:r>
        <w:rPr>
          <w:rFonts w:hint="default" w:ascii="Times New Roman" w:hAnsi="Times New Roman" w:eastAsia="仿宋" w:cs="Times New Roman"/>
          <w:b w:val="0"/>
          <w:bCs w:val="0"/>
          <w:color w:val="000000"/>
          <w:kern w:val="0"/>
          <w:sz w:val="32"/>
          <w:szCs w:val="32"/>
          <w:highlight w:val="none"/>
        </w:rPr>
        <w:t>双语学校、苏州外国语学校实现招生运营。</w:t>
      </w:r>
      <w:r>
        <w:rPr>
          <w:rFonts w:hint="default" w:ascii="Times New Roman" w:hAnsi="Times New Roman" w:eastAsia="仿宋" w:cs="Times New Roman"/>
          <w:kern w:val="21"/>
          <w:sz w:val="32"/>
          <w:szCs w:val="32"/>
          <w:highlight w:val="none"/>
          <w:lang w:val="en-US" w:eastAsia="zh-CN"/>
        </w:rPr>
        <w:t>碱渣综合治理强力推进，</w:t>
      </w:r>
      <w:r>
        <w:rPr>
          <w:rFonts w:hint="default" w:ascii="Times New Roman" w:hAnsi="Times New Roman" w:eastAsia="仿宋" w:cs="Times New Roman"/>
          <w:kern w:val="21"/>
          <w:sz w:val="32"/>
          <w:szCs w:val="32"/>
          <w:highlight w:val="none"/>
        </w:rPr>
        <w:t>连云区成功签约总投资500亿元中核环保项目，推动碱渣综合治理开发、碱厂异地搬迁迈出关键性步伐。</w:t>
      </w:r>
    </w:p>
    <w:p w14:paraId="6782F79F">
      <w:pPr>
        <w:pStyle w:val="5"/>
        <w:keepNext w:val="0"/>
        <w:keepLines w:val="0"/>
        <w:pageBreakBefore w:val="0"/>
        <w:widowControl/>
        <w:numPr>
          <w:ilvl w:val="0"/>
          <w:numId w:val="0"/>
        </w:numPr>
        <w:kinsoku/>
        <w:wordWrap/>
        <w:overflowPunct/>
        <w:topLinePunct w:val="0"/>
        <w:autoSpaceDE w:val="0"/>
        <w:autoSpaceDN w:val="0"/>
        <w:bidi w:val="0"/>
        <w:adjustRightInd w:val="0"/>
        <w:snapToGrid/>
        <w:spacing w:line="560" w:lineRule="exact"/>
        <w:ind w:firstLine="632" w:firstLineChars="200"/>
        <w:jc w:val="both"/>
        <w:textAlignment w:val="auto"/>
        <w:rPr>
          <w:rFonts w:hint="default" w:ascii="Times New Roman" w:hAnsi="Times New Roman" w:eastAsia="仿宋" w:cs="Times New Roman"/>
          <w:b w:val="0"/>
          <w:bCs w:val="0"/>
          <w:color w:val="000000"/>
          <w:kern w:val="0"/>
          <w:sz w:val="32"/>
          <w:szCs w:val="32"/>
          <w:lang w:val="en-US" w:eastAsia="zh-CN"/>
        </w:rPr>
      </w:pP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十三五</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期间，</w:t>
      </w:r>
      <w:r>
        <w:rPr>
          <w:rFonts w:hint="default" w:ascii="Times New Roman" w:hAnsi="Times New Roman" w:eastAsia="仿宋" w:cs="Times New Roman"/>
          <w:sz w:val="32"/>
          <w:szCs w:val="32"/>
          <w:highlight w:val="none"/>
          <w:lang w:eastAsia="zh-CN"/>
        </w:rPr>
        <w:t>特别是</w:t>
      </w:r>
      <w:r>
        <w:rPr>
          <w:rFonts w:hint="default" w:ascii="Times New Roman" w:hAnsi="Times New Roman" w:eastAsia="仿宋" w:cs="Times New Roman"/>
          <w:kern w:val="21"/>
          <w:sz w:val="32"/>
          <w:szCs w:val="32"/>
          <w:highlight w:val="none"/>
          <w:lang w:val="en-US" w:eastAsia="zh-CN" w:bidi="ar-SA"/>
        </w:rPr>
        <w:t>2019年3月市委市政府召开连云新城开发建设动员部署会以来，连云新城发展步入新阶段，一系列有力措施、利好政策接连出台，一批影响长远的重大项目有序推进。从总体来看，连云新城建设进展顺利，但受疫情等客</w:t>
      </w:r>
      <w:r>
        <w:rPr>
          <w:rFonts w:hint="default" w:ascii="Times New Roman" w:hAnsi="Times New Roman" w:eastAsia="仿宋" w:cs="Times New Roman"/>
          <w:kern w:val="21"/>
          <w:sz w:val="32"/>
          <w:szCs w:val="32"/>
          <w:lang w:val="en-US" w:eastAsia="zh-CN" w:bidi="ar-SA"/>
        </w:rPr>
        <w:t>观情况影响，一些困难和问题仍需重视并加以解决</w:t>
      </w:r>
      <w:r>
        <w:rPr>
          <w:rFonts w:hint="default" w:ascii="Times New Roman" w:hAnsi="Times New Roman" w:eastAsia="仿宋" w:cs="Times New Roman"/>
          <w:b w:val="0"/>
          <w:bCs w:val="0"/>
          <w:kern w:val="21"/>
          <w:sz w:val="32"/>
          <w:szCs w:val="32"/>
          <w:lang w:val="en-US" w:eastAsia="zh-CN" w:bidi="ar-SA"/>
        </w:rPr>
        <w:t>，</w:t>
      </w:r>
      <w:r>
        <w:rPr>
          <w:rFonts w:hint="default" w:ascii="Times New Roman" w:hAnsi="Times New Roman" w:eastAsia="仿宋" w:cs="Times New Roman"/>
          <w:b w:val="0"/>
          <w:bCs w:val="0"/>
          <w:color w:val="000000"/>
          <w:kern w:val="0"/>
          <w:sz w:val="32"/>
          <w:szCs w:val="32"/>
          <w:lang w:val="en-US" w:eastAsia="zh-CN"/>
        </w:rPr>
        <w:t>一是项目整体进展缓慢，大部分项目仍处于前期协调推进、手续办理阶段。二是城市配套不到位。公共配套方面，教育、医疗、商业、文体等公共配套设施不足，难以满足群众生活需求。基础设施方面，新城一期部分道路年久失修，有待进一步改造提升；新城二期道路尚未建成，影响项目推进。三是对外交通不便捷。从目前现状及全市相关规划看，连云新城位于全市交通体系的末梢，与市区各板块的联通不顺畅、不便利，未形成有效的公交微循环体系。</w:t>
      </w:r>
    </w:p>
    <w:p w14:paraId="62C102D8">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5" w:name="_Toc11084"/>
      <w:r>
        <w:rPr>
          <w:rFonts w:hint="default" w:ascii="楷体" w:hAnsi="楷体" w:eastAsia="楷体" w:cs="楷体"/>
          <w:b w:val="0"/>
          <w:bCs w:val="0"/>
          <w:kern w:val="2"/>
          <w:sz w:val="32"/>
          <w:szCs w:val="32"/>
          <w:highlight w:val="none"/>
          <w:lang w:val="en-US" w:eastAsia="zh-CN" w:bidi="ar-SA"/>
        </w:rPr>
        <w:t>第二节  面临形势</w:t>
      </w:r>
      <w:bookmarkEnd w:id="5"/>
    </w:p>
    <w:p w14:paraId="2B6ADE09">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24"/>
        <w:jc w:val="both"/>
        <w:textAlignment w:val="auto"/>
        <w:rPr>
          <w:rFonts w:hint="default" w:ascii="Times New Roman" w:hAnsi="Times New Roman" w:eastAsia="仿宋" w:cs="Times New Roman"/>
          <w:sz w:val="32"/>
          <w:szCs w:val="32"/>
          <w:highlight w:val="yellow"/>
        </w:rPr>
      </w:pPr>
      <w:r>
        <w:rPr>
          <w:rFonts w:hint="default" w:ascii="Times New Roman" w:hAnsi="Times New Roman" w:eastAsia="仿宋" w:cs="Times New Roman"/>
          <w:color w:val="000000"/>
          <w:kern w:val="0"/>
          <w:sz w:val="32"/>
          <w:szCs w:val="32"/>
          <w:highlight w:val="none"/>
          <w:lang w:val="en-US" w:eastAsia="zh-CN" w:bidi="ar"/>
        </w:rPr>
        <w:t>随着国内外环境变化及区域竞争压力增强，发展中面临的挑战和不确定因素不断增强。</w:t>
      </w:r>
      <w:r>
        <w:rPr>
          <w:rFonts w:hint="default" w:ascii="Times New Roman" w:hAnsi="Times New Roman" w:eastAsia="仿宋" w:cs="Times New Roman"/>
          <w:strike w:val="0"/>
          <w:dstrike w:val="0"/>
          <w:color w:val="000000"/>
          <w:kern w:val="0"/>
          <w:sz w:val="32"/>
          <w:szCs w:val="32"/>
          <w:highlight w:val="none"/>
          <w:lang w:val="en-US" w:eastAsia="zh-CN" w:bidi="ar"/>
        </w:rPr>
        <w:t xml:space="preserve">必须把“争当表率、争做示范、走在前列”作为谋划“十四五”发展的总纲领、总命题、总要求，坚持以高质量发展为主题、以“跑出加速度、勇当急先锋”为目标追求，加快建设连云港城市新中心，在全面开启社会主义现代化建设新征程中把握主动权、赢得新发展。 </w:t>
      </w:r>
    </w:p>
    <w:p w14:paraId="6D9380C8">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32"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 xml:space="preserve">从国际看，世界正经历百年未有之大变局，和平与发展仍是时代主题，新一轮科技产业革命方兴未艾，世界经济产业结构和竞争格局面临重构。国际力量对比加速演变，大国战略博弈持续加剧，保护主义、民粹主义和单边主义上升，随着新冠肺炎疫情影响继续深化，全球投资贸易规则面临深刻变化，全球产业链碎片化、区域化和本地化风险上升，全球经济运行风险和挑战明显增多，增长动能疲弱。 </w:t>
      </w:r>
    </w:p>
    <w:p w14:paraId="79BBCDB8">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 xml:space="preserve">从国内看，当前我国经济社会制度性优势日益凸显，发展韧劲十足、回旋空间极大、前景十分广阔，随着全面深化改革开放红利持续释放，经济社会发展内生动力稳步增强，质量效益稳步提高，基本面长期向好的趋势没有变也不会变，以国内大循环为主体、国内国际双循环相互促进的新发展格局是今后一个时期做好国内经济社会发展工作的重要遵循。但同时，我国经济社会发展不平衡、不充分矛盾仍较突出，结构性问题和周期性问题相互叠加，内部矛盾和外部矛盾相互交织，发展环境日趋复杂严峻，面临的风险和挑战明显增多。 </w:t>
      </w:r>
    </w:p>
    <w:p w14:paraId="45243048">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24"/>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从我市看，“十四五”时期国家战略多重叠加优势日益凸显，各类载体平台承载能力持续增强，重大产业投资项目陆续投产，新旧动能加快转换，全市经济社会迈入快速发展轨道。但同时，全市经济社会发展还存在一些突出问题，仍面临诸多挑战，特别是经济发展还不充分，产业转型升级压力持续加大，港口资源优势未获充分发挥，科技创新能力亟待提升，资源环境约束压力不断增强，突出民生问题急需解决，城乡之间、区域之间基本公共服务不够均衡。</w:t>
      </w:r>
    </w:p>
    <w:p w14:paraId="0902CB97">
      <w:pPr>
        <w:keepNext w:val="0"/>
        <w:keepLines w:val="0"/>
        <w:pageBreakBefore w:val="0"/>
        <w:widowControl/>
        <w:numPr>
          <w:ilvl w:val="0"/>
          <w:numId w:val="0"/>
        </w:numPr>
        <w:kinsoku/>
        <w:wordWrap/>
        <w:overflowPunct/>
        <w:bidi w:val="0"/>
        <w:spacing w:line="560" w:lineRule="exact"/>
        <w:ind w:firstLine="632"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highlight w:val="none"/>
          <w:lang w:val="en-US" w:eastAsia="zh-CN"/>
        </w:rPr>
        <w:t>从我区看，“十三五”的发展成就令人鼓舞、催人奋进：幸福连云建设快速推进，城乡社会保障体系全面建立，就业创业更加充分，学有优教更加可及，医养康居更加普惠，社会治理更加有效，人民生活更加幸福。但是面对新阶段、新形势、新作为的要求，全区发展中还存在着诸多问题和挑战：经济总量偏小、产业支撑不足的短板弱项仍然突出，聚焦项目、狠抓投入的拼劲韧劲还需加强，招商引资的氛围还不浓厚；教育、医疗等公共服务供给还不充足，对外交通体系还不完善。对这些问题，亟待高度重视，采取有效措施，切实加以解决。</w:t>
      </w:r>
    </w:p>
    <w:p w14:paraId="01B0F37E">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6" w:name="_Toc4501"/>
      <w:r>
        <w:rPr>
          <w:rFonts w:hint="default" w:ascii="楷体" w:hAnsi="楷体" w:eastAsia="楷体" w:cs="楷体"/>
          <w:b w:val="0"/>
          <w:bCs w:val="0"/>
          <w:kern w:val="2"/>
          <w:sz w:val="32"/>
          <w:szCs w:val="32"/>
          <w:highlight w:val="none"/>
          <w:lang w:val="en-US" w:eastAsia="zh-CN" w:bidi="ar-SA"/>
        </w:rPr>
        <w:t>第三节  面临机遇</w:t>
      </w:r>
      <w:bookmarkEnd w:id="6"/>
    </w:p>
    <w:p w14:paraId="30CA214A">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仿宋" w:cs="Times New Roman"/>
          <w:color w:val="000000"/>
          <w:kern w:val="0"/>
          <w:sz w:val="32"/>
          <w:szCs w:val="32"/>
          <w:lang w:val="en-US" w:eastAsia="zh-CN" w:bidi="ar"/>
        </w:rPr>
      </w:pPr>
      <w:r>
        <w:rPr>
          <w:rFonts w:hint="default" w:ascii="Times New Roman" w:hAnsi="Times New Roman" w:eastAsia="仿宋" w:cs="Times New Roman"/>
          <w:color w:val="000000"/>
          <w:kern w:val="0"/>
          <w:sz w:val="32"/>
          <w:szCs w:val="32"/>
          <w:lang w:val="en-US" w:eastAsia="zh-CN" w:bidi="ar"/>
        </w:rPr>
        <w:t>“十四五”时期是我国全面建成小康社会、实现第一个百年奋斗目标之后，乘势而上开启全面建设社会主义现代化国家新征程、向第二个百年奋斗目标进军的第一个五年，要准确把握历史方位、时代坐标、前进方向，以更加磅礴的气势和力量，不断攀登新的台阶、走向新的胜利。</w:t>
      </w:r>
    </w:p>
    <w:p w14:paraId="5CE869DC">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一、“一带一路”</w:t>
      </w:r>
      <w:r>
        <w:rPr>
          <w:rFonts w:hint="eastAsia" w:ascii="Times New Roman" w:eastAsia="黑体" w:cs="Times New Roman"/>
          <w:color w:val="000000"/>
          <w:kern w:val="0"/>
          <w:sz w:val="32"/>
          <w:szCs w:val="32"/>
          <w:lang w:val="en-US" w:eastAsia="zh-CN" w:bidi="ar"/>
        </w:rPr>
        <w:t>倡议</w:t>
      </w:r>
      <w:r>
        <w:rPr>
          <w:rFonts w:hint="default" w:ascii="Times New Roman" w:hAnsi="Times New Roman" w:eastAsia="黑体" w:cs="Times New Roman"/>
          <w:color w:val="000000"/>
          <w:kern w:val="0"/>
          <w:sz w:val="32"/>
          <w:szCs w:val="32"/>
          <w:lang w:val="en-US" w:eastAsia="zh-CN" w:bidi="ar"/>
        </w:rPr>
        <w:t>为开放发展构筑了新格局</w:t>
      </w:r>
    </w:p>
    <w:p w14:paraId="54CD5C54">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24"/>
        <w:jc w:val="both"/>
        <w:textAlignment w:val="auto"/>
        <w:outlineLvl w:val="9"/>
        <w:rPr>
          <w:rFonts w:hint="default" w:ascii="Times New Roman" w:hAnsi="Times New Roman" w:eastAsia="仿宋" w:cs="Times New Roman"/>
          <w:color w:val="000000"/>
          <w:kern w:val="0"/>
          <w:sz w:val="32"/>
          <w:szCs w:val="32"/>
          <w:highlight w:val="none"/>
          <w:lang w:val="en-US" w:eastAsia="zh-CN" w:bidi="ar"/>
        </w:rPr>
      </w:pPr>
      <w:r>
        <w:rPr>
          <w:rFonts w:hint="default" w:ascii="Times New Roman" w:hAnsi="Times New Roman" w:eastAsia="仿宋" w:cs="Times New Roman"/>
          <w:color w:val="000000"/>
          <w:kern w:val="0"/>
          <w:sz w:val="32"/>
          <w:szCs w:val="32"/>
          <w:lang w:val="en-US" w:eastAsia="zh-CN" w:bidi="ar"/>
        </w:rPr>
        <w:t>在发达国家经济增长乏力、制约全球经济复苏的背景下，“一带一路”</w:t>
      </w:r>
      <w:r>
        <w:rPr>
          <w:rFonts w:hint="eastAsia" w:ascii="Times New Roman" w:eastAsia="仿宋" w:cs="Times New Roman"/>
          <w:color w:val="000000"/>
          <w:kern w:val="0"/>
          <w:sz w:val="32"/>
          <w:szCs w:val="32"/>
          <w:lang w:val="en-US" w:eastAsia="zh-CN" w:bidi="ar"/>
        </w:rPr>
        <w:t>倡议</w:t>
      </w:r>
      <w:r>
        <w:rPr>
          <w:rFonts w:hint="default" w:ascii="Times New Roman" w:hAnsi="Times New Roman" w:eastAsia="仿宋" w:cs="Times New Roman"/>
          <w:color w:val="000000"/>
          <w:kern w:val="0"/>
          <w:sz w:val="32"/>
          <w:szCs w:val="32"/>
          <w:lang w:val="en-US" w:eastAsia="zh-CN" w:bidi="ar"/>
        </w:rPr>
        <w:t>的推进为我国创造了持续扩张的海外市场，既增加了产品需求、服务需求和投资需求，也促进了产能合作和国际转移。连云新城作为我市推进“一带一路”</w:t>
      </w:r>
      <w:r>
        <w:rPr>
          <w:rFonts w:hint="eastAsia" w:ascii="Times New Roman" w:eastAsia="仿宋" w:cs="Times New Roman"/>
          <w:color w:val="000000"/>
          <w:kern w:val="0"/>
          <w:sz w:val="32"/>
          <w:szCs w:val="32"/>
          <w:lang w:val="en-US" w:eastAsia="zh-CN" w:bidi="ar"/>
        </w:rPr>
        <w:t>强</w:t>
      </w:r>
      <w:r>
        <w:rPr>
          <w:rFonts w:hint="default" w:ascii="Times New Roman" w:hAnsi="Times New Roman" w:eastAsia="仿宋" w:cs="Times New Roman"/>
          <w:color w:val="000000"/>
          <w:kern w:val="0"/>
          <w:sz w:val="32"/>
          <w:szCs w:val="32"/>
          <w:lang w:val="en-US" w:eastAsia="zh-CN" w:bidi="ar"/>
        </w:rPr>
        <w:t>支点建设先导区，可以在“一带一路”布局中利用更加广阔的市场空间和更加优越的国际环境，优化港口综合服务与多式联运综合服务平台，建设港产联动的</w:t>
      </w:r>
      <w:r>
        <w:rPr>
          <w:rFonts w:hint="default" w:ascii="Times New Roman" w:hAnsi="Times New Roman" w:eastAsia="仿宋" w:cs="Times New Roman"/>
          <w:color w:val="000000"/>
          <w:kern w:val="0"/>
          <w:sz w:val="32"/>
          <w:szCs w:val="32"/>
          <w:highlight w:val="none"/>
          <w:lang w:val="en-US" w:eastAsia="zh-CN" w:bidi="ar"/>
        </w:rPr>
        <w:t>现代服务业特别是港航物流、商务服务产业集聚区，可以更好更快地推动连云港加快融入世界产业体系，加快产业国际化发展进程，促使连云港从开放“末梢”打造成为东西联通、南北共荣、通江达海的经济发展新高地；可以策应长三角一体化和江苏沿海大开发的发展形势，实施产业衔接、产业培育和产业开发合作战略，将连云新城打造成为对接长三角、面向全球的开放经济实践区。</w:t>
      </w:r>
    </w:p>
    <w:p w14:paraId="11A55CF6">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 xml:space="preserve">二、国家东中西区域合作示范区建设为引领发展提供了新契机 </w:t>
      </w:r>
    </w:p>
    <w:p w14:paraId="4D4DF3F8">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32" w:firstLineChars="200"/>
        <w:jc w:val="both"/>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2011年6月，国家发改委批复了《国家东中西区域合作示范区建设总体方案》（以下简称“方案”），连云港区域性国际商务中心是示范区建设中的重要组成部分，而连云新城商务中心区作为连云港区域性国际商务中心拓展区，是国家东中西区域合作示范区的特色功能区。《方案》中明确要求要进一步完善连云港区域性国际商务中心的服务功能，打造面向中西部地区的商务服务平台，提升服务中西部地区的能力。示范区的建设为连云新城的引领发展、率先发展提供了无限可能，作为示范区的重要组成部分，连云新城在建设航运交易市场和口岸一站式服务平台等相关载体、发展国际商务和现代商贸等现代服务业业态方面将会形成更大的市场空间和需求空间，可以更大程度上促进东中西区域产业合作层次与质量的进一步提升。</w:t>
      </w:r>
    </w:p>
    <w:p w14:paraId="42E465F7">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 xml:space="preserve">三、国家自贸区创新实践为创新发展指明了新方向 </w:t>
      </w:r>
    </w:p>
    <w:p w14:paraId="7C576C82">
      <w:pPr>
        <w:keepNext w:val="0"/>
        <w:keepLines w:val="0"/>
        <w:pageBreakBefore w:val="0"/>
        <w:widowControl/>
        <w:suppressLineNumbers w:val="0"/>
        <w:kinsoku/>
        <w:wordWrap/>
        <w:overflowPunct/>
        <w:topLinePunct w:val="0"/>
        <w:autoSpaceDE w:val="0"/>
        <w:autoSpaceDN w:val="0"/>
        <w:bidi w:val="0"/>
        <w:adjustRightInd w:val="0"/>
        <w:snapToGrid/>
        <w:spacing w:line="560" w:lineRule="exact"/>
        <w:ind w:firstLine="624"/>
        <w:jc w:val="both"/>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党的十七大以来，自由贸易区建设开始上升为国家战略，党的十八大明确提出要加快实施自由贸易区战略，习近平同志在党的十九大报告中进一步提出要赋予自由贸易试验区更大改革自主权，探索建设自由贸易港。连云港作为中国（江苏）自贸区三个片区之一，可以以上海自贸区为标杆，尽可能地发挥国家东中西区域合作示范区的政策优势，以信息流带动技术流、资金流、人才流、物资流，成为东中西协调、陆海统筹的全方位和高水平区域，在更高层面实现物流、商流、信息流、资金流、人才流的自由高效流动；同时，可以充分利用国家政策，最大限度地承接自贸区政策的溢出效应。</w:t>
      </w:r>
    </w:p>
    <w:p w14:paraId="1F73EAEC">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7" w:name="_Toc29391"/>
      <w:r>
        <w:rPr>
          <w:rFonts w:hint="default" w:ascii="楷体" w:hAnsi="楷体" w:eastAsia="楷体" w:cs="楷体"/>
          <w:b w:val="0"/>
          <w:bCs w:val="0"/>
          <w:kern w:val="2"/>
          <w:sz w:val="32"/>
          <w:szCs w:val="32"/>
          <w:highlight w:val="none"/>
          <w:lang w:val="en-US" w:eastAsia="zh-CN" w:bidi="ar-SA"/>
        </w:rPr>
        <w:t>第四节  面临挑战</w:t>
      </w:r>
      <w:bookmarkEnd w:id="7"/>
      <w:r>
        <w:rPr>
          <w:rFonts w:hint="default" w:ascii="楷体" w:hAnsi="楷体" w:eastAsia="楷体" w:cs="楷体"/>
          <w:b w:val="0"/>
          <w:bCs w:val="0"/>
          <w:kern w:val="2"/>
          <w:sz w:val="32"/>
          <w:szCs w:val="32"/>
          <w:highlight w:val="none"/>
          <w:lang w:val="en-US" w:eastAsia="zh-CN" w:bidi="ar-SA"/>
        </w:rPr>
        <w:t>与机遇</w:t>
      </w:r>
    </w:p>
    <w:p w14:paraId="135CB587">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both"/>
        <w:textAlignment w:val="auto"/>
        <w:outlineLvl w:val="9"/>
        <w:rPr>
          <w:rFonts w:hint="default" w:ascii="Times New Roman" w:hAnsi="Times New Roman" w:eastAsia="仿宋" w:cs="Times New Roman"/>
          <w:color w:val="000000"/>
          <w:kern w:val="0"/>
          <w:sz w:val="32"/>
          <w:szCs w:val="32"/>
          <w:highlight w:val="none"/>
          <w:lang w:val="en-US" w:eastAsia="zh-CN" w:bidi="ar"/>
        </w:rPr>
      </w:pPr>
      <w:r>
        <w:rPr>
          <w:rFonts w:hint="default" w:ascii="Times New Roman" w:hAnsi="Times New Roman" w:eastAsia="仿宋" w:cs="Times New Roman"/>
          <w:color w:val="000000"/>
          <w:kern w:val="0"/>
          <w:sz w:val="32"/>
          <w:szCs w:val="32"/>
          <w:highlight w:val="none"/>
          <w:lang w:val="en-US" w:eastAsia="zh-CN" w:bidi="ar"/>
        </w:rPr>
        <w:t>面对国际、国内情况的深刻变化，连云新城的发展要在大局下找准定位、在大势中瞄定目标、在大事上保持定力，准确把握经济社会发展的阶段性特征，把握机遇，因事而谋、应势而动、顺势而为、乘势而上，迎接挑战。</w:t>
      </w:r>
    </w:p>
    <w:p w14:paraId="4EA4D523">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一、强化港产城融合，推进新城建设国际化</w:t>
      </w:r>
    </w:p>
    <w:p w14:paraId="146CE323">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both"/>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color w:val="000000"/>
          <w:kern w:val="0"/>
          <w:sz w:val="32"/>
          <w:szCs w:val="32"/>
          <w:highlight w:val="none"/>
          <w:lang w:val="en-US" w:eastAsia="zh-CN" w:bidi="ar"/>
        </w:rPr>
        <w:t>随着新型城镇化进程的进一步加快、产业结构的进一步调整优化，连云港需要更高站位去思考港产城融</w:t>
      </w:r>
      <w:r>
        <w:rPr>
          <w:rFonts w:hint="default" w:ascii="Times New Roman" w:hAnsi="Times New Roman" w:eastAsia="仿宋" w:cs="Times New Roman"/>
          <w:color w:val="000000"/>
          <w:kern w:val="0"/>
          <w:sz w:val="32"/>
          <w:szCs w:val="32"/>
          <w:lang w:val="en-US" w:eastAsia="zh-CN" w:bidi="ar"/>
        </w:rPr>
        <w:t>合发展，推动作为港产城融合发展核心区的连云新城的国际化建设发展。连云新城需要完善基础道路设施、相应城市配套功能措施，更需要高效使用港口资源，培育完善港口商贸物流服务平台，大力发展可推动连云新城国际化发展的现代商务商贸产业，拓展新城发展空间，完善连云新城的</w:t>
      </w:r>
      <w:r>
        <w:rPr>
          <w:rFonts w:hint="default" w:ascii="Times New Roman" w:hAnsi="Times New Roman" w:eastAsia="仿宋" w:cs="Times New Roman"/>
          <w:color w:val="000000"/>
          <w:kern w:val="0"/>
          <w:sz w:val="32"/>
          <w:szCs w:val="32"/>
          <w:highlight w:val="none"/>
          <w:lang w:val="en-US" w:eastAsia="zh-CN" w:bidi="ar"/>
        </w:rPr>
        <w:t>功能，最大程度地提升拓展港口供应链服务能力，持续增强区域辐射带动作用；</w:t>
      </w:r>
      <w:r>
        <w:rPr>
          <w:rFonts w:hint="default" w:ascii="Times New Roman" w:hAnsi="Times New Roman" w:eastAsia="仿宋" w:cs="Times New Roman"/>
          <w:color w:val="auto"/>
          <w:kern w:val="0"/>
          <w:sz w:val="32"/>
          <w:szCs w:val="32"/>
          <w:highlight w:val="none"/>
          <w:lang w:val="en-US" w:eastAsia="zh-CN" w:bidi="ar"/>
        </w:rPr>
        <w:t>需要以新亚欧大陆桥经济走廊东起点建设为契机，以丰富的岸线资源、物流资源等建设联结“一带一路”的物流中心，以其港口和相关交通线路基础设施建设优势提高基础服务水平，进一步拓展延伸连云新城的现代商务服务功能，更多参与国际贸易服务的机会，为增强区域对外开放度、加速区域内各产业要素流动与高效配置、推动区域开放型经济发展奠定深厚基础，拓宽产业增值渠道，更大发挥自身的比较优势，推动连云新城开发开放更上新台阶；</w:t>
      </w:r>
    </w:p>
    <w:p w14:paraId="0DD97093">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二、推进高质量发展，提升服务业发展层次</w:t>
      </w:r>
    </w:p>
    <w:p w14:paraId="509C162D">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both"/>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color w:val="000000"/>
          <w:kern w:val="0"/>
          <w:sz w:val="32"/>
          <w:szCs w:val="32"/>
          <w:lang w:val="en-US" w:eastAsia="zh-CN" w:bidi="ar"/>
        </w:rPr>
        <w:t>连云新城是我市“一带一路”</w:t>
      </w:r>
      <w:r>
        <w:rPr>
          <w:rFonts w:hint="eastAsia" w:ascii="Times New Roman" w:eastAsia="仿宋" w:cs="Times New Roman"/>
          <w:color w:val="000000"/>
          <w:kern w:val="0"/>
          <w:sz w:val="32"/>
          <w:szCs w:val="32"/>
          <w:lang w:val="en-US" w:eastAsia="zh-CN" w:bidi="ar"/>
        </w:rPr>
        <w:t>强</w:t>
      </w:r>
      <w:r>
        <w:rPr>
          <w:rFonts w:hint="default" w:ascii="Times New Roman" w:hAnsi="Times New Roman" w:eastAsia="仿宋" w:cs="Times New Roman"/>
          <w:color w:val="000000"/>
          <w:kern w:val="0"/>
          <w:sz w:val="32"/>
          <w:szCs w:val="32"/>
          <w:lang w:val="en-US" w:eastAsia="zh-CN" w:bidi="ar"/>
        </w:rPr>
        <w:t>支点建设先导区、海滨旅游休闲度假示范区。我市城市化进程加快以及居民消费需求的转变升级，为连云新城服务经济的整体发展带来更大的空间，迫切需要加快推进产业结构调整优化，大力发展金融保险、总部经济以及中介、咨询等商务服务业，有效地促使区域内优势资源集中，强化新城区域商务服务功能，提升服务业业态层次和整体发展水平、推动经济高质量发展，强化对“一带一路”主要城市的服务和辐射力，扩大我市作为新亚欧大陆桥经济走廊东起点的影响力。</w:t>
      </w:r>
    </w:p>
    <w:p w14:paraId="6244B4B5">
      <w:pPr>
        <w:keepNext w:val="0"/>
        <w:keepLines w:val="0"/>
        <w:pageBreakBefore w:val="0"/>
        <w:widowControl/>
        <w:suppressLineNumbers w:val="0"/>
        <w:kinsoku/>
        <w:wordWrap/>
        <w:overflowPunct/>
        <w:bidi w:val="0"/>
        <w:spacing w:line="560" w:lineRule="exact"/>
        <w:jc w:val="both"/>
        <w:textAlignment w:val="auto"/>
        <w:outlineLvl w:val="9"/>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三、优化产业结构，建设经济重要增长极</w:t>
      </w:r>
    </w:p>
    <w:p w14:paraId="400C804F">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both"/>
        <w:textAlignment w:val="auto"/>
        <w:outlineLvl w:val="9"/>
        <w:rPr>
          <w:rFonts w:hint="default" w:ascii="Times New Roman" w:hAnsi="Times New Roman" w:eastAsia="仿宋" w:cs="Times New Roman"/>
          <w:sz w:val="32"/>
          <w:szCs w:val="32"/>
          <w:lang w:val="en-US" w:eastAsia="zh-CN"/>
        </w:rPr>
      </w:pPr>
      <w:r>
        <w:rPr>
          <w:rFonts w:hint="default" w:ascii="Times New Roman" w:hAnsi="Times New Roman" w:eastAsia="仿宋" w:cs="Times New Roman"/>
          <w:color w:val="000000"/>
          <w:kern w:val="0"/>
          <w:sz w:val="32"/>
          <w:szCs w:val="32"/>
          <w:lang w:val="en-US" w:eastAsia="zh-CN" w:bidi="ar"/>
        </w:rPr>
        <w:t>随着长三角区域协调发展的进一步深化，连淮扬镇高铁、连徐城际铁路、沿海铁路等重大基础设施的建成通车，连云港将会更大程度上融入到长三角经济圈，与上海、南京、苏州、无锡、杭州等长三角中部、南部核心城市的联系将会比以往更为密切。在此大的背景下，连云新城需要以“大融合、大开放、大发展”的理念，按照城市新中心的总体定位，依托“一带一路”航路通道和陆路通道的区位优势，扩大东西双向开放水平，实现沟通南北、连接东西，支撑连云新城的建设。连云新城的建设可以更好地融入到全球产业链进程中，参与国际产业分工和接受国际资金、技术、信息等辐射和转移，积极发展“总部—地区总部—加工基地”链条，从而优化我市产业结构，大力促进地区总部、经济中心、金融高地的建设，形成为制造业企业、营销类企业服务的开放型的现代服务业集聚中心。</w:t>
      </w:r>
    </w:p>
    <w:p w14:paraId="11A2A8A9">
      <w:pPr>
        <w:keepNext w:val="0"/>
        <w:keepLines w:val="0"/>
        <w:pageBreakBefore w:val="0"/>
        <w:widowControl/>
        <w:numPr>
          <w:ilvl w:val="0"/>
          <w:numId w:val="0"/>
        </w:numPr>
        <w:suppressLineNumbers w:val="0"/>
        <w:kinsoku/>
        <w:wordWrap/>
        <w:overflowPunct/>
        <w:autoSpaceDE w:val="0"/>
        <w:autoSpaceDN w:val="0"/>
        <w:bidi w:val="0"/>
        <w:adjustRightInd w:val="0"/>
        <w:spacing w:line="560" w:lineRule="exact"/>
        <w:jc w:val="center"/>
        <w:textAlignment w:val="auto"/>
        <w:outlineLvl w:val="9"/>
        <w:rPr>
          <w:rFonts w:hint="default" w:ascii="Times New Roman" w:hAnsi="Times New Roman" w:eastAsia="仿宋" w:cs="Times New Roman"/>
          <w:b/>
          <w:bCs/>
          <w:kern w:val="44"/>
          <w:sz w:val="32"/>
          <w:szCs w:val="32"/>
          <w:highlight w:val="none"/>
          <w:lang w:val="en-US" w:eastAsia="zh-CN" w:bidi="ar-SA"/>
        </w:rPr>
      </w:pPr>
    </w:p>
    <w:p w14:paraId="3F7BAC6D">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bookmarkStart w:id="8" w:name="_Toc12626"/>
    </w:p>
    <w:p w14:paraId="39866F4F">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236910BB">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r>
        <w:rPr>
          <w:rFonts w:hint="default" w:ascii="Times New Roman" w:hAnsi="Times New Roman" w:eastAsia="方正小标宋_GBK" w:cs="Times New Roman"/>
          <w:kern w:val="2"/>
          <w:sz w:val="44"/>
          <w:szCs w:val="44"/>
          <w:lang w:val="en-US" w:eastAsia="zh-CN"/>
        </w:rPr>
        <w:t>第二章  指导思想、基本原则和发展目标</w:t>
      </w:r>
      <w:bookmarkEnd w:id="8"/>
    </w:p>
    <w:p w14:paraId="27471047">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9" w:name="_Toc13285"/>
      <w:r>
        <w:rPr>
          <w:rFonts w:hint="default" w:ascii="楷体" w:hAnsi="楷体" w:eastAsia="楷体" w:cs="楷体"/>
          <w:b w:val="0"/>
          <w:bCs w:val="0"/>
          <w:kern w:val="2"/>
          <w:sz w:val="32"/>
          <w:szCs w:val="32"/>
          <w:highlight w:val="none"/>
          <w:lang w:val="en-US" w:eastAsia="zh-CN" w:bidi="ar-SA"/>
        </w:rPr>
        <w:t>第一节  指导思想</w:t>
      </w:r>
      <w:bookmarkEnd w:id="9"/>
    </w:p>
    <w:p w14:paraId="684CFD10">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以习近平新时代中国特色社会主义思想为指引，牢固树立和贯彻落实新发展理念</w:t>
      </w:r>
      <w:r>
        <w:rPr>
          <w:rFonts w:hint="default" w:ascii="Times New Roman" w:hAnsi="Times New Roman" w:eastAsia="仿宋" w:cs="Times New Roman"/>
          <w:b w:val="0"/>
          <w:bCs w:val="0"/>
          <w:sz w:val="32"/>
          <w:szCs w:val="32"/>
        </w:rPr>
        <w:t>，按照高质量发展的要求，围绕打造城市新中心</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山海公园城、</w:t>
      </w:r>
      <w:r>
        <w:rPr>
          <w:rFonts w:hint="default" w:ascii="Times New Roman" w:hAnsi="Times New Roman" w:eastAsia="仿宋" w:cs="Times New Roman"/>
          <w:b w:val="0"/>
          <w:bCs w:val="0"/>
          <w:sz w:val="32"/>
          <w:szCs w:val="32"/>
        </w:rPr>
        <w:t>江苏外滩发展定位，坚持世界眼光、国际标准、中国风范、港城特色、高点定位、绿色发展。紧扣</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一带一路</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机遇，着力加强面向陆海双向开放综合服务功能建设，打造</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一带一路</w:t>
      </w:r>
      <w:r>
        <w:rPr>
          <w:rFonts w:hint="eastAsia" w:ascii="Times New Roman" w:hAnsi="Times New Roman" w:eastAsia="仿宋" w:cs="Times New Roman"/>
          <w:b w:val="0"/>
          <w:bCs w:val="0"/>
          <w:sz w:val="32"/>
          <w:szCs w:val="32"/>
          <w:lang w:eastAsia="zh-CN"/>
        </w:rPr>
        <w:t>”</w:t>
      </w:r>
      <w:r>
        <w:rPr>
          <w:rFonts w:hint="eastAsia" w:ascii="Times New Roman" w:eastAsia="仿宋" w:cs="Times New Roman"/>
          <w:b w:val="0"/>
          <w:bCs w:val="0"/>
          <w:sz w:val="32"/>
          <w:szCs w:val="32"/>
          <w:lang w:val="en-US" w:eastAsia="zh-CN"/>
        </w:rPr>
        <w:t>强</w:t>
      </w:r>
      <w:r>
        <w:rPr>
          <w:rFonts w:hint="default" w:ascii="Times New Roman" w:hAnsi="Times New Roman" w:eastAsia="仿宋" w:cs="Times New Roman"/>
          <w:b w:val="0"/>
          <w:bCs w:val="0"/>
          <w:sz w:val="32"/>
          <w:szCs w:val="32"/>
        </w:rPr>
        <w:t>支点核心功能区；紧扣城市发展战略方向，着力调整优化城市空间布局，深入推进城市</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组团发展、功能互补、提升品质、彰显特色、快速联通</w:t>
      </w:r>
      <w:r>
        <w:rPr>
          <w:rFonts w:hint="eastAsia" w:ascii="Times New Roman" w:hAnsi="Times New Roman" w:eastAsia="仿宋" w:cs="Times New Roman"/>
          <w:b w:val="0"/>
          <w:bCs w:val="0"/>
          <w:sz w:val="32"/>
          <w:szCs w:val="32"/>
          <w:lang w:eastAsia="zh-CN"/>
        </w:rPr>
        <w:t>”</w:t>
      </w:r>
      <w:r>
        <w:rPr>
          <w:rFonts w:hint="default" w:ascii="Times New Roman" w:hAnsi="Times New Roman" w:eastAsia="仿宋" w:cs="Times New Roman"/>
          <w:b w:val="0"/>
          <w:bCs w:val="0"/>
          <w:sz w:val="32"/>
          <w:szCs w:val="32"/>
        </w:rPr>
        <w:t>，打造城市组团发展新引擎；紧扣创新发展战略重点，着力建设绿色智慧新中心、大美海州湾区、海滨公园城市，打造</w:t>
      </w:r>
      <w:r>
        <w:rPr>
          <w:rFonts w:hint="default" w:ascii="Times New Roman" w:hAnsi="Times New Roman" w:eastAsia="仿宋" w:cs="Times New Roman"/>
          <w:sz w:val="32"/>
          <w:szCs w:val="32"/>
        </w:rPr>
        <w:t>引领城市新发展方向的创新发展示范城区。</w:t>
      </w:r>
    </w:p>
    <w:p w14:paraId="5C1D3A0B">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0" w:name="_Toc969"/>
      <w:r>
        <w:rPr>
          <w:rFonts w:hint="default" w:ascii="楷体" w:hAnsi="楷体" w:eastAsia="楷体" w:cs="楷体"/>
          <w:b w:val="0"/>
          <w:bCs w:val="0"/>
          <w:kern w:val="2"/>
          <w:sz w:val="32"/>
          <w:szCs w:val="32"/>
          <w:highlight w:val="none"/>
          <w:lang w:val="en-US" w:eastAsia="zh-CN" w:bidi="ar-SA"/>
        </w:rPr>
        <w:t>第二节  基本原则</w:t>
      </w:r>
      <w:bookmarkEnd w:id="10"/>
    </w:p>
    <w:p w14:paraId="17CBE51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“十四五”期间，连云新城建设发展将坚持以下四个基本原则：</w:t>
      </w:r>
    </w:p>
    <w:p w14:paraId="04ABB5C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楷体" w:cs="Times New Roman"/>
          <w:b w:val="0"/>
          <w:bCs/>
          <w:kern w:val="2"/>
          <w:sz w:val="32"/>
          <w:szCs w:val="32"/>
          <w:highlight w:val="none"/>
          <w:lang w:val="en-US" w:eastAsia="zh-CN" w:bidi="ar-SA"/>
        </w:rPr>
        <w:t>坚持高点规划、顶层设计。</w:t>
      </w:r>
      <w:r>
        <w:rPr>
          <w:rFonts w:hint="default" w:ascii="Times New Roman" w:hAnsi="Times New Roman" w:eastAsia="仿宋" w:cs="Times New Roman"/>
          <w:color w:val="000000"/>
          <w:sz w:val="32"/>
          <w:szCs w:val="32"/>
        </w:rPr>
        <w:t>借鉴国内外成功经验和雄安新区先进的规划开发理念，汇聚顶尖人才，集思广益、深入论证，高起点编制城市新中心规划和城市设计，科学构建特色合理城市功能空间布局。</w:t>
      </w:r>
    </w:p>
    <w:p w14:paraId="0AAF6986">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楷体" w:cs="Times New Roman"/>
          <w:b w:val="0"/>
          <w:bCs/>
          <w:kern w:val="2"/>
          <w:sz w:val="32"/>
          <w:szCs w:val="32"/>
          <w:highlight w:val="none"/>
          <w:lang w:val="en-US" w:eastAsia="zh-CN" w:bidi="ar-SA"/>
        </w:rPr>
        <w:t>坚持生态优先、绿色发展。</w:t>
      </w:r>
      <w:r>
        <w:rPr>
          <w:rFonts w:hint="default" w:ascii="Times New Roman" w:hAnsi="Times New Roman" w:eastAsia="仿宋" w:cs="Times New Roman"/>
          <w:color w:val="000000"/>
          <w:sz w:val="32"/>
          <w:szCs w:val="32"/>
        </w:rPr>
        <w:t>强化留白增绿定力，落实山海相拥公园城市建设行动方案，让城市公园与生态湿地、公共绿地共同串联形成生态绿网，构建林海湖交汇、蓝绿交织的生态体系，以全域景区化、景观化理念塑造“开窗见海、推门见绿”的绿色空间形态。</w:t>
      </w:r>
    </w:p>
    <w:p w14:paraId="4AFF3B1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楷体" w:cs="Times New Roman"/>
          <w:b w:val="0"/>
          <w:bCs/>
          <w:kern w:val="2"/>
          <w:sz w:val="32"/>
          <w:szCs w:val="32"/>
          <w:highlight w:val="none"/>
          <w:lang w:val="en-US" w:eastAsia="zh-CN" w:bidi="ar-SA"/>
        </w:rPr>
        <w:t>坚持创新理念、现代风尚。</w:t>
      </w:r>
      <w:r>
        <w:rPr>
          <w:rFonts w:hint="default" w:ascii="Times New Roman" w:hAnsi="Times New Roman" w:eastAsia="仿宋" w:cs="Times New Roman"/>
          <w:color w:val="000000"/>
          <w:sz w:val="32"/>
          <w:szCs w:val="32"/>
        </w:rPr>
        <w:t>按照绿色、智能、创新要求，推广绿色低碳的生产生活方式和城市建设运营模式，使用先进环保节能材料和技术工艺标准进行城市建设。同步建设自然渗透、自然净化、自然积存的海绵城市；统筹地下、地面、空中立体化开发模式，加强综合地下管廊建设。适度超前布局智能基础设施，推动全域智能化应用服务实时可控，打造具有深度学习能力、全球领先的数字城市。</w:t>
      </w:r>
    </w:p>
    <w:p w14:paraId="2078111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楷体" w:cs="Times New Roman"/>
          <w:b w:val="0"/>
          <w:bCs/>
          <w:kern w:val="2"/>
          <w:sz w:val="32"/>
          <w:szCs w:val="32"/>
          <w:highlight w:val="none"/>
          <w:lang w:val="en-US" w:eastAsia="zh-CN" w:bidi="ar-SA"/>
        </w:rPr>
        <w:t>坚持组团递进、内涵提升。</w:t>
      </w:r>
      <w:r>
        <w:rPr>
          <w:rFonts w:hint="default" w:ascii="Times New Roman" w:hAnsi="Times New Roman" w:eastAsia="仿宋" w:cs="Times New Roman"/>
          <w:color w:val="000000"/>
          <w:sz w:val="32"/>
          <w:szCs w:val="32"/>
        </w:rPr>
        <w:t>按照“整体规划、分步实施”的原则，进一步转变发展方式，坚持先规划后开发、先配套后出让、先地下后地上、提功能重内涵、实施价值递进，力争配套一片、成熟一片、开发一片，更加关注新中心建设和发展内涵，打造城市精品工程。</w:t>
      </w:r>
    </w:p>
    <w:p w14:paraId="1165E638">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1" w:name="_Toc6005"/>
      <w:r>
        <w:rPr>
          <w:rFonts w:hint="default" w:ascii="楷体" w:hAnsi="楷体" w:eastAsia="楷体" w:cs="楷体"/>
          <w:b w:val="0"/>
          <w:bCs w:val="0"/>
          <w:kern w:val="2"/>
          <w:sz w:val="32"/>
          <w:szCs w:val="32"/>
          <w:highlight w:val="none"/>
          <w:lang w:val="en-US" w:eastAsia="zh-CN" w:bidi="ar-SA"/>
        </w:rPr>
        <w:t>第三节  发展目标</w:t>
      </w:r>
      <w:bookmarkEnd w:id="11"/>
    </w:p>
    <w:p w14:paraId="780BCC76">
      <w:pPr>
        <w:keepNext w:val="0"/>
        <w:keepLines w:val="0"/>
        <w:pageBreakBefore w:val="0"/>
        <w:widowControl/>
        <w:kinsoku/>
        <w:wordWrap/>
        <w:overflowPunct/>
        <w:topLinePunct w:val="0"/>
        <w:autoSpaceDE w:val="0"/>
        <w:autoSpaceDN w:val="0"/>
        <w:bidi w:val="0"/>
        <w:adjustRightInd w:val="0"/>
        <w:snapToGrid/>
        <w:spacing w:line="560" w:lineRule="exact"/>
        <w:ind w:left="0" w:leftChars="0" w:firstLine="63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“十四五”是连云新城全面建设的黄金期，未来五年连云新城将深入贯彻市委市政府、区委区政府重大决策部署，</w:t>
      </w:r>
      <w:r>
        <w:rPr>
          <w:rFonts w:hint="default" w:ascii="Times New Roman" w:hAnsi="Times New Roman" w:eastAsia="仿宋" w:cs="Times New Roman"/>
          <w:sz w:val="32"/>
          <w:szCs w:val="32"/>
          <w:highlight w:val="none"/>
        </w:rPr>
        <w:t>加快建设现代化、国际化、智能化、生态化城市新中心，</w:t>
      </w:r>
      <w:r>
        <w:rPr>
          <w:rFonts w:hint="default" w:ascii="Times New Roman" w:hAnsi="Times New Roman" w:eastAsia="仿宋" w:cs="Times New Roman"/>
          <w:sz w:val="32"/>
          <w:szCs w:val="32"/>
          <w:highlight w:val="none"/>
          <w:lang w:bidi="ar"/>
        </w:rPr>
        <w:t>高标准打造现代化海滨新城</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rPr>
        <w:t>打造</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一带一路</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交汇点</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外滩</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，初步建成功能完善、交通发达、环境优美、品质一流的</w:t>
      </w:r>
      <w:r>
        <w:rPr>
          <w:rFonts w:hint="default" w:ascii="Times New Roman" w:hAnsi="Times New Roman" w:eastAsia="仿宋" w:cs="Times New Roman"/>
          <w:color w:val="auto"/>
          <w:sz w:val="32"/>
          <w:szCs w:val="32"/>
          <w:highlight w:val="none"/>
          <w:lang w:val="en-US" w:eastAsia="zh-CN"/>
        </w:rPr>
        <w:t>山海公园城</w:t>
      </w:r>
      <w:r>
        <w:rPr>
          <w:rFonts w:hint="default" w:ascii="Times New Roman" w:hAnsi="Times New Roman" w:eastAsia="仿宋" w:cs="Times New Roman"/>
          <w:color w:val="auto"/>
          <w:sz w:val="32"/>
          <w:szCs w:val="32"/>
          <w:highlight w:val="none"/>
        </w:rPr>
        <w:t>。</w:t>
      </w:r>
    </w:p>
    <w:p w14:paraId="19E0E50E">
      <w:pPr>
        <w:keepNext w:val="0"/>
        <w:keepLines w:val="0"/>
        <w:pageBreakBefore w:val="0"/>
        <w:widowControl/>
        <w:kinsoku/>
        <w:wordWrap/>
        <w:overflowPunct/>
        <w:topLinePunct w:val="0"/>
        <w:autoSpaceDE w:val="0"/>
        <w:autoSpaceDN w:val="0"/>
        <w:bidi w:val="0"/>
        <w:adjustRightInd w:val="0"/>
        <w:snapToGrid/>
        <w:spacing w:line="560" w:lineRule="exact"/>
        <w:ind w:left="0" w:leftChars="0" w:firstLine="632"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eastAsia="zh-CN"/>
        </w:rPr>
        <w:t>“十四五”期间，</w:t>
      </w:r>
      <w:r>
        <w:rPr>
          <w:rFonts w:hint="default" w:ascii="Times New Roman" w:hAnsi="Times New Roman" w:eastAsia="仿宋" w:cs="Times New Roman"/>
          <w:sz w:val="32"/>
          <w:szCs w:val="32"/>
          <w:highlight w:val="none"/>
          <w:lang w:bidi="ar"/>
        </w:rPr>
        <w:t>按照</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现代化、国际化、智能化、生态化和具有海滨特色城市新中心</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的总体定位，推动连云新城跨越式发展</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突出海滨城区特色，</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蓝色海湾</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最美海岸线基本建成</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全面启动</w:t>
      </w:r>
      <w:r>
        <w:rPr>
          <w:rFonts w:hint="default" w:ascii="Times New Roman" w:hAnsi="Times New Roman" w:eastAsia="仿宋" w:cs="Times New Roman"/>
          <w:sz w:val="32"/>
          <w:szCs w:val="32"/>
          <w:highlight w:val="none"/>
          <w:lang w:val="en-US" w:eastAsia="zh-CN" w:bidi="ar"/>
        </w:rPr>
        <w:t>并</w:t>
      </w:r>
      <w:r>
        <w:rPr>
          <w:rFonts w:hint="default" w:ascii="Times New Roman" w:hAnsi="Times New Roman" w:eastAsia="仿宋" w:cs="Times New Roman"/>
          <w:sz w:val="32"/>
          <w:szCs w:val="32"/>
          <w:highlight w:val="none"/>
          <w:lang w:bidi="ar"/>
        </w:rPr>
        <w:t>完成碱渣池治理和碱厂搬迁，打造兼具山、海、港、岛、城、湿地等全要素集中生态新城</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围绕建设</w:t>
      </w:r>
      <w:r>
        <w:rPr>
          <w:rFonts w:hint="default" w:ascii="Times New Roman" w:hAnsi="Times New Roman" w:eastAsia="仿宋" w:cs="Times New Roman"/>
          <w:sz w:val="32"/>
          <w:szCs w:val="32"/>
          <w:highlight w:val="none"/>
          <w:lang w:eastAsia="zh-CN" w:bidi="ar"/>
        </w:rPr>
        <w:t>“</w:t>
      </w:r>
      <w:r>
        <w:rPr>
          <w:rFonts w:hint="default" w:ascii="Times New Roman" w:hAnsi="Times New Roman" w:eastAsia="仿宋" w:cs="Times New Roman"/>
          <w:sz w:val="32"/>
          <w:szCs w:val="32"/>
          <w:highlight w:val="none"/>
          <w:lang w:bidi="ar"/>
        </w:rPr>
        <w:t>六大中心</w:t>
      </w:r>
      <w:r>
        <w:rPr>
          <w:rFonts w:hint="default" w:ascii="Times New Roman" w:hAnsi="Times New Roman" w:eastAsia="仿宋" w:cs="Times New Roman"/>
          <w:sz w:val="32"/>
          <w:szCs w:val="32"/>
          <w:highlight w:val="none"/>
          <w:lang w:eastAsia="zh-CN" w:bidi="ar"/>
        </w:rPr>
        <w:t>”重点布局发展“七大功能”</w:t>
      </w:r>
      <w:r>
        <w:rPr>
          <w:rFonts w:hint="default" w:ascii="Times New Roman" w:hAnsi="Times New Roman" w:eastAsia="仿宋" w:cs="Times New Roman"/>
          <w:sz w:val="32"/>
          <w:szCs w:val="32"/>
          <w:highlight w:val="none"/>
          <w:lang w:bidi="ar"/>
        </w:rPr>
        <w:t>，布局城市新产业，对接产业园区发展企业总部经济，加快教育、医疗、康养、商务设施配套，力争建成功能完善、环境美好、品质一流，彰显海滨城市特色的城市新中心，成为海滨特色新兴城市的典范</w:t>
      </w:r>
      <w:r>
        <w:rPr>
          <w:rFonts w:hint="default" w:ascii="Times New Roman" w:hAnsi="Times New Roman" w:eastAsia="仿宋" w:cs="Times New Roman"/>
          <w:sz w:val="32"/>
          <w:szCs w:val="32"/>
          <w:highlight w:val="none"/>
          <w:lang w:eastAsia="zh-CN" w:bidi="ar"/>
        </w:rPr>
        <w:t>；基础设施方面，</w:t>
      </w:r>
      <w:r>
        <w:rPr>
          <w:rFonts w:hint="default" w:ascii="Times New Roman" w:hAnsi="Times New Roman" w:eastAsia="仿宋" w:cs="Times New Roman"/>
          <w:sz w:val="32"/>
          <w:szCs w:val="32"/>
          <w:lang w:val="en-US" w:eastAsia="zh-CN"/>
        </w:rPr>
        <w:t>一期、二期市政基础设施基本建成，社会服务设施基本完善，连接外部的新通道加快建设，业态集聚发展，形成品质居住、商务服务、行政中心和优质资源核心区，成为彰显连云港海滨城市特色的重要区域。</w:t>
      </w:r>
      <w:r>
        <w:rPr>
          <w:rFonts w:hint="default" w:ascii="Times New Roman" w:hAnsi="Times New Roman" w:eastAsia="仿宋" w:cs="Times New Roman"/>
          <w:sz w:val="32"/>
          <w:szCs w:val="32"/>
          <w:highlight w:val="none"/>
          <w:lang w:eastAsia="zh-CN"/>
        </w:rPr>
        <w:t>到“十四五”末，力争居住人口达到</w:t>
      </w:r>
      <w:r>
        <w:rPr>
          <w:rFonts w:hint="default" w:ascii="Times New Roman" w:hAnsi="Times New Roman" w:eastAsia="仿宋" w:cs="Times New Roman"/>
          <w:sz w:val="32"/>
          <w:szCs w:val="32"/>
          <w:highlight w:val="none"/>
          <w:lang w:val="en-US" w:eastAsia="zh-CN"/>
        </w:rPr>
        <w:t>10万人。</w:t>
      </w:r>
    </w:p>
    <w:p w14:paraId="4B759505">
      <w:pPr>
        <w:pStyle w:val="2"/>
        <w:keepNext w:val="0"/>
        <w:keepLines w:val="0"/>
        <w:pageBreakBefore w:val="0"/>
        <w:kinsoku/>
        <w:wordWrap/>
        <w:overflowPunct/>
        <w:topLinePunct w:val="0"/>
        <w:autoSpaceDE w:val="0"/>
        <w:autoSpaceDN w:val="0"/>
        <w:bidi w:val="0"/>
        <w:adjustRightInd w:val="0"/>
        <w:snapToGrid/>
        <w:spacing w:after="0" w:line="560" w:lineRule="exact"/>
        <w:textAlignment w:val="auto"/>
        <w:rPr>
          <w:rFonts w:hint="default" w:ascii="Times New Roman" w:hAnsi="Times New Roman" w:eastAsia="仿宋" w:cs="Times New Roman"/>
          <w:b/>
          <w:bCs/>
          <w:sz w:val="32"/>
          <w:szCs w:val="32"/>
          <w:highlight w:val="yellow"/>
          <w:lang w:val="en-US" w:eastAsia="zh-CN"/>
        </w:rPr>
      </w:pPr>
      <w:r>
        <w:rPr>
          <w:rFonts w:hint="default" w:ascii="Times New Roman" w:hAnsi="Times New Roman" w:eastAsia="仿宋" w:cs="Times New Roman"/>
          <w:b w:val="0"/>
          <w:bCs w:val="0"/>
          <w:color w:val="auto"/>
          <w:kern w:val="0"/>
          <w:sz w:val="32"/>
          <w:szCs w:val="32"/>
          <w:highlight w:val="none"/>
          <w:lang w:val="en-US" w:eastAsia="zh-CN" w:bidi="ar-SA"/>
        </w:rPr>
        <w:t>“十四五”期间，计划总投资362.92亿元，年均投入建设资金72.58亿元。具体来说，“十四五”时期初步排定了七大类71个重点项目。</w:t>
      </w:r>
      <w:r>
        <w:rPr>
          <w:rFonts w:hint="default" w:ascii="Times New Roman" w:hAnsi="Times New Roman" w:eastAsia="楷体" w:cs="Times New Roman"/>
          <w:b w:val="0"/>
          <w:bCs/>
          <w:kern w:val="2"/>
          <w:sz w:val="32"/>
          <w:szCs w:val="32"/>
          <w:highlight w:val="none"/>
          <w:lang w:val="en-US" w:eastAsia="zh-CN" w:bidi="ar-SA"/>
        </w:rPr>
        <w:t>一是市政基础设施类29项，</w:t>
      </w:r>
      <w:r>
        <w:rPr>
          <w:rFonts w:hint="default" w:ascii="Times New Roman" w:hAnsi="Times New Roman" w:eastAsia="仿宋" w:cs="Times New Roman"/>
          <w:b w:val="0"/>
          <w:bCs w:val="0"/>
          <w:color w:val="auto"/>
          <w:kern w:val="0"/>
          <w:sz w:val="32"/>
          <w:szCs w:val="32"/>
          <w:highlight w:val="none"/>
          <w:lang w:val="en-US" w:eastAsia="zh-CN" w:bidi="ar-SA"/>
        </w:rPr>
        <w:t>总投资58.78亿元，主要包括金海路二期、汇晶路等市政基础设施建设项目。</w:t>
      </w:r>
      <w:r>
        <w:rPr>
          <w:rFonts w:hint="default" w:ascii="Times New Roman" w:hAnsi="Times New Roman" w:eastAsia="楷体" w:cs="Times New Roman"/>
          <w:b w:val="0"/>
          <w:bCs/>
          <w:kern w:val="2"/>
          <w:sz w:val="32"/>
          <w:szCs w:val="32"/>
          <w:highlight w:val="none"/>
          <w:lang w:val="en-US" w:eastAsia="zh-CN" w:bidi="ar-SA"/>
        </w:rPr>
        <w:t>二是海洋水利环境设施类9项，</w:t>
      </w:r>
      <w:r>
        <w:rPr>
          <w:rFonts w:hint="default" w:ascii="Times New Roman" w:hAnsi="Times New Roman" w:eastAsia="仿宋" w:cs="Times New Roman"/>
          <w:b w:val="0"/>
          <w:bCs w:val="0"/>
          <w:color w:val="auto"/>
          <w:kern w:val="0"/>
          <w:sz w:val="32"/>
          <w:szCs w:val="32"/>
          <w:highlight w:val="none"/>
          <w:lang w:val="en-US" w:eastAsia="zh-CN" w:bidi="ar-SA"/>
        </w:rPr>
        <w:t>总投资25.39亿元，主要包括岸线修复工程、湿地修复工程等项目。</w:t>
      </w:r>
      <w:r>
        <w:rPr>
          <w:rFonts w:hint="default" w:ascii="Times New Roman" w:hAnsi="Times New Roman" w:eastAsia="楷体" w:cs="Times New Roman"/>
          <w:b w:val="0"/>
          <w:bCs/>
          <w:kern w:val="2"/>
          <w:sz w:val="32"/>
          <w:szCs w:val="32"/>
          <w:highlight w:val="none"/>
          <w:lang w:val="en-US" w:eastAsia="zh-CN" w:bidi="ar-SA"/>
        </w:rPr>
        <w:t>三是景观绿化类5项，</w:t>
      </w:r>
      <w:r>
        <w:rPr>
          <w:rFonts w:hint="default" w:ascii="Times New Roman" w:hAnsi="Times New Roman" w:eastAsia="仿宋" w:cs="Times New Roman"/>
          <w:b w:val="0"/>
          <w:bCs w:val="0"/>
          <w:color w:val="auto"/>
          <w:kern w:val="0"/>
          <w:sz w:val="32"/>
          <w:szCs w:val="32"/>
          <w:highlight w:val="none"/>
          <w:lang w:val="en-US" w:eastAsia="zh-CN" w:bidi="ar-SA"/>
        </w:rPr>
        <w:t>总投资2.42亿元，主要包括道路绿化提升及新建等项目。</w:t>
      </w:r>
      <w:r>
        <w:rPr>
          <w:rFonts w:hint="default" w:ascii="Times New Roman" w:hAnsi="Times New Roman" w:eastAsia="楷体" w:cs="Times New Roman"/>
          <w:b w:val="0"/>
          <w:bCs/>
          <w:kern w:val="2"/>
          <w:sz w:val="32"/>
          <w:szCs w:val="32"/>
          <w:highlight w:val="none"/>
          <w:lang w:val="en-US" w:eastAsia="zh-CN" w:bidi="ar-SA"/>
        </w:rPr>
        <w:t>四是公共服务配套类6项，</w:t>
      </w:r>
      <w:r>
        <w:rPr>
          <w:rFonts w:hint="default" w:ascii="Times New Roman" w:hAnsi="Times New Roman" w:eastAsia="仿宋" w:cs="Times New Roman"/>
          <w:b w:val="0"/>
          <w:bCs w:val="0"/>
          <w:color w:val="auto"/>
          <w:kern w:val="0"/>
          <w:sz w:val="32"/>
          <w:szCs w:val="32"/>
          <w:highlight w:val="none"/>
          <w:lang w:val="en-US" w:eastAsia="zh-CN" w:bidi="ar-SA"/>
        </w:rPr>
        <w:t>总投资19.6亿元，主要包括苏州外国语学校连云港校区、连云新城人才公寓等项目。</w:t>
      </w:r>
      <w:r>
        <w:rPr>
          <w:rFonts w:hint="default" w:ascii="Times New Roman" w:hAnsi="Times New Roman" w:eastAsia="楷体" w:cs="Times New Roman"/>
          <w:b w:val="0"/>
          <w:bCs/>
          <w:kern w:val="2"/>
          <w:sz w:val="32"/>
          <w:szCs w:val="32"/>
          <w:highlight w:val="none"/>
          <w:lang w:val="en-US" w:eastAsia="zh-CN" w:bidi="ar-SA"/>
        </w:rPr>
        <w:t>五是总部商业办公类3项，</w:t>
      </w:r>
      <w:r>
        <w:rPr>
          <w:rFonts w:hint="default" w:ascii="Times New Roman" w:hAnsi="Times New Roman" w:eastAsia="仿宋" w:cs="Times New Roman"/>
          <w:b w:val="0"/>
          <w:bCs w:val="0"/>
          <w:color w:val="auto"/>
          <w:kern w:val="0"/>
          <w:sz w:val="32"/>
          <w:szCs w:val="32"/>
          <w:highlight w:val="none"/>
          <w:lang w:val="en-US" w:eastAsia="zh-CN" w:bidi="ar-SA"/>
        </w:rPr>
        <w:t>总投资36.94亿元，主要包括“一带一路”大数据园、大数据中心等项目。</w:t>
      </w:r>
      <w:r>
        <w:rPr>
          <w:rFonts w:hint="default" w:ascii="Times New Roman" w:hAnsi="Times New Roman" w:eastAsia="楷体" w:cs="Times New Roman"/>
          <w:b w:val="0"/>
          <w:bCs/>
          <w:kern w:val="2"/>
          <w:sz w:val="32"/>
          <w:szCs w:val="32"/>
          <w:highlight w:val="none"/>
          <w:lang w:val="en-US" w:eastAsia="zh-CN" w:bidi="ar-SA"/>
        </w:rPr>
        <w:t>六是文化康养旅游类10项，</w:t>
      </w:r>
      <w:r>
        <w:rPr>
          <w:rFonts w:hint="default" w:ascii="Times New Roman" w:hAnsi="Times New Roman" w:eastAsia="仿宋" w:cs="Times New Roman"/>
          <w:b w:val="0"/>
          <w:bCs w:val="0"/>
          <w:color w:val="auto"/>
          <w:kern w:val="0"/>
          <w:sz w:val="32"/>
          <w:szCs w:val="32"/>
          <w:highlight w:val="none"/>
          <w:lang w:val="en-US" w:eastAsia="zh-CN" w:bidi="ar-SA"/>
        </w:rPr>
        <w:t>总投资134.7亿元，主要包括内湖水上娱乐、海滨旅游度假区建设等项目。</w:t>
      </w:r>
      <w:r>
        <w:rPr>
          <w:rFonts w:hint="default" w:ascii="Times New Roman" w:hAnsi="Times New Roman" w:eastAsia="楷体" w:cs="Times New Roman"/>
          <w:b w:val="0"/>
          <w:bCs/>
          <w:kern w:val="2"/>
          <w:sz w:val="32"/>
          <w:szCs w:val="32"/>
          <w:highlight w:val="none"/>
          <w:lang w:val="en-US" w:eastAsia="zh-CN" w:bidi="ar-SA"/>
        </w:rPr>
        <w:t>七是房地产开发类9项，</w:t>
      </w:r>
      <w:r>
        <w:rPr>
          <w:rFonts w:hint="default" w:ascii="Times New Roman" w:hAnsi="Times New Roman" w:eastAsia="仿宋" w:cs="Times New Roman"/>
          <w:b w:val="0"/>
          <w:bCs w:val="0"/>
          <w:color w:val="auto"/>
          <w:kern w:val="0"/>
          <w:sz w:val="32"/>
          <w:szCs w:val="32"/>
          <w:highlight w:val="none"/>
          <w:lang w:val="en-US" w:eastAsia="zh-CN" w:bidi="ar-SA"/>
        </w:rPr>
        <w:t>总投资85.1亿元，主要包括苍梧新城苑、金海美域等项目。</w:t>
      </w:r>
    </w:p>
    <w:p w14:paraId="52DE4C8F">
      <w:pPr>
        <w:keepNext w:val="0"/>
        <w:keepLines w:val="0"/>
        <w:pageBreakBefore w:val="0"/>
        <w:widowControl/>
        <w:numPr>
          <w:ilvl w:val="0"/>
          <w:numId w:val="0"/>
        </w:numPr>
        <w:suppressLineNumbers w:val="0"/>
        <w:kinsoku/>
        <w:wordWrap/>
        <w:overflowPunct/>
        <w:autoSpaceDE w:val="0"/>
        <w:autoSpaceDN w:val="0"/>
        <w:bidi w:val="0"/>
        <w:adjustRightInd w:val="0"/>
        <w:spacing w:line="560" w:lineRule="exact"/>
        <w:jc w:val="both"/>
        <w:textAlignment w:val="auto"/>
        <w:outlineLvl w:val="0"/>
        <w:rPr>
          <w:rFonts w:hint="default" w:ascii="Times New Roman" w:hAnsi="Times New Roman" w:eastAsia="仿宋" w:cs="Times New Roman"/>
          <w:b/>
          <w:bCs/>
          <w:kern w:val="44"/>
          <w:sz w:val="32"/>
          <w:szCs w:val="32"/>
          <w:highlight w:val="none"/>
          <w:lang w:val="en-US" w:eastAsia="zh-CN" w:bidi="ar-SA"/>
        </w:rPr>
      </w:pPr>
    </w:p>
    <w:p w14:paraId="03DC29A4">
      <w:pPr>
        <w:keepNext w:val="0"/>
        <w:keepLines w:val="0"/>
        <w:pageBreakBefore w:val="0"/>
        <w:widowControl/>
        <w:numPr>
          <w:ilvl w:val="0"/>
          <w:numId w:val="0"/>
        </w:numPr>
        <w:suppressLineNumbers w:val="0"/>
        <w:kinsoku/>
        <w:wordWrap/>
        <w:overflowPunct/>
        <w:autoSpaceDE w:val="0"/>
        <w:autoSpaceDN w:val="0"/>
        <w:bidi w:val="0"/>
        <w:adjustRightInd w:val="0"/>
        <w:spacing w:line="560" w:lineRule="exact"/>
        <w:jc w:val="center"/>
        <w:textAlignment w:val="auto"/>
        <w:outlineLvl w:val="0"/>
        <w:rPr>
          <w:rFonts w:hint="default" w:ascii="Times New Roman" w:hAnsi="Times New Roman" w:eastAsia="仿宋" w:cs="Times New Roman"/>
          <w:b/>
          <w:bCs/>
          <w:kern w:val="44"/>
          <w:sz w:val="32"/>
          <w:szCs w:val="32"/>
          <w:highlight w:val="none"/>
          <w:lang w:val="en-US" w:eastAsia="zh-CN" w:bidi="ar-SA"/>
        </w:rPr>
      </w:pPr>
    </w:p>
    <w:p w14:paraId="19C5E837">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bookmarkStart w:id="12" w:name="_Toc29652"/>
    </w:p>
    <w:p w14:paraId="35FD0397">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7A05C04E">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79DCF5AA">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6E143EF4">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36E9E20A">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69ED66BD">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3E103A27">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0CA17D05">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21F07060">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26F0D087">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49CDBAEB">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5EC155A5">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03F4BAF6">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60EA2BCE">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00820A70">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17B07276">
      <w:pPr>
        <w:pStyle w:val="2"/>
        <w:rPr>
          <w:rFonts w:hint="default"/>
          <w:lang w:val="en-US" w:eastAsia="zh-CN"/>
        </w:rPr>
      </w:pPr>
    </w:p>
    <w:p w14:paraId="686F07AB">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p>
    <w:p w14:paraId="36E97883">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r>
        <w:rPr>
          <w:rFonts w:hint="default" w:ascii="Times New Roman" w:hAnsi="Times New Roman" w:eastAsia="方正小标宋_GBK" w:cs="Times New Roman"/>
          <w:kern w:val="2"/>
          <w:sz w:val="44"/>
          <w:szCs w:val="44"/>
          <w:lang w:val="en-US" w:eastAsia="zh-CN"/>
        </w:rPr>
        <w:t>第三章  发展重点和主要任务</w:t>
      </w:r>
      <w:bookmarkEnd w:id="12"/>
    </w:p>
    <w:p w14:paraId="5753B350">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3" w:name="_Toc29759"/>
      <w:r>
        <w:rPr>
          <w:rFonts w:hint="default" w:ascii="楷体" w:hAnsi="楷体" w:eastAsia="楷体" w:cs="楷体"/>
          <w:b w:val="0"/>
          <w:bCs w:val="0"/>
          <w:kern w:val="2"/>
          <w:sz w:val="32"/>
          <w:szCs w:val="32"/>
          <w:highlight w:val="none"/>
          <w:lang w:val="en-US" w:eastAsia="zh-CN" w:bidi="ar-SA"/>
        </w:rPr>
        <w:t>第一节  发展重点</w:t>
      </w:r>
      <w:bookmarkEnd w:id="13"/>
    </w:p>
    <w:p w14:paraId="3B61B2CD">
      <w:pPr>
        <w:keepNext w:val="0"/>
        <w:keepLines w:val="0"/>
        <w:pageBreakBefore w:val="0"/>
        <w:widowControl/>
        <w:numPr>
          <w:ilvl w:val="0"/>
          <w:numId w:val="0"/>
        </w:numPr>
        <w:suppressLineNumbers w:val="0"/>
        <w:kinsoku/>
        <w:wordWrap/>
        <w:overflowPunct/>
        <w:topLinePunct w:val="0"/>
        <w:autoSpaceDE w:val="0"/>
        <w:autoSpaceDN w:val="0"/>
        <w:bidi w:val="0"/>
        <w:adjustRightInd w:val="0"/>
        <w:snapToGrid/>
        <w:spacing w:line="560" w:lineRule="exact"/>
        <w:ind w:firstLine="632"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按照建设现代化、国际化、智能化、生态化和具有海滨特色城市新中心的总体定位，统筹连云新城规划及资源配置，预留市级行政中心承载功能定位，着力打造“一带一路”国际商务中心、国际化海港中心城市核心区、国家东中西区域合作示范区的特色功能区。</w:t>
      </w:r>
    </w:p>
    <w:p w14:paraId="1EDE4C62">
      <w:pPr>
        <w:keepNext w:val="0"/>
        <w:keepLines w:val="0"/>
        <w:pageBreakBefore w:val="0"/>
        <w:widowControl/>
        <w:numPr>
          <w:ilvl w:val="0"/>
          <w:numId w:val="0"/>
        </w:numPr>
        <w:suppressLineNumbers w:val="0"/>
        <w:kinsoku/>
        <w:wordWrap/>
        <w:overflowPunct/>
        <w:autoSpaceDE w:val="0"/>
        <w:autoSpaceDN w:val="0"/>
        <w:bidi w:val="0"/>
        <w:adjustRightInd w:val="0"/>
        <w:spacing w:line="560" w:lineRule="exact"/>
        <w:ind w:firstLine="632" w:firstLineChars="200"/>
        <w:jc w:val="both"/>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围绕上述发展思路与目标，“十四五”时期连云新城</w:t>
      </w:r>
      <w:r>
        <w:rPr>
          <w:rFonts w:hint="default" w:ascii="Times New Roman" w:hAnsi="Times New Roman" w:eastAsia="仿宋" w:cs="Times New Roman"/>
          <w:sz w:val="32"/>
          <w:szCs w:val="32"/>
        </w:rPr>
        <w:t>重点</w:t>
      </w:r>
      <w:r>
        <w:rPr>
          <w:rFonts w:hint="default" w:ascii="Times New Roman" w:hAnsi="Times New Roman" w:eastAsia="仿宋" w:cs="Times New Roman"/>
          <w:sz w:val="32"/>
          <w:szCs w:val="32"/>
          <w:lang w:eastAsia="zh-CN"/>
        </w:rPr>
        <w:t>任务主要为</w:t>
      </w:r>
      <w:r>
        <w:rPr>
          <w:rFonts w:hint="default" w:ascii="Times New Roman" w:hAnsi="Times New Roman" w:eastAsia="仿宋" w:cs="Times New Roman"/>
          <w:sz w:val="32"/>
          <w:szCs w:val="32"/>
        </w:rPr>
        <w:t>布局发展七大功能</w:t>
      </w:r>
      <w:r>
        <w:rPr>
          <w:rFonts w:hint="default" w:ascii="Times New Roman" w:hAnsi="Times New Roman" w:eastAsia="仿宋" w:cs="Times New Roman"/>
          <w:sz w:val="32"/>
          <w:szCs w:val="32"/>
          <w:lang w:eastAsia="zh-CN"/>
        </w:rPr>
        <w:t>：</w:t>
      </w:r>
    </w:p>
    <w:p w14:paraId="4B4EDD1E">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val="0"/>
          <w:bCs/>
          <w:kern w:val="2"/>
          <w:sz w:val="32"/>
          <w:szCs w:val="32"/>
          <w:highlight w:val="none"/>
          <w:lang w:val="en-US" w:eastAsia="zh-CN" w:bidi="ar-SA"/>
        </w:rPr>
        <w:t>——港航服务。</w:t>
      </w:r>
      <w:r>
        <w:rPr>
          <w:rFonts w:hint="default" w:ascii="Times New Roman" w:hAnsi="Times New Roman" w:eastAsia="仿宋" w:cs="Times New Roman"/>
          <w:color w:val="auto"/>
          <w:kern w:val="0"/>
          <w:sz w:val="32"/>
          <w:szCs w:val="32"/>
          <w:lang w:val="en-US" w:eastAsia="zh-CN" w:bidi="ar-SA"/>
        </w:rPr>
        <w:t>鼓励现代服务新兴业态，围绕港航服务、商务会展等新兴业态，以“一带一路”生产性服务业集聚示范区为载体，推动生产性服务业专业化高端化发展。</w:t>
      </w:r>
      <w:r>
        <w:rPr>
          <w:rFonts w:hint="default" w:ascii="Times New Roman" w:hAnsi="Times New Roman" w:eastAsia="仿宋" w:cs="Times New Roman"/>
          <w:color w:val="auto"/>
          <w:sz w:val="32"/>
          <w:szCs w:val="32"/>
        </w:rPr>
        <w:t>依托港口，主动服务一带一路沿线，拓展智慧港航、对外贸易、会务会展、智慧城市、商务智能，重点汇聚高端服务业，发展港航经济、金融服务等功能，发展生产性服务业，构建便捷</w:t>
      </w:r>
      <w:r>
        <w:rPr>
          <w:rFonts w:hint="default" w:ascii="Times New Roman" w:hAnsi="Times New Roman" w:eastAsia="仿宋" w:cs="Times New Roman"/>
          <w:sz w:val="32"/>
          <w:szCs w:val="32"/>
        </w:rPr>
        <w:t>、高效、安全、绿色的现代物流服务、港航服务体系。</w:t>
      </w:r>
    </w:p>
    <w:p w14:paraId="034D8D80">
      <w:pPr>
        <w:pStyle w:val="2"/>
        <w:keepNext w:val="0"/>
        <w:keepLines w:val="0"/>
        <w:pageBreakBefore w:val="0"/>
        <w:kinsoku/>
        <w:wordWrap/>
        <w:overflowPunct/>
        <w:autoSpaceDE w:val="0"/>
        <w:autoSpaceDN w:val="0"/>
        <w:bidi w:val="0"/>
        <w:adjustRightInd w:val="0"/>
        <w:spacing w:after="0" w:line="560" w:lineRule="exact"/>
        <w:textAlignment w:val="auto"/>
        <w:rPr>
          <w:rFonts w:hint="default" w:ascii="Times New Roman" w:hAnsi="Times New Roman" w:eastAsia="仿宋" w:cs="Times New Roman"/>
          <w:color w:val="0000FF"/>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——休闲旅游。</w:t>
      </w:r>
      <w:r>
        <w:rPr>
          <w:rFonts w:hint="default" w:ascii="Times New Roman" w:hAnsi="Times New Roman" w:eastAsia="仿宋" w:cs="Times New Roman"/>
          <w:color w:val="auto"/>
          <w:sz w:val="32"/>
          <w:szCs w:val="32"/>
        </w:rPr>
        <w:t>挖掘山海泉湖等富集旅游资源，</w:t>
      </w:r>
      <w:r>
        <w:rPr>
          <w:rFonts w:hint="default" w:ascii="Times New Roman" w:hAnsi="Times New Roman" w:eastAsia="仿宋" w:cs="Times New Roman"/>
          <w:color w:val="auto"/>
          <w:sz w:val="32"/>
          <w:szCs w:val="32"/>
          <w:lang w:val="en-US" w:eastAsia="zh-CN"/>
        </w:rPr>
        <w:t>突出打造内湖风光、滨海旅游、生态湿地、温泉疗养等特色旅游产品，提升休闲旅游功能配套水平。</w:t>
      </w:r>
      <w:r>
        <w:rPr>
          <w:rFonts w:hint="default" w:ascii="Times New Roman" w:hAnsi="Times New Roman" w:eastAsia="仿宋" w:cs="Times New Roman"/>
          <w:color w:val="auto"/>
          <w:sz w:val="32"/>
          <w:szCs w:val="32"/>
        </w:rPr>
        <w:t>高标准建设蓝色生态海湾等旅游项目，</w:t>
      </w:r>
      <w:r>
        <w:rPr>
          <w:rFonts w:hint="default" w:ascii="Times New Roman" w:hAnsi="Times New Roman" w:eastAsia="仿宋" w:cs="Times New Roman"/>
          <w:color w:val="auto"/>
          <w:sz w:val="32"/>
          <w:szCs w:val="32"/>
          <w:lang w:val="en-US" w:eastAsia="zh-CN"/>
        </w:rPr>
        <w:t>依托蓝色海湾，布局一批滨海度假酒店、游艇码头、滨海风情商业街等娱乐、运动、养生、休闲元素于一体的全季型旅游度假综合体，建设国内一流的滨海休闲度假中心，打造康养度假旅游样板。建设国内外知名的游艇基地、帆船基地，发展海上运动旅游项目，</w:t>
      </w:r>
      <w:r>
        <w:rPr>
          <w:rFonts w:hint="default" w:ascii="Times New Roman" w:hAnsi="Times New Roman" w:eastAsia="仿宋" w:cs="Times New Roman"/>
          <w:color w:val="auto"/>
          <w:sz w:val="32"/>
          <w:szCs w:val="32"/>
        </w:rPr>
        <w:t>重点发展邮轮经济、游艇经济、近海旅</w:t>
      </w:r>
      <w:r>
        <w:rPr>
          <w:rFonts w:hint="default" w:ascii="Times New Roman" w:hAnsi="Times New Roman" w:eastAsia="仿宋" w:cs="Times New Roman"/>
          <w:sz w:val="32"/>
          <w:szCs w:val="32"/>
        </w:rPr>
        <w:t>游、海岛旅游，全方位提供交通集散、旅游产品、旅游服务等服务功能，打造具有一定知名度、充满生机活力的世界旅游目的地城市。</w:t>
      </w:r>
    </w:p>
    <w:p w14:paraId="27D975D2">
      <w:pPr>
        <w:pStyle w:val="2"/>
        <w:keepNext w:val="0"/>
        <w:keepLines w:val="0"/>
        <w:pageBreakBefore w:val="0"/>
        <w:kinsoku/>
        <w:wordWrap/>
        <w:overflowPunct/>
        <w:autoSpaceDE w:val="0"/>
        <w:autoSpaceDN w:val="0"/>
        <w:bidi w:val="0"/>
        <w:adjustRightInd w:val="0"/>
        <w:spacing w:after="0" w:line="560" w:lineRule="exac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楷体" w:cs="Times New Roman"/>
          <w:b w:val="0"/>
          <w:bCs/>
          <w:kern w:val="2"/>
          <w:sz w:val="32"/>
          <w:szCs w:val="32"/>
          <w:highlight w:val="none"/>
          <w:lang w:val="en-US" w:eastAsia="zh-CN" w:bidi="ar-SA"/>
        </w:rPr>
        <w:t>——健康疗养。</w:t>
      </w:r>
      <w:r>
        <w:rPr>
          <w:rFonts w:hint="default" w:ascii="Times New Roman" w:hAnsi="Times New Roman" w:eastAsia="仿宋" w:cs="Times New Roman"/>
          <w:color w:val="auto"/>
          <w:sz w:val="32"/>
          <w:szCs w:val="32"/>
          <w:lang w:val="en-US" w:eastAsia="zh-CN"/>
        </w:rPr>
        <w:t>按照“大专科小综合”的医院建设理念，引进“大专科”打造区域医疗品牌，靠自办“小综合”满足群众基本医疗需求，打造辐射全国、面向国际的集温泉、医疗、康养为一体生态康养中心。</w:t>
      </w:r>
    </w:p>
    <w:p w14:paraId="379D1A4C">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val="0"/>
          <w:bCs/>
          <w:kern w:val="2"/>
          <w:sz w:val="32"/>
          <w:szCs w:val="32"/>
          <w:highlight w:val="none"/>
          <w:lang w:val="en-US" w:eastAsia="zh-CN" w:bidi="ar-SA"/>
        </w:rPr>
        <w:t>——教育文化。</w:t>
      </w:r>
      <w:r>
        <w:rPr>
          <w:rFonts w:hint="default" w:ascii="Times New Roman" w:hAnsi="Times New Roman" w:eastAsia="仿宋" w:cs="Times New Roman"/>
          <w:sz w:val="32"/>
          <w:szCs w:val="32"/>
        </w:rPr>
        <w:t>加快优质教育资源配置，招引一流院校入驻。挖掘海洋文化、西游文化、陆桥文化、淮盐文化等资源禀赋，提炼城市文化传承基因和文化符号，打造活力教育文化中心。</w:t>
      </w:r>
    </w:p>
    <w:p w14:paraId="5B01F092">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val="0"/>
          <w:bCs/>
          <w:kern w:val="2"/>
          <w:sz w:val="32"/>
          <w:szCs w:val="32"/>
          <w:highlight w:val="none"/>
          <w:lang w:val="en-US" w:eastAsia="zh-CN" w:bidi="ar-SA"/>
        </w:rPr>
        <w:t>——政务中心。</w:t>
      </w:r>
      <w:r>
        <w:rPr>
          <w:rFonts w:hint="default" w:ascii="Times New Roman" w:hAnsi="Times New Roman" w:eastAsia="仿宋" w:cs="Times New Roman"/>
          <w:sz w:val="32"/>
          <w:szCs w:val="32"/>
        </w:rPr>
        <w:t>依托金海商务广场等高端载体，承载行政办公、公共服务、商务配套服务、科技服务、金融服务等功能为重点，着力打造城市行政商务集中区。</w:t>
      </w:r>
    </w:p>
    <w:p w14:paraId="0944E3BD">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val="0"/>
          <w:bCs/>
          <w:kern w:val="2"/>
          <w:sz w:val="32"/>
          <w:szCs w:val="32"/>
          <w:highlight w:val="none"/>
          <w:lang w:val="en-US" w:eastAsia="zh-CN" w:bidi="ar-SA"/>
        </w:rPr>
        <w:t>——品质居住。</w:t>
      </w:r>
      <w:r>
        <w:rPr>
          <w:rFonts w:hint="default" w:ascii="Times New Roman" w:hAnsi="Times New Roman" w:eastAsia="仿宋" w:cs="Times New Roman"/>
          <w:sz w:val="32"/>
          <w:szCs w:val="32"/>
        </w:rPr>
        <w:t>集聚各类现代化服务要素，满足产业发展和居民生活需求，营造良好宜居空间，打造健康绿色、生态环保的品质活力居住区。</w:t>
      </w:r>
    </w:p>
    <w:p w14:paraId="2AF11824">
      <w:pPr>
        <w:keepNext w:val="0"/>
        <w:keepLines w:val="0"/>
        <w:pageBreakBefore w:val="0"/>
        <w:widowControl/>
        <w:kinsoku/>
        <w:wordWrap/>
        <w:overflowPunct/>
        <w:topLinePunct/>
        <w:autoSpaceDE w:val="0"/>
        <w:autoSpaceDN w:val="0"/>
        <w:bidi w:val="0"/>
        <w:adjustRightInd w:val="0"/>
        <w:snapToGrid w:val="0"/>
        <w:spacing w:line="560" w:lineRule="exact"/>
        <w:ind w:firstLine="632" w:firstLineChars="200"/>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楷体" w:cs="Times New Roman"/>
          <w:b w:val="0"/>
          <w:bCs/>
          <w:kern w:val="2"/>
          <w:sz w:val="32"/>
          <w:szCs w:val="32"/>
          <w:highlight w:val="none"/>
          <w:lang w:val="en-US" w:eastAsia="zh-CN" w:bidi="ar-SA"/>
        </w:rPr>
        <w:t>——“一带一路”大数据中心。</w:t>
      </w:r>
      <w:r>
        <w:rPr>
          <w:rFonts w:hint="default" w:ascii="Times New Roman" w:hAnsi="Times New Roman" w:eastAsia="仿宋" w:cs="Times New Roman"/>
          <w:sz w:val="32"/>
          <w:szCs w:val="32"/>
          <w:highlight w:val="none"/>
        </w:rPr>
        <w:t>围绕</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一带一路</w:t>
      </w:r>
      <w:r>
        <w:rPr>
          <w:rFonts w:hint="default" w:ascii="Times New Roman" w:hAnsi="Times New Roman" w:eastAsia="仿宋" w:cs="Times New Roman"/>
          <w:sz w:val="32"/>
          <w:szCs w:val="32"/>
          <w:highlight w:val="none"/>
          <w:lang w:eastAsia="zh-CN"/>
        </w:rPr>
        <w:t>”</w:t>
      </w:r>
      <w:r>
        <w:rPr>
          <w:rFonts w:hint="eastAsia" w:ascii="Times New Roman" w:eastAsia="仿宋" w:cs="Times New Roman"/>
          <w:sz w:val="32"/>
          <w:szCs w:val="32"/>
          <w:highlight w:val="none"/>
          <w:lang w:val="en-US" w:eastAsia="zh-CN"/>
        </w:rPr>
        <w:t>强</w:t>
      </w:r>
      <w:r>
        <w:rPr>
          <w:rFonts w:hint="default" w:ascii="Times New Roman" w:hAnsi="Times New Roman" w:eastAsia="仿宋" w:cs="Times New Roman"/>
          <w:sz w:val="32"/>
          <w:szCs w:val="32"/>
          <w:highlight w:val="none"/>
        </w:rPr>
        <w:t>支点核心区建设，依托核电等电力资源丰富的优势，协调推进移动大数据中心、电信天翼云中心、联通云数据中心等项目建设，培育构建</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3+4+X</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核心业态，打造数据存储、技术研发、应用交易等产业融合发展的大数据产业基地。加快完成商业化运行的管理机构、苏北大数据交易中心、公共技术服务平台的建设，建成以数据分析服务为核心、双创孵化、设备制造和智慧安防为支撑、数据储存加工为基础的</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一带一路</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重要大数据中心。开展与已签署</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丝路电商</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合作机制的国家（地区）的对接和合作，探索安全、便利化贸易供应链的发展模式。</w:t>
      </w:r>
    </w:p>
    <w:p w14:paraId="4A1F6DF1">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4" w:name="_Toc24409"/>
      <w:r>
        <w:rPr>
          <w:rFonts w:hint="default" w:ascii="楷体" w:hAnsi="楷体" w:eastAsia="楷体" w:cs="楷体"/>
          <w:b w:val="0"/>
          <w:bCs w:val="0"/>
          <w:kern w:val="2"/>
          <w:sz w:val="32"/>
          <w:szCs w:val="32"/>
          <w:highlight w:val="none"/>
          <w:lang w:val="en-US" w:eastAsia="zh-CN" w:bidi="ar-SA"/>
        </w:rPr>
        <w:t>第二节  实施路径</w:t>
      </w:r>
      <w:bookmarkEnd w:id="14"/>
    </w:p>
    <w:p w14:paraId="2B936280">
      <w:pPr>
        <w:keepNext w:val="0"/>
        <w:keepLines w:val="0"/>
        <w:pageBreakBefore w:val="0"/>
        <w:widowControl/>
        <w:numPr>
          <w:ilvl w:val="0"/>
          <w:numId w:val="0"/>
        </w:numPr>
        <w:kinsoku/>
        <w:wordWrap/>
        <w:overflowPunct/>
        <w:topLinePunct w:val="0"/>
        <w:autoSpaceDE w:val="0"/>
        <w:autoSpaceDN w:val="0"/>
        <w:bidi w:val="0"/>
        <w:adjustRightInd w:val="0"/>
        <w:snapToGrid/>
        <w:spacing w:line="560" w:lineRule="exact"/>
        <w:ind w:firstLine="632" w:firstLineChars="200"/>
        <w:jc w:val="both"/>
        <w:textAlignment w:val="auto"/>
        <w:outlineLvl w:val="9"/>
        <w:rPr>
          <w:rFonts w:hint="default" w:ascii="Times New Roman" w:hAnsi="Times New Roman" w:eastAsia="仿宋" w:cs="Times New Roman"/>
          <w:kern w:val="0"/>
          <w:sz w:val="32"/>
          <w:szCs w:val="32"/>
        </w:rPr>
      </w:pPr>
      <w:r>
        <w:rPr>
          <w:rFonts w:hint="default" w:ascii="Times New Roman" w:hAnsi="Times New Roman" w:eastAsia="仿宋" w:cs="Times New Roman"/>
          <w:color w:val="000000"/>
          <w:kern w:val="0"/>
          <w:sz w:val="32"/>
          <w:szCs w:val="32"/>
          <w:lang w:val="en-US" w:eastAsia="zh-CN"/>
        </w:rPr>
        <w:t>围绕上述工作重点，连云新城“十四五”期间建设发展实施路径如下：</w:t>
      </w:r>
    </w:p>
    <w:p w14:paraId="0B55F083">
      <w:pPr>
        <w:keepNext w:val="0"/>
        <w:keepLines w:val="0"/>
        <w:pageBreakBefore w:val="0"/>
        <w:widowControl/>
        <w:kinsoku/>
        <w:wordWrap/>
        <w:overflowPunct/>
        <w:bidi w:val="0"/>
        <w:spacing w:line="560" w:lineRule="exact"/>
        <w:ind w:firstLine="632" w:firstLineChars="200"/>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着力提升规划设计水平，全面引领新城高质量发展。</w:t>
      </w:r>
      <w:r>
        <w:rPr>
          <w:rFonts w:hint="default" w:ascii="Times New Roman" w:hAnsi="Times New Roman" w:eastAsia="仿宋" w:cs="Times New Roman"/>
          <w:color w:val="000000"/>
          <w:kern w:val="0"/>
          <w:sz w:val="32"/>
          <w:szCs w:val="32"/>
          <w:highlight w:val="none"/>
          <w:lang w:val="en-US" w:eastAsia="zh-CN"/>
        </w:rPr>
        <w:t>深入贯彻实施市委市政府、区委区政府战略部署，围绕打造城市新中心、江苏外滩发展定位，对标雄安新区标准，高标准优化完善空间规划及概念性设计，塑造独具魅力的海滨城市新形象，全面引领连云新城高质量发展。</w:t>
      </w:r>
      <w:r>
        <w:rPr>
          <w:rFonts w:hint="default" w:ascii="Times New Roman" w:hAnsi="Times New Roman" w:eastAsia="仿宋" w:cs="Times New Roman"/>
          <w:color w:val="000000"/>
          <w:kern w:val="0"/>
          <w:sz w:val="32"/>
          <w:szCs w:val="32"/>
          <w:lang w:val="en-US" w:eastAsia="zh-CN"/>
        </w:rPr>
        <w:t>一是在完成连云新城总体空间概念规划和重点地区城市设计的基础上，积极落实自由贸易试验区总体方案，衔接开发区、连云、港口区块规划设计，统筹交通基础设施和公共配套，推进与自贸区协同发展。二是积极开展连云新城发展战略、空间布局、公共服务、对外交通等专项研究，相关成果纳入市级国土空间总体规划。完成片区控规编制和调整，推进重点项目土地出让。加大新城招商和推介力度，提升新城知名度和影响力。三是加快编制产业发展规划。根据新城规划深化方案和功能布局定位，结合现有产业基础，研究利用自贸试验区政策机遇，加快研究编制新城产业发展规划</w:t>
      </w:r>
      <w:r>
        <w:rPr>
          <w:rFonts w:hint="default" w:ascii="Times New Roman" w:hAnsi="Times New Roman" w:eastAsia="仿宋" w:cs="Times New Roman"/>
          <w:color w:val="000000"/>
          <w:kern w:val="0"/>
          <w:sz w:val="32"/>
          <w:szCs w:val="32"/>
          <w:highlight w:val="none"/>
          <w:lang w:val="en-US" w:eastAsia="zh-CN"/>
        </w:rPr>
        <w:t>。</w:t>
      </w:r>
    </w:p>
    <w:p w14:paraId="2784B531">
      <w:pPr>
        <w:keepNext w:val="0"/>
        <w:keepLines w:val="0"/>
        <w:pageBreakBefore w:val="0"/>
        <w:widowControl/>
        <w:kinsoku/>
        <w:wordWrap/>
        <w:overflowPunct/>
        <w:bidi w:val="0"/>
        <w:spacing w:line="560" w:lineRule="exact"/>
        <w:ind w:firstLine="632" w:firstLineChars="200"/>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着力提升城市建设水平，加快完善综合承载能力。</w:t>
      </w:r>
      <w:r>
        <w:rPr>
          <w:rFonts w:hint="default" w:ascii="Times New Roman" w:hAnsi="Times New Roman" w:eastAsia="仿宋" w:cs="Times New Roman"/>
          <w:kern w:val="0"/>
          <w:sz w:val="32"/>
          <w:szCs w:val="32"/>
          <w:highlight w:val="none"/>
          <w:lang w:val="en-US" w:eastAsia="zh-CN"/>
        </w:rPr>
        <w:t>城市建设事关民生福祉、事关区域竞争力，要进一步提升功能品质，实施精细管理，</w:t>
      </w:r>
      <w:r>
        <w:rPr>
          <w:rFonts w:hint="default" w:ascii="Times New Roman" w:hAnsi="Times New Roman" w:eastAsia="仿宋" w:cs="Times New Roman"/>
          <w:kern w:val="0"/>
          <w:sz w:val="32"/>
          <w:szCs w:val="32"/>
          <w:highlight w:val="none"/>
        </w:rPr>
        <w:t>着力打造产业发展、教育文化、医疗康养、休闲娱乐高地，让项目和人才“招得来、留得住、活得好”，形成产业与城市高度融合、相互依存、相互促进的良性发展格局</w:t>
      </w:r>
      <w:r>
        <w:rPr>
          <w:rFonts w:hint="default" w:ascii="Times New Roman" w:hAnsi="Times New Roman" w:eastAsia="仿宋" w:cs="Times New Roman"/>
          <w:kern w:val="0"/>
          <w:sz w:val="32"/>
          <w:szCs w:val="32"/>
          <w:highlight w:val="none"/>
          <w:lang w:eastAsia="zh-CN"/>
        </w:rPr>
        <w:t>，</w:t>
      </w:r>
      <w:r>
        <w:rPr>
          <w:rFonts w:hint="default" w:ascii="Times New Roman" w:hAnsi="Times New Roman" w:eastAsia="仿宋" w:cs="Times New Roman"/>
          <w:kern w:val="0"/>
          <w:sz w:val="32"/>
          <w:szCs w:val="32"/>
          <w:highlight w:val="none"/>
          <w:lang w:val="en-US" w:eastAsia="zh-CN"/>
        </w:rPr>
        <w:t>完善新城综合承载力</w:t>
      </w:r>
      <w:r>
        <w:rPr>
          <w:rFonts w:hint="default" w:ascii="Times New Roman" w:hAnsi="Times New Roman" w:eastAsia="仿宋" w:cs="Times New Roman"/>
          <w:kern w:val="0"/>
          <w:sz w:val="32"/>
          <w:szCs w:val="32"/>
          <w:highlight w:val="none"/>
        </w:rPr>
        <w:t>。</w:t>
      </w:r>
      <w:r>
        <w:rPr>
          <w:rFonts w:hint="default" w:ascii="Times New Roman" w:hAnsi="Times New Roman" w:eastAsia="仿宋" w:cs="Times New Roman"/>
          <w:color w:val="000000"/>
          <w:kern w:val="0"/>
          <w:sz w:val="32"/>
          <w:szCs w:val="32"/>
          <w:highlight w:val="none"/>
          <w:lang w:val="en-US" w:eastAsia="zh-CN"/>
        </w:rPr>
        <w:t>一是加</w:t>
      </w:r>
      <w:r>
        <w:rPr>
          <w:rFonts w:hint="default" w:ascii="Times New Roman" w:hAnsi="Times New Roman" w:eastAsia="仿宋" w:cs="Times New Roman"/>
          <w:color w:val="000000"/>
          <w:kern w:val="0"/>
          <w:sz w:val="32"/>
          <w:szCs w:val="32"/>
          <w:lang w:val="en-US" w:eastAsia="zh-CN"/>
        </w:rPr>
        <w:t>快重点项目建设。</w:t>
      </w:r>
      <w:r>
        <w:rPr>
          <w:rFonts w:hint="default" w:ascii="Times New Roman" w:hAnsi="Times New Roman" w:eastAsia="仿宋" w:cs="Times New Roman"/>
          <w:color w:val="auto"/>
          <w:kern w:val="0"/>
          <w:sz w:val="32"/>
          <w:szCs w:val="32"/>
          <w:lang w:val="en-US" w:eastAsia="zh-CN" w:bidi="ar-SA"/>
        </w:rPr>
        <w:t>系统保护滨海生态环境，持续推进海滨岸线资源保护工作，保护珍贵的基岩沙滩岸线。重点实施蓝色海湾综合整治、临洪河口湿地公园等工程，推进生态化海堤、生态廊道、人工沙滩等项目，建设“水清、岸绿、滩净、湾美”的蓝色海湾。</w:t>
      </w:r>
      <w:r>
        <w:rPr>
          <w:rFonts w:hint="default" w:ascii="Times New Roman" w:hAnsi="Times New Roman" w:eastAsia="仿宋" w:cs="Times New Roman"/>
          <w:color w:val="auto"/>
          <w:kern w:val="0"/>
          <w:sz w:val="32"/>
          <w:szCs w:val="32"/>
          <w:lang w:val="en-US" w:eastAsia="zh-CN"/>
        </w:rPr>
        <w:t>二是补齐交通基础设施短板。全面完成广州路、鹰游山路等道路提升工程，金海大道二期西延、汇晶路建成使用。</w:t>
      </w:r>
      <w:r>
        <w:rPr>
          <w:rFonts w:hint="default" w:ascii="Times New Roman" w:hAnsi="Times New Roman" w:eastAsia="仿宋" w:cs="Times New Roman"/>
          <w:color w:val="auto"/>
          <w:kern w:val="0"/>
          <w:sz w:val="32"/>
          <w:szCs w:val="32"/>
          <w:lang w:val="en-US" w:eastAsia="zh-CN" w:bidi="ar-SA"/>
        </w:rPr>
        <w:t>构建连云新城与海州区、赣榆区、徐圩新区的快速通道体系，</w:t>
      </w:r>
      <w:r>
        <w:rPr>
          <w:rFonts w:hint="default" w:ascii="Times New Roman" w:hAnsi="Times New Roman" w:eastAsia="仿宋" w:cs="Times New Roman"/>
          <w:color w:val="auto"/>
          <w:kern w:val="0"/>
          <w:sz w:val="32"/>
          <w:szCs w:val="32"/>
          <w:lang w:val="en-US" w:eastAsia="zh-CN"/>
        </w:rPr>
        <w:t>启动新光路北延、建成花果山大道北延，启动大港路主线高架方案研究和新城对外连接赣榆通道研究工</w:t>
      </w:r>
      <w:r>
        <w:rPr>
          <w:rFonts w:hint="default" w:ascii="Times New Roman" w:hAnsi="Times New Roman" w:eastAsia="仿宋" w:cs="Times New Roman"/>
          <w:color w:val="000000"/>
          <w:kern w:val="0"/>
          <w:sz w:val="32"/>
          <w:szCs w:val="32"/>
          <w:lang w:val="en-US" w:eastAsia="zh-CN"/>
        </w:rPr>
        <w:t>作。三是加快完善配套设施建设。苏州外国语连云港校区建设完成，完成新城小学前期手续办理，金海商务广场A1-A4启动建设，科技体验馆项目一期完工，血液病研究所力争招商投用，新城消防救援指挥中心、污水泵站、垃圾转运站加快推进，商业住宅加快建设，配套小学、幼儿园等</w:t>
      </w:r>
      <w:r>
        <w:rPr>
          <w:rFonts w:hint="default" w:ascii="Times New Roman" w:hAnsi="Times New Roman" w:eastAsia="仿宋" w:cs="Times New Roman"/>
          <w:color w:val="000000"/>
          <w:kern w:val="0"/>
          <w:sz w:val="32"/>
          <w:szCs w:val="32"/>
          <w:highlight w:val="none"/>
          <w:lang w:val="en-US" w:eastAsia="zh-CN"/>
        </w:rPr>
        <w:t>同步推进。</w:t>
      </w:r>
    </w:p>
    <w:p w14:paraId="37742B01">
      <w:pPr>
        <w:keepNext w:val="0"/>
        <w:keepLines w:val="0"/>
        <w:pageBreakBefore w:val="0"/>
        <w:widowControl/>
        <w:kinsoku/>
        <w:wordWrap/>
        <w:overflowPunct/>
        <w:bidi w:val="0"/>
        <w:spacing w:line="560" w:lineRule="exact"/>
        <w:ind w:firstLine="632" w:firstLineChars="200"/>
        <w:textAlignment w:val="auto"/>
        <w:outlineLvl w:val="9"/>
        <w:rPr>
          <w:rFonts w:hint="default" w:ascii="Times New Roman" w:hAnsi="Times New Roman" w:eastAsia="仿宋" w:cs="Times New Roman"/>
          <w:kern w:val="0"/>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着力提升产业集聚水平，积极培育新城发展新动能。</w:t>
      </w:r>
      <w:r>
        <w:rPr>
          <w:rFonts w:hint="default" w:ascii="Times New Roman" w:hAnsi="Times New Roman" w:eastAsia="仿宋" w:cs="Times New Roman"/>
          <w:kern w:val="0"/>
          <w:sz w:val="32"/>
          <w:szCs w:val="32"/>
          <w:highlight w:val="none"/>
          <w:lang w:val="en-US" w:eastAsia="zh-CN"/>
        </w:rPr>
        <w:t>抢抓国家自贸试验区等叠加战略机遇，</w:t>
      </w:r>
      <w:r>
        <w:rPr>
          <w:rFonts w:hint="default" w:ascii="Times New Roman" w:hAnsi="Times New Roman" w:eastAsia="仿宋" w:cs="Times New Roman"/>
          <w:kern w:val="0"/>
          <w:sz w:val="32"/>
          <w:szCs w:val="32"/>
          <w:highlight w:val="none"/>
        </w:rPr>
        <w:t>加快产业发展规划</w:t>
      </w:r>
      <w:r>
        <w:rPr>
          <w:rFonts w:hint="default" w:ascii="Times New Roman" w:hAnsi="Times New Roman" w:eastAsia="仿宋" w:cs="Times New Roman"/>
          <w:kern w:val="0"/>
          <w:sz w:val="32"/>
          <w:szCs w:val="32"/>
          <w:highlight w:val="none"/>
          <w:lang w:val="en-US" w:eastAsia="zh-CN"/>
        </w:rPr>
        <w:t>研究</w:t>
      </w:r>
      <w:r>
        <w:rPr>
          <w:rFonts w:hint="default" w:ascii="Times New Roman" w:hAnsi="Times New Roman" w:eastAsia="仿宋" w:cs="Times New Roman"/>
          <w:kern w:val="0"/>
          <w:sz w:val="32"/>
          <w:szCs w:val="32"/>
          <w:highlight w:val="none"/>
        </w:rPr>
        <w:t>编制，系统规划目标路径，带动产业结构优化和质态提升，为全面开启新城高速发展新征程</w:t>
      </w:r>
      <w:r>
        <w:rPr>
          <w:rFonts w:hint="default" w:ascii="Times New Roman" w:hAnsi="Times New Roman" w:eastAsia="仿宋" w:cs="Times New Roman"/>
          <w:kern w:val="0"/>
          <w:sz w:val="32"/>
          <w:szCs w:val="32"/>
          <w:highlight w:val="none"/>
          <w:lang w:eastAsia="zh-CN"/>
        </w:rPr>
        <w:t>，</w:t>
      </w:r>
      <w:r>
        <w:rPr>
          <w:rFonts w:hint="default" w:ascii="Times New Roman" w:hAnsi="Times New Roman" w:eastAsia="仿宋" w:cs="Times New Roman"/>
          <w:kern w:val="0"/>
          <w:sz w:val="32"/>
          <w:szCs w:val="32"/>
          <w:highlight w:val="none"/>
        </w:rPr>
        <w:t>打造全市新的经济增长极，推进高质量发展奠定基础</w:t>
      </w:r>
      <w:r>
        <w:rPr>
          <w:rFonts w:hint="default" w:ascii="Times New Roman" w:hAnsi="Times New Roman" w:eastAsia="仿宋" w:cs="Times New Roman"/>
          <w:kern w:val="0"/>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一是狠抓招商引资工作。依托自由贸易试验区、省级生产性服务业集聚示范区平台，全力推动跨境电商、大数据等现代服务业向连云新城集群集聚。盘活楼宇经济，加强丰惠广场、金海商务广场等商务办公楼招商，引进总部经济、港航物流、大数据等企业入驻。二是加快“一带一路”大数据园核心区建设。加快移动、电信、联通等大数据中心项目建设，充分发挥核电优惠电价优势，全力推进</w:t>
      </w:r>
      <w:r>
        <w:rPr>
          <w:rFonts w:hint="default" w:ascii="Times New Roman" w:hAnsi="Times New Roman" w:eastAsia="仿宋" w:cs="Times New Roman"/>
          <w:color w:val="000000"/>
          <w:kern w:val="0"/>
          <w:sz w:val="32"/>
          <w:szCs w:val="32"/>
          <w:lang w:val="en-US" w:eastAsia="zh-CN"/>
        </w:rPr>
        <w:t>大数据储存、技术研发、应用交易及科研人员“双创”基地等相关延伸产业落地，努力打造全省东部地区的数字中心。三是积极发挥平台集聚效应。抢抓“一带一路”、自贸区、国家东中西合作示范区等平台机遇，突出新城的区位优势，加快提升金融商贸、现代物流、商务会展等服务功能，逐步完善滨海旅游、购物度假、文化休闲、品质居住等生活配套，引导服务产业和优质资源向新城集聚。</w:t>
      </w:r>
      <w:r>
        <w:rPr>
          <w:rFonts w:hint="default" w:ascii="Times New Roman" w:hAnsi="Times New Roman" w:eastAsia="仿宋" w:cs="Times New Roman"/>
          <w:kern w:val="0"/>
          <w:sz w:val="32"/>
          <w:szCs w:val="32"/>
          <w:lang w:val="en-US" w:eastAsia="zh-CN"/>
        </w:rPr>
        <w:t xml:space="preserve"> </w:t>
      </w:r>
    </w:p>
    <w:p w14:paraId="50F5E42A">
      <w:pPr>
        <w:keepNext w:val="0"/>
        <w:keepLines w:val="0"/>
        <w:pageBreakBefore w:val="0"/>
        <w:widowControl/>
        <w:kinsoku/>
        <w:wordWrap/>
        <w:overflowPunct/>
        <w:bidi w:val="0"/>
        <w:spacing w:line="560" w:lineRule="exact"/>
        <w:ind w:firstLine="632" w:firstLineChars="200"/>
        <w:textAlignment w:val="auto"/>
        <w:outlineLvl w:val="9"/>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楷体" w:cs="Times New Roman"/>
          <w:b w:val="0"/>
          <w:bCs/>
          <w:kern w:val="2"/>
          <w:sz w:val="32"/>
          <w:szCs w:val="32"/>
          <w:highlight w:val="none"/>
          <w:lang w:val="en-US" w:eastAsia="zh-CN" w:bidi="ar-SA"/>
        </w:rPr>
        <w:t>着力提升管理服务水平，持续优化新城营商环境。</w:t>
      </w:r>
      <w:r>
        <w:rPr>
          <w:rFonts w:hint="default" w:ascii="Times New Roman" w:hAnsi="Times New Roman" w:eastAsia="仿宋" w:cs="Times New Roman"/>
          <w:color w:val="000000"/>
          <w:kern w:val="0"/>
          <w:sz w:val="32"/>
          <w:szCs w:val="32"/>
          <w:highlight w:val="none"/>
          <w:lang w:val="en-US" w:eastAsia="zh-CN"/>
        </w:rPr>
        <w:t>瞄准市场主体反映的突出问题，全力优服务、推改革、促开放，打造一流的营商环境，助推更高质量的招商引资，蓄积强大动能。一是强化城市管理运营。积极推进连云区政府在新城范围内全面行使社会管理职能。深入思考谋划城市功能塑造，推进行政、商务、文化、教育等资源载体优先布局新城，引进大型商业综合体，不断集聚新城人气。二是加快智慧</w:t>
      </w:r>
      <w:r>
        <w:rPr>
          <w:rFonts w:hint="default" w:ascii="Times New Roman" w:hAnsi="Times New Roman" w:eastAsia="仿宋" w:cs="Times New Roman"/>
          <w:color w:val="000000"/>
          <w:kern w:val="0"/>
          <w:sz w:val="32"/>
          <w:szCs w:val="32"/>
          <w:lang w:val="en-US" w:eastAsia="zh-CN"/>
        </w:rPr>
        <w:t>城市建设，推动5G智慧城市、互联网、物联网及人工智能等技术应用。进一步优化公交线路，实现重要站点全覆盖，初步形成新城公交体系微循环。三是复制推广自贸区经验。主动承接自贸试验区溢出效应，加强制度创新对接、功能载体对接、产业项目对接，探索适宜新城发</w:t>
      </w:r>
      <w:r>
        <w:rPr>
          <w:rFonts w:hint="default" w:ascii="Times New Roman" w:hAnsi="Times New Roman" w:eastAsia="仿宋" w:cs="Times New Roman"/>
          <w:color w:val="000000"/>
          <w:kern w:val="0"/>
          <w:sz w:val="32"/>
          <w:szCs w:val="32"/>
          <w:highlight w:val="none"/>
          <w:lang w:val="en-US" w:eastAsia="zh-CN"/>
        </w:rPr>
        <w:t>展的特色机制，持续优化服务软硬环境。</w:t>
      </w:r>
    </w:p>
    <w:p w14:paraId="089B44BF">
      <w:pPr>
        <w:keepNext w:val="0"/>
        <w:keepLines w:val="0"/>
        <w:pageBreakBefore w:val="0"/>
        <w:widowControl/>
        <w:kinsoku/>
        <w:wordWrap/>
        <w:overflowPunct/>
        <w:bidi w:val="0"/>
        <w:spacing w:line="560" w:lineRule="exact"/>
        <w:ind w:firstLine="632" w:firstLineChars="200"/>
        <w:textAlignment w:val="auto"/>
        <w:outlineLvl w:val="9"/>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楷体" w:cs="Times New Roman"/>
          <w:b w:val="0"/>
          <w:bCs/>
          <w:kern w:val="2"/>
          <w:sz w:val="32"/>
          <w:szCs w:val="32"/>
          <w:highlight w:val="none"/>
          <w:lang w:val="en-US" w:eastAsia="zh-CN" w:bidi="ar-SA"/>
        </w:rPr>
        <w:t>着力提升绿色发展水平，加快打造品质宜居新城。</w:t>
      </w:r>
      <w:r>
        <w:rPr>
          <w:rFonts w:hint="default" w:ascii="Times New Roman" w:hAnsi="Times New Roman" w:eastAsia="仿宋" w:cs="Times New Roman"/>
          <w:color w:val="000000"/>
          <w:kern w:val="0"/>
          <w:sz w:val="32"/>
          <w:szCs w:val="32"/>
          <w:highlight w:val="none"/>
          <w:lang w:val="en-US" w:eastAsia="zh-CN"/>
        </w:rPr>
        <w:t>树牢绿色发展理念，坚持生态优先、绿色发展，把保护生态环境放在更加突出的位置，塑造“青山环绕、湖融城中、海在窗外、绿涌门前”的绿色空间形态，将连云新城建成山水交汇、蓝绿交织的生态宜居城市。一是强化环境综合整治。积极践行“两山理论”，加强绿化美化，全面提升新城生态环境质量。加快新城河道治理，解决部分河道淤积、垃圾漂浮等突出问题。二是优化提升新城环</w:t>
      </w:r>
      <w:r>
        <w:rPr>
          <w:rFonts w:hint="default" w:ascii="Times New Roman" w:hAnsi="Times New Roman" w:eastAsia="仿宋" w:cs="Times New Roman"/>
          <w:color w:val="auto"/>
          <w:kern w:val="0"/>
          <w:sz w:val="32"/>
          <w:szCs w:val="32"/>
          <w:highlight w:val="none"/>
          <w:lang w:val="en-US" w:eastAsia="zh-CN"/>
        </w:rPr>
        <w:t>境。</w:t>
      </w:r>
      <w:r>
        <w:rPr>
          <w:rFonts w:hint="default" w:ascii="Times New Roman" w:hAnsi="Times New Roman" w:eastAsia="仿宋" w:cs="Times New Roman"/>
          <w:strike w:val="0"/>
          <w:dstrike w:val="0"/>
          <w:color w:val="auto"/>
          <w:kern w:val="0"/>
          <w:sz w:val="32"/>
          <w:szCs w:val="32"/>
          <w:highlight w:val="none"/>
          <w:lang w:val="en-US" w:eastAsia="zh-CN" w:bidi="ar-SA"/>
        </w:rPr>
        <w:t>塑造海滨特色城区，构筑高品质的、人民群众满意的幸福海滨宜居新城，</w:t>
      </w:r>
      <w:r>
        <w:rPr>
          <w:rFonts w:hint="default" w:ascii="Times New Roman" w:hAnsi="Times New Roman" w:eastAsia="仿宋" w:cs="Times New Roman"/>
          <w:color w:val="auto"/>
          <w:sz w:val="32"/>
          <w:szCs w:val="32"/>
          <w:highlight w:val="none"/>
        </w:rPr>
        <w:t>重点实施蓝色海湾综合整治、临洪河口湿地公园等工程，推进生态化海堤、生态廊道、人工沙滩等</w:t>
      </w:r>
      <w:r>
        <w:rPr>
          <w:rFonts w:hint="default" w:ascii="Times New Roman" w:hAnsi="Times New Roman" w:eastAsia="仿宋" w:cs="Times New Roman"/>
          <w:color w:val="auto"/>
          <w:sz w:val="32"/>
          <w:szCs w:val="32"/>
          <w:highlight w:val="none"/>
          <w:lang w:val="en-US" w:eastAsia="zh-CN"/>
        </w:rPr>
        <w:t>项目</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建设</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水清、岸绿、滩净、湾美</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的蓝色海湾</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color w:val="000000"/>
          <w:kern w:val="0"/>
          <w:sz w:val="32"/>
          <w:szCs w:val="32"/>
          <w:highlight w:val="none"/>
          <w:lang w:val="en-US" w:eastAsia="zh-CN"/>
        </w:rPr>
        <w:t>全面推进海岸线整治修复行动；</w:t>
      </w:r>
      <w:r>
        <w:rPr>
          <w:rFonts w:hint="default" w:ascii="Times New Roman" w:hAnsi="Times New Roman" w:eastAsia="仿宋" w:cs="Times New Roman"/>
          <w:color w:val="000000"/>
          <w:kern w:val="0"/>
          <w:sz w:val="32"/>
          <w:szCs w:val="32"/>
          <w:lang w:val="en-US" w:eastAsia="zh-CN"/>
        </w:rPr>
        <w:t>重点推动碱渣池综合治理和碱厂搬迁工作，不断改善新城宜居环境。三是加快海滨旅游发展。结合滨海空间、山水资源和旅游资源，加快打造魅力滨海游步道、自行车道，串联北固山、海滨大道、蓝色海湾和临洪湿地公园等，形成城市新中心独具特色的慢行方式。</w:t>
      </w:r>
    </w:p>
    <w:p w14:paraId="36A9551D">
      <w:pPr>
        <w:keepNext w:val="0"/>
        <w:keepLines w:val="0"/>
        <w:pageBreakBefore w:val="0"/>
        <w:widowControl/>
        <w:numPr>
          <w:ilvl w:val="0"/>
          <w:numId w:val="0"/>
        </w:numPr>
        <w:suppressLineNumbers w:val="0"/>
        <w:kinsoku/>
        <w:wordWrap/>
        <w:overflowPunct/>
        <w:autoSpaceDE w:val="0"/>
        <w:autoSpaceDN w:val="0"/>
        <w:bidi w:val="0"/>
        <w:adjustRightInd w:val="0"/>
        <w:spacing w:line="560" w:lineRule="exact"/>
        <w:jc w:val="center"/>
        <w:textAlignment w:val="auto"/>
        <w:rPr>
          <w:rFonts w:hint="default" w:ascii="Times New Roman" w:hAnsi="Times New Roman" w:eastAsia="仿宋" w:cs="Times New Roman"/>
          <w:b/>
          <w:bCs/>
          <w:kern w:val="44"/>
          <w:sz w:val="32"/>
          <w:szCs w:val="32"/>
          <w:highlight w:val="none"/>
          <w:lang w:val="en-US" w:eastAsia="zh-CN" w:bidi="ar-SA"/>
        </w:rPr>
      </w:pPr>
    </w:p>
    <w:p w14:paraId="60B83DCA">
      <w:pPr>
        <w:pStyle w:val="5"/>
        <w:keepNext w:val="0"/>
        <w:keepLines w:val="0"/>
        <w:pageBreakBefore w:val="0"/>
        <w:kinsoku/>
        <w:wordWrap/>
        <w:overflowPunct/>
        <w:bidi w:val="0"/>
        <w:spacing w:line="560" w:lineRule="exact"/>
        <w:textAlignment w:val="auto"/>
        <w:rPr>
          <w:rFonts w:hint="default" w:ascii="Times New Roman" w:hAnsi="Times New Roman" w:eastAsia="仿宋" w:cs="Times New Roman"/>
          <w:b/>
          <w:bCs/>
          <w:kern w:val="44"/>
          <w:sz w:val="32"/>
          <w:szCs w:val="32"/>
          <w:highlight w:val="none"/>
          <w:lang w:val="en-US" w:eastAsia="zh-CN" w:bidi="ar-SA"/>
        </w:rPr>
      </w:pPr>
    </w:p>
    <w:p w14:paraId="0CADE0BD">
      <w:pPr>
        <w:rPr>
          <w:rFonts w:hint="default"/>
          <w:lang w:val="en-US" w:eastAsia="zh-CN"/>
        </w:rPr>
      </w:pPr>
    </w:p>
    <w:p w14:paraId="392B4456">
      <w:pPr>
        <w:keepNext w:val="0"/>
        <w:keepLines w:val="0"/>
        <w:pageBreakBefore w:val="0"/>
        <w:kinsoku/>
        <w:wordWrap/>
        <w:overflowPunct/>
        <w:bidi w:val="0"/>
        <w:spacing w:line="560" w:lineRule="exact"/>
        <w:textAlignment w:val="auto"/>
        <w:rPr>
          <w:rFonts w:hint="default" w:ascii="Times New Roman" w:hAnsi="Times New Roman" w:eastAsia="仿宋" w:cs="Times New Roman"/>
          <w:b/>
          <w:bCs/>
          <w:kern w:val="44"/>
          <w:sz w:val="32"/>
          <w:szCs w:val="32"/>
          <w:highlight w:val="none"/>
          <w:lang w:val="en-US" w:eastAsia="zh-CN" w:bidi="ar-SA"/>
        </w:rPr>
      </w:pPr>
    </w:p>
    <w:p w14:paraId="2E792FE9">
      <w:pPr>
        <w:pStyle w:val="2"/>
        <w:keepNext w:val="0"/>
        <w:keepLines w:val="0"/>
        <w:pageBreakBefore w:val="0"/>
        <w:kinsoku/>
        <w:wordWrap/>
        <w:overflowPunct/>
        <w:bidi w:val="0"/>
        <w:spacing w:line="560" w:lineRule="exact"/>
        <w:textAlignment w:val="auto"/>
        <w:rPr>
          <w:rFonts w:hint="default" w:ascii="Times New Roman" w:hAnsi="Times New Roman" w:eastAsia="仿宋" w:cs="Times New Roman"/>
          <w:b/>
          <w:bCs/>
          <w:kern w:val="44"/>
          <w:sz w:val="32"/>
          <w:szCs w:val="32"/>
          <w:highlight w:val="none"/>
          <w:lang w:val="en-US" w:eastAsia="zh-CN" w:bidi="ar-SA"/>
        </w:rPr>
      </w:pPr>
    </w:p>
    <w:p w14:paraId="3E6195BE">
      <w:pPr>
        <w:keepNext w:val="0"/>
        <w:keepLines w:val="0"/>
        <w:pageBreakBefore w:val="0"/>
        <w:kinsoku/>
        <w:wordWrap/>
        <w:overflowPunct/>
        <w:bidi w:val="0"/>
        <w:spacing w:line="560" w:lineRule="exact"/>
        <w:textAlignment w:val="auto"/>
        <w:rPr>
          <w:rFonts w:hint="default" w:ascii="Times New Roman" w:hAnsi="Times New Roman" w:eastAsia="仿宋" w:cs="Times New Roman"/>
          <w:b/>
          <w:bCs/>
          <w:kern w:val="44"/>
          <w:sz w:val="32"/>
          <w:szCs w:val="32"/>
          <w:highlight w:val="none"/>
          <w:lang w:val="en-US" w:eastAsia="zh-CN" w:bidi="ar-SA"/>
        </w:rPr>
      </w:pPr>
    </w:p>
    <w:p w14:paraId="1BA3C054">
      <w:pPr>
        <w:autoSpaceDE/>
        <w:autoSpaceDN/>
        <w:adjustRightInd/>
        <w:spacing w:line="540" w:lineRule="exact"/>
        <w:ind w:firstLine="0"/>
        <w:jc w:val="center"/>
        <w:rPr>
          <w:rFonts w:hint="default" w:ascii="Times New Roman" w:hAnsi="Times New Roman" w:eastAsia="方正小标宋_GBK" w:cs="Times New Roman"/>
          <w:kern w:val="2"/>
          <w:sz w:val="44"/>
          <w:szCs w:val="44"/>
          <w:lang w:val="en-US" w:eastAsia="zh-CN"/>
        </w:rPr>
      </w:pPr>
      <w:bookmarkStart w:id="15" w:name="_Toc4645"/>
      <w:r>
        <w:rPr>
          <w:rFonts w:hint="default" w:ascii="Times New Roman" w:hAnsi="Times New Roman" w:eastAsia="方正小标宋_GBK" w:cs="Times New Roman"/>
          <w:kern w:val="2"/>
          <w:sz w:val="44"/>
          <w:szCs w:val="44"/>
          <w:lang w:val="en-US" w:eastAsia="zh-CN"/>
        </w:rPr>
        <w:t>第四章  规划实施保障</w:t>
      </w:r>
      <w:bookmarkEnd w:id="15"/>
    </w:p>
    <w:p w14:paraId="6D7879A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color w:val="000000"/>
          <w:sz w:val="32"/>
          <w:szCs w:val="32"/>
        </w:rPr>
      </w:pPr>
    </w:p>
    <w:p w14:paraId="2B3716C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sz w:val="32"/>
          <w:szCs w:val="32"/>
          <w:highlight w:val="none"/>
        </w:rPr>
        <w:t>充分发挥规划纲要对</w:t>
      </w:r>
      <w:r>
        <w:rPr>
          <w:rFonts w:hint="default" w:ascii="Times New Roman" w:hAnsi="Times New Roman" w:eastAsia="仿宋" w:cs="Times New Roman"/>
          <w:sz w:val="32"/>
          <w:szCs w:val="32"/>
          <w:highlight w:val="none"/>
          <w:lang w:val="en-US" w:eastAsia="zh-CN"/>
        </w:rPr>
        <w:t>连云新城建设</w:t>
      </w:r>
      <w:r>
        <w:rPr>
          <w:rFonts w:hint="default" w:ascii="Times New Roman" w:hAnsi="Times New Roman" w:eastAsia="仿宋" w:cs="Times New Roman"/>
          <w:sz w:val="32"/>
          <w:szCs w:val="32"/>
          <w:highlight w:val="none"/>
        </w:rPr>
        <w:t>发展的引领作用，强化规划统领性和约束性，注重改革创新，进一步完善规划落实的管理体制，坚持协调发展，着力增强发展整体性与协调性，</w:t>
      </w:r>
      <w:r>
        <w:rPr>
          <w:rFonts w:hint="default" w:ascii="Times New Roman" w:hAnsi="Times New Roman" w:eastAsia="仿宋" w:cs="Times New Roman"/>
          <w:color w:val="000000"/>
          <w:sz w:val="32"/>
          <w:szCs w:val="32"/>
          <w:lang w:val="en-US" w:eastAsia="zh-CN"/>
        </w:rPr>
        <w:t>汇聚要素资源，凝聚各方力量，推动和保障顺利实现连云新城“十四五”时期建设目标，为建设连云港城市新中心努力奋斗。</w:t>
      </w:r>
    </w:p>
    <w:p w14:paraId="22A73484">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6" w:name="_Toc12771"/>
      <w:r>
        <w:rPr>
          <w:rFonts w:hint="default" w:ascii="楷体" w:hAnsi="楷体" w:eastAsia="楷体" w:cs="楷体"/>
          <w:b w:val="0"/>
          <w:bCs w:val="0"/>
          <w:kern w:val="2"/>
          <w:sz w:val="32"/>
          <w:szCs w:val="32"/>
          <w:highlight w:val="none"/>
          <w:lang w:val="en-US" w:eastAsia="zh-CN" w:bidi="ar-SA"/>
        </w:rPr>
        <w:t>第一节  坚持和加强党的领导</w:t>
      </w:r>
      <w:bookmarkEnd w:id="16"/>
    </w:p>
    <w:p w14:paraId="498FFA8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全面贯彻落实习近平新时代中国特色社会主义思想，坚决贯彻党的基本理论、基本路线、基本方略，在增强“四个意识”、坚定“四个自信”、做到“两个维护”上重行重效，在贯彻党中央决策部署上到底到位，把党的领导始终贯彻“十四五”规划编制实施各领域全过程。要在党中央集中统一领导下，动员组织各级各方面力量真抓实干，把党中央各项决策部署落到实处。要按照规划确定的各项目标举措，结合实际，明确时间表、任务书、优先序，把发展任务分解到部门、具体到项目、落实到岗位，深入推进审计全覆盖，以扎实行动和务实作风推动各项任务举措落地见效。</w:t>
      </w:r>
    </w:p>
    <w:p w14:paraId="478BAB96">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7" w:name="_Toc11512"/>
      <w:r>
        <w:rPr>
          <w:rFonts w:hint="default" w:ascii="楷体" w:hAnsi="楷体" w:eastAsia="楷体" w:cs="楷体"/>
          <w:b w:val="0"/>
          <w:bCs w:val="0"/>
          <w:kern w:val="2"/>
          <w:sz w:val="32"/>
          <w:szCs w:val="32"/>
          <w:highlight w:val="none"/>
          <w:lang w:val="en-US" w:eastAsia="zh-CN" w:bidi="ar-SA"/>
        </w:rPr>
        <w:t>第二节  完善规划实施机制</w:t>
      </w:r>
      <w:bookmarkEnd w:id="17"/>
    </w:p>
    <w:p w14:paraId="4CF04F99">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32" w:firstLineChars="20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推进任务分解落实，把《连云新城“十四五”时期建设专项规划》确定的重要指标、重点任务、重点项目分解落实到相关责任单位及部门，明确时序要求。同时，每年将规划确定的重要指标、重点任务、重点项目分解纳入连云新城年度发展计划、区、市重点项目年度计划滚动实施。推进政策协同，坚持规划定方向、财政作保障、金融为支撑、其他政策相协调，全面整合优化各类资源配置，推动“项目跟着规划走、资金要素跟着项目走”，有力保障规划实施。</w:t>
      </w:r>
      <w:r>
        <w:rPr>
          <w:rFonts w:hint="default" w:ascii="Times New Roman" w:hAnsi="Times New Roman" w:eastAsia="仿宋" w:cs="Times New Roman"/>
          <w:b w:val="0"/>
          <w:bCs w:val="0"/>
          <w:sz w:val="32"/>
          <w:szCs w:val="32"/>
          <w:highlight w:val="none"/>
          <w:lang w:val="en-US" w:eastAsia="zh-CN"/>
        </w:rPr>
        <w:t>健全实施全过程评估机制，</w:t>
      </w:r>
      <w:r>
        <w:rPr>
          <w:rFonts w:hint="default" w:ascii="Times New Roman" w:hAnsi="Times New Roman" w:eastAsia="仿宋" w:cs="Times New Roman"/>
          <w:sz w:val="32"/>
          <w:szCs w:val="32"/>
          <w:highlight w:val="none"/>
          <w:lang w:val="en-US" w:eastAsia="zh-CN"/>
        </w:rPr>
        <w:t>将完善《连云新城“十四五”时期建设专项规划》实施“年度监测—中期评估—总结评估”制，将监测评估结果作为改进工作的重要依据。</w:t>
      </w:r>
    </w:p>
    <w:p w14:paraId="517761AB">
      <w:pPr>
        <w:pStyle w:val="5"/>
        <w:keepNext w:val="0"/>
        <w:keepLines w:val="0"/>
        <w:pageBreakBefore w:val="0"/>
        <w:widowControl/>
        <w:numPr>
          <w:ilvl w:val="0"/>
          <w:numId w:val="0"/>
        </w:numPr>
        <w:kinsoku/>
        <w:wordWrap/>
        <w:overflowPunct/>
        <w:topLinePunct w:val="0"/>
        <w:autoSpaceDE w:val="0"/>
        <w:autoSpaceDN w:val="0"/>
        <w:bidi w:val="0"/>
        <w:adjustRightInd w:val="0"/>
        <w:snapToGrid/>
        <w:spacing w:before="157" w:beforeLines="50" w:after="157" w:afterLines="50" w:line="560" w:lineRule="exact"/>
        <w:jc w:val="center"/>
        <w:textAlignment w:val="auto"/>
        <w:outlineLvl w:val="1"/>
        <w:rPr>
          <w:rFonts w:hint="default" w:ascii="楷体" w:hAnsi="楷体" w:eastAsia="楷体" w:cs="楷体"/>
          <w:b w:val="0"/>
          <w:bCs w:val="0"/>
          <w:kern w:val="2"/>
          <w:sz w:val="32"/>
          <w:szCs w:val="32"/>
          <w:highlight w:val="none"/>
          <w:lang w:val="en-US" w:eastAsia="zh-CN" w:bidi="ar-SA"/>
        </w:rPr>
      </w:pPr>
      <w:bookmarkStart w:id="18" w:name="_Toc25793"/>
      <w:r>
        <w:rPr>
          <w:rFonts w:hint="default" w:ascii="楷体" w:hAnsi="楷体" w:eastAsia="楷体" w:cs="楷体"/>
          <w:b w:val="0"/>
          <w:bCs w:val="0"/>
          <w:kern w:val="2"/>
          <w:sz w:val="32"/>
          <w:szCs w:val="32"/>
          <w:highlight w:val="none"/>
          <w:lang w:val="en-US" w:eastAsia="zh-CN" w:bidi="ar-SA"/>
        </w:rPr>
        <w:t>第三节  完善监督考核机制</w:t>
      </w:r>
      <w:bookmarkEnd w:id="18"/>
    </w:p>
    <w:p w14:paraId="2A0DF9D2">
      <w:pPr>
        <w:keepNext w:val="0"/>
        <w:keepLines w:val="0"/>
        <w:pageBreakBefore w:val="0"/>
        <w:widowControl w:val="0"/>
        <w:kinsoku/>
        <w:wordWrap/>
        <w:overflowPunct/>
        <w:topLinePunct w:val="0"/>
        <w:bidi w:val="0"/>
        <w:snapToGrid w:val="0"/>
        <w:spacing w:line="560" w:lineRule="exact"/>
        <w:ind w:firstLine="640" w:firstLineChars="0"/>
        <w:jc w:val="both"/>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b w:val="0"/>
          <w:bCs w:val="0"/>
          <w:kern w:val="0"/>
          <w:sz w:val="32"/>
          <w:szCs w:val="32"/>
          <w:highlight w:val="none"/>
          <w:lang w:val="en-US" w:eastAsia="zh-CN" w:bidi="ar"/>
        </w:rPr>
        <w:t>加强规划实施监督，</w:t>
      </w:r>
      <w:r>
        <w:rPr>
          <w:rFonts w:hint="default" w:ascii="Times New Roman" w:hAnsi="Times New Roman" w:eastAsia="仿宋" w:cs="Times New Roman"/>
          <w:sz w:val="32"/>
          <w:szCs w:val="32"/>
          <w:highlight w:val="none"/>
        </w:rPr>
        <w:t>建立</w:t>
      </w:r>
      <w:r>
        <w:rPr>
          <w:rFonts w:hint="default" w:ascii="Times New Roman" w:hAnsi="Times New Roman" w:eastAsia="仿宋" w:cs="Times New Roman"/>
          <w:sz w:val="32"/>
          <w:szCs w:val="32"/>
          <w:highlight w:val="none"/>
          <w:lang w:val="en-US" w:eastAsia="zh-CN"/>
        </w:rPr>
        <w:t>《连云新城“十四五”时期建设专项规划》</w:t>
      </w:r>
      <w:r>
        <w:rPr>
          <w:rFonts w:hint="default" w:ascii="Times New Roman" w:hAnsi="Times New Roman" w:eastAsia="仿宋" w:cs="Times New Roman"/>
          <w:sz w:val="32"/>
          <w:szCs w:val="32"/>
          <w:highlight w:val="none"/>
        </w:rPr>
        <w:t>实施监督考核机制，由相关部门组成考核组，分年度和中期对</w:t>
      </w:r>
      <w:r>
        <w:rPr>
          <w:rFonts w:hint="default" w:ascii="Times New Roman" w:hAnsi="Times New Roman" w:eastAsia="仿宋" w:cs="Times New Roman"/>
          <w:sz w:val="32"/>
          <w:szCs w:val="32"/>
          <w:highlight w:val="none"/>
          <w:lang w:val="en-US" w:eastAsia="zh-CN"/>
        </w:rPr>
        <w:t>专项规划</w:t>
      </w:r>
      <w:r>
        <w:rPr>
          <w:rFonts w:hint="default" w:ascii="Times New Roman" w:hAnsi="Times New Roman" w:eastAsia="仿宋" w:cs="Times New Roman"/>
          <w:sz w:val="32"/>
          <w:szCs w:val="32"/>
          <w:highlight w:val="none"/>
        </w:rPr>
        <w:t>实施情况进行检查和评估，及时总结经验，及时发现问题并提出意见和建议。自觉接受群众对纲要实施的监督检查，提高公众参与程度，共同推进纲要的落实</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b w:val="0"/>
          <w:bCs w:val="0"/>
          <w:kern w:val="0"/>
          <w:sz w:val="32"/>
          <w:szCs w:val="32"/>
          <w:highlight w:val="none"/>
          <w:lang w:val="en-US" w:eastAsia="zh-CN" w:bidi="ar"/>
        </w:rPr>
        <w:t>广泛凝聚社会合力，</w:t>
      </w:r>
      <w:r>
        <w:rPr>
          <w:rFonts w:hint="default" w:ascii="Times New Roman" w:hAnsi="Times New Roman" w:eastAsia="仿宋" w:cs="Times New Roman"/>
          <w:sz w:val="32"/>
          <w:szCs w:val="32"/>
          <w:highlight w:val="none"/>
        </w:rPr>
        <w:t>始终坚持以人民为中心的发展思想，开门问策、集思广益，引导社会力量有序规范地参与社会治理，健全专家咨询论证制度，形成规范化的规划决策咨询机制。</w:t>
      </w:r>
    </w:p>
    <w:p w14:paraId="378AD712">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default" w:ascii="Times New Roman" w:hAnsi="Times New Roman" w:eastAsia="仿宋" w:cs="Times New Roman"/>
          <w:sz w:val="32"/>
          <w:szCs w:val="32"/>
          <w:highlight w:val="none"/>
          <w:lang w:val="en-US" w:eastAsia="zh-CN"/>
        </w:rPr>
      </w:pPr>
    </w:p>
    <w:sectPr>
      <w:footerReference r:id="rId7" w:type="default"/>
      <w:pgSz w:w="11906" w:h="16838"/>
      <w:pgMar w:top="2098" w:right="1474" w:bottom="1531" w:left="1587" w:header="851" w:footer="992" w:gutter="0"/>
      <w:pgNumType w:fmt="numberInDash"/>
      <w:cols w:space="0" w:num="1"/>
      <w:rtlGutter w:val="0"/>
      <w:docGrid w:type="linesAndChars" w:linePitch="600"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CA83F">
    <w:pPr>
      <w:pStyle w:val="7"/>
      <w:jc w:val="center"/>
    </w:pPr>
  </w:p>
  <w:p w14:paraId="69B17A6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6AD2B">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C5D90">
                          <w:pPr>
                            <w:pStyle w:val="7"/>
                            <w:keepNext w:val="0"/>
                            <w:keepLines w:val="0"/>
                            <w:pageBreakBefore w:val="0"/>
                            <w:widowControl w:val="0"/>
                            <w:kinsoku/>
                            <w:wordWrap/>
                            <w:overflowPunct/>
                            <w:topLinePunct w:val="0"/>
                            <w:autoSpaceDE w:val="0"/>
                            <w:autoSpaceDN w:val="0"/>
                            <w:bidi w:val="0"/>
                            <w:adjustRightInd w:val="0"/>
                            <w:snapToGrid w:val="0"/>
                            <w:ind w:left="320" w:leftChars="100" w:right="320" w:rightChars="100" w:firstLine="0"/>
                            <w:textAlignment w:val="auto"/>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BC5D90">
                    <w:pPr>
                      <w:pStyle w:val="7"/>
                      <w:keepNext w:val="0"/>
                      <w:keepLines w:val="0"/>
                      <w:pageBreakBefore w:val="0"/>
                      <w:widowControl w:val="0"/>
                      <w:kinsoku/>
                      <w:wordWrap/>
                      <w:overflowPunct/>
                      <w:topLinePunct w:val="0"/>
                      <w:autoSpaceDE w:val="0"/>
                      <w:autoSpaceDN w:val="0"/>
                      <w:bidi w:val="0"/>
                      <w:adjustRightInd w:val="0"/>
                      <w:snapToGrid w:val="0"/>
                      <w:ind w:left="320" w:leftChars="100" w:right="320" w:rightChars="100" w:firstLine="0"/>
                      <w:textAlignment w:val="auto"/>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p w14:paraId="7C54808F">
    <w:pPr>
      <w:pStyle w:val="7"/>
      <w:tabs>
        <w:tab w:val="left" w:pos="3458"/>
        <w:tab w:val="clear" w:pos="4153"/>
      </w:tabs>
      <w:rPr>
        <w:rFonts w:hint="eastAsia" w:eastAsia="仿宋_GB2312"/>
        <w:lang w:eastAsia="zh-CN"/>
      </w:rPr>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3BF13">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7249C">
                          <w:pPr>
                            <w:pStyle w:val="7"/>
                            <w:keepNext w:val="0"/>
                            <w:keepLines w:val="0"/>
                            <w:pageBreakBefore w:val="0"/>
                            <w:widowControl w:val="0"/>
                            <w:kinsoku/>
                            <w:wordWrap/>
                            <w:overflowPunct/>
                            <w:topLinePunct w:val="0"/>
                            <w:autoSpaceDE w:val="0"/>
                            <w:autoSpaceDN w:val="0"/>
                            <w:bidi w:val="0"/>
                            <w:adjustRightInd w:val="0"/>
                            <w:snapToGrid w:val="0"/>
                            <w:ind w:left="320" w:leftChars="100" w:right="320" w:rightChars="100" w:firstLine="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A7249C">
                    <w:pPr>
                      <w:pStyle w:val="7"/>
                      <w:keepNext w:val="0"/>
                      <w:keepLines w:val="0"/>
                      <w:pageBreakBefore w:val="0"/>
                      <w:widowControl w:val="0"/>
                      <w:kinsoku/>
                      <w:wordWrap/>
                      <w:overflowPunct/>
                      <w:topLinePunct w:val="0"/>
                      <w:autoSpaceDE w:val="0"/>
                      <w:autoSpaceDN w:val="0"/>
                      <w:bidi w:val="0"/>
                      <w:adjustRightInd w:val="0"/>
                      <w:snapToGrid w:val="0"/>
                      <w:ind w:left="320" w:leftChars="100" w:right="320" w:rightChars="100" w:firstLine="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p w14:paraId="0AF1B03A">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bordersDoNotSurroundHeader w:val="0"/>
  <w:bordersDoNotSurroundFooter w:val="0"/>
  <w:documentProtection w:enforcement="0"/>
  <w:defaultTabStop w:val="420"/>
  <w:hyphenationZone w:val="360"/>
  <w:drawingGridHorizontalSpacing w:val="158"/>
  <w:drawingGridVerticalSpacing w:val="30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TYxMDM5NDMwZmFlNWFkNmMyYzBjZGZjN2ZmNjkifQ=="/>
  </w:docVars>
  <w:rsids>
    <w:rsidRoot w:val="00292D99"/>
    <w:rsid w:val="0000018E"/>
    <w:rsid w:val="00232D02"/>
    <w:rsid w:val="00292D99"/>
    <w:rsid w:val="003326D7"/>
    <w:rsid w:val="00447EAE"/>
    <w:rsid w:val="00536821"/>
    <w:rsid w:val="005A5660"/>
    <w:rsid w:val="00687C6B"/>
    <w:rsid w:val="00770F52"/>
    <w:rsid w:val="00806B2D"/>
    <w:rsid w:val="009C0F0C"/>
    <w:rsid w:val="009E4F31"/>
    <w:rsid w:val="00A35036"/>
    <w:rsid w:val="00A36E35"/>
    <w:rsid w:val="00A56034"/>
    <w:rsid w:val="00AD42CD"/>
    <w:rsid w:val="00B50C68"/>
    <w:rsid w:val="00B75AF8"/>
    <w:rsid w:val="00B85B13"/>
    <w:rsid w:val="00C42AD7"/>
    <w:rsid w:val="00CF3691"/>
    <w:rsid w:val="00D16C18"/>
    <w:rsid w:val="00D45F64"/>
    <w:rsid w:val="00D621F2"/>
    <w:rsid w:val="00EA61DE"/>
    <w:rsid w:val="010F166E"/>
    <w:rsid w:val="013C2F7D"/>
    <w:rsid w:val="01671422"/>
    <w:rsid w:val="016F5FC2"/>
    <w:rsid w:val="01DA1542"/>
    <w:rsid w:val="01E66E22"/>
    <w:rsid w:val="01E76792"/>
    <w:rsid w:val="022E298F"/>
    <w:rsid w:val="02340F25"/>
    <w:rsid w:val="02664246"/>
    <w:rsid w:val="02964C8C"/>
    <w:rsid w:val="029D58CC"/>
    <w:rsid w:val="02B44BD9"/>
    <w:rsid w:val="02EA16B2"/>
    <w:rsid w:val="02F766C9"/>
    <w:rsid w:val="03093978"/>
    <w:rsid w:val="030A1905"/>
    <w:rsid w:val="031F4327"/>
    <w:rsid w:val="03523B3A"/>
    <w:rsid w:val="0391100F"/>
    <w:rsid w:val="03B47D23"/>
    <w:rsid w:val="03CB1C63"/>
    <w:rsid w:val="03E87D3E"/>
    <w:rsid w:val="04697BE8"/>
    <w:rsid w:val="046F7BA2"/>
    <w:rsid w:val="049B3080"/>
    <w:rsid w:val="04CF4C1B"/>
    <w:rsid w:val="050A10E9"/>
    <w:rsid w:val="050D201F"/>
    <w:rsid w:val="05341550"/>
    <w:rsid w:val="053457DA"/>
    <w:rsid w:val="05490708"/>
    <w:rsid w:val="054D0500"/>
    <w:rsid w:val="058D5ABE"/>
    <w:rsid w:val="05B04F14"/>
    <w:rsid w:val="05EF2A82"/>
    <w:rsid w:val="062068B1"/>
    <w:rsid w:val="062C5C79"/>
    <w:rsid w:val="064F2545"/>
    <w:rsid w:val="068B1204"/>
    <w:rsid w:val="06A90CCC"/>
    <w:rsid w:val="06BB033C"/>
    <w:rsid w:val="06F7713E"/>
    <w:rsid w:val="070E0613"/>
    <w:rsid w:val="07120348"/>
    <w:rsid w:val="073D3D08"/>
    <w:rsid w:val="075353B7"/>
    <w:rsid w:val="07595D2D"/>
    <w:rsid w:val="076857D7"/>
    <w:rsid w:val="07996549"/>
    <w:rsid w:val="07A94D97"/>
    <w:rsid w:val="07CB7A07"/>
    <w:rsid w:val="08022132"/>
    <w:rsid w:val="080A7ABE"/>
    <w:rsid w:val="0812346D"/>
    <w:rsid w:val="081842B7"/>
    <w:rsid w:val="08254BF7"/>
    <w:rsid w:val="083735C2"/>
    <w:rsid w:val="08390A84"/>
    <w:rsid w:val="08515337"/>
    <w:rsid w:val="085830AA"/>
    <w:rsid w:val="08873AB8"/>
    <w:rsid w:val="089A552B"/>
    <w:rsid w:val="08A814C0"/>
    <w:rsid w:val="08D62B61"/>
    <w:rsid w:val="091E01F2"/>
    <w:rsid w:val="09316A81"/>
    <w:rsid w:val="09474A0B"/>
    <w:rsid w:val="095160EA"/>
    <w:rsid w:val="098E4FA0"/>
    <w:rsid w:val="098F43D5"/>
    <w:rsid w:val="09B95E4C"/>
    <w:rsid w:val="09D66EBD"/>
    <w:rsid w:val="09E94AA7"/>
    <w:rsid w:val="0A22795E"/>
    <w:rsid w:val="0A366F3F"/>
    <w:rsid w:val="0A426016"/>
    <w:rsid w:val="0A592FAE"/>
    <w:rsid w:val="0A6913CB"/>
    <w:rsid w:val="0A7E26DF"/>
    <w:rsid w:val="0A9A5FC1"/>
    <w:rsid w:val="0AA7704D"/>
    <w:rsid w:val="0ABC4F20"/>
    <w:rsid w:val="0B07733E"/>
    <w:rsid w:val="0B155654"/>
    <w:rsid w:val="0B164DEA"/>
    <w:rsid w:val="0B1F3580"/>
    <w:rsid w:val="0B272116"/>
    <w:rsid w:val="0BAC5AFC"/>
    <w:rsid w:val="0BB172A9"/>
    <w:rsid w:val="0BC137D6"/>
    <w:rsid w:val="0C0239AE"/>
    <w:rsid w:val="0C190036"/>
    <w:rsid w:val="0C212FB0"/>
    <w:rsid w:val="0C4E64A8"/>
    <w:rsid w:val="0C756AA8"/>
    <w:rsid w:val="0C856A14"/>
    <w:rsid w:val="0CE30905"/>
    <w:rsid w:val="0CEA31FB"/>
    <w:rsid w:val="0CF77813"/>
    <w:rsid w:val="0D086478"/>
    <w:rsid w:val="0D0B23ED"/>
    <w:rsid w:val="0D2A47F2"/>
    <w:rsid w:val="0D4B64B4"/>
    <w:rsid w:val="0D533545"/>
    <w:rsid w:val="0D5D5F79"/>
    <w:rsid w:val="0D6D0951"/>
    <w:rsid w:val="0D772F06"/>
    <w:rsid w:val="0D9E0B66"/>
    <w:rsid w:val="0DD12977"/>
    <w:rsid w:val="0E016713"/>
    <w:rsid w:val="0E091E9A"/>
    <w:rsid w:val="0E2F13F5"/>
    <w:rsid w:val="0E5764A8"/>
    <w:rsid w:val="0E6D7E88"/>
    <w:rsid w:val="0F0A408E"/>
    <w:rsid w:val="0F3328A0"/>
    <w:rsid w:val="0F370C9E"/>
    <w:rsid w:val="0F59349B"/>
    <w:rsid w:val="0F6C7E9E"/>
    <w:rsid w:val="0F71527D"/>
    <w:rsid w:val="0F744ADC"/>
    <w:rsid w:val="0F9A73C4"/>
    <w:rsid w:val="0FD7159A"/>
    <w:rsid w:val="108252AE"/>
    <w:rsid w:val="108C71EF"/>
    <w:rsid w:val="109B6EFA"/>
    <w:rsid w:val="10C207F3"/>
    <w:rsid w:val="10DD269E"/>
    <w:rsid w:val="110C0022"/>
    <w:rsid w:val="110F6F9B"/>
    <w:rsid w:val="111C3BF4"/>
    <w:rsid w:val="113F7263"/>
    <w:rsid w:val="11693C61"/>
    <w:rsid w:val="11E9051A"/>
    <w:rsid w:val="11F634EE"/>
    <w:rsid w:val="121D168F"/>
    <w:rsid w:val="122806EB"/>
    <w:rsid w:val="1284042B"/>
    <w:rsid w:val="129A1E97"/>
    <w:rsid w:val="12A32B25"/>
    <w:rsid w:val="12A83897"/>
    <w:rsid w:val="12C460D7"/>
    <w:rsid w:val="136204FA"/>
    <w:rsid w:val="13D04FFE"/>
    <w:rsid w:val="13EE1D74"/>
    <w:rsid w:val="14015677"/>
    <w:rsid w:val="140777B0"/>
    <w:rsid w:val="141C0FA5"/>
    <w:rsid w:val="14234ADB"/>
    <w:rsid w:val="1434696C"/>
    <w:rsid w:val="14480985"/>
    <w:rsid w:val="14520127"/>
    <w:rsid w:val="14730814"/>
    <w:rsid w:val="148164B4"/>
    <w:rsid w:val="14877935"/>
    <w:rsid w:val="148A7449"/>
    <w:rsid w:val="14A35B21"/>
    <w:rsid w:val="14E025B3"/>
    <w:rsid w:val="14E80047"/>
    <w:rsid w:val="14ED0BE6"/>
    <w:rsid w:val="1534117C"/>
    <w:rsid w:val="15912F8E"/>
    <w:rsid w:val="15E4021C"/>
    <w:rsid w:val="15ED08EE"/>
    <w:rsid w:val="16412018"/>
    <w:rsid w:val="16A02C1B"/>
    <w:rsid w:val="16AE6351"/>
    <w:rsid w:val="16C61526"/>
    <w:rsid w:val="16CF10B3"/>
    <w:rsid w:val="16D66744"/>
    <w:rsid w:val="16F876C2"/>
    <w:rsid w:val="171E3B4B"/>
    <w:rsid w:val="172B1566"/>
    <w:rsid w:val="17A5626B"/>
    <w:rsid w:val="17B95A82"/>
    <w:rsid w:val="17BE0D7F"/>
    <w:rsid w:val="180004D7"/>
    <w:rsid w:val="1814197D"/>
    <w:rsid w:val="181779F9"/>
    <w:rsid w:val="18235421"/>
    <w:rsid w:val="1835319F"/>
    <w:rsid w:val="18355274"/>
    <w:rsid w:val="18611737"/>
    <w:rsid w:val="18697C16"/>
    <w:rsid w:val="189206CB"/>
    <w:rsid w:val="18A85174"/>
    <w:rsid w:val="18D12683"/>
    <w:rsid w:val="18F975E6"/>
    <w:rsid w:val="191B00D0"/>
    <w:rsid w:val="194F7AA4"/>
    <w:rsid w:val="195D501F"/>
    <w:rsid w:val="19804B28"/>
    <w:rsid w:val="19942B61"/>
    <w:rsid w:val="19970AB3"/>
    <w:rsid w:val="19A20733"/>
    <w:rsid w:val="19AE3D68"/>
    <w:rsid w:val="19C33A80"/>
    <w:rsid w:val="19EF48B4"/>
    <w:rsid w:val="1A163F02"/>
    <w:rsid w:val="1A1B1C6C"/>
    <w:rsid w:val="1A4B58E0"/>
    <w:rsid w:val="1A7275C2"/>
    <w:rsid w:val="1A951ED1"/>
    <w:rsid w:val="1AB2637F"/>
    <w:rsid w:val="1AC50C68"/>
    <w:rsid w:val="1ACA7725"/>
    <w:rsid w:val="1AD87D11"/>
    <w:rsid w:val="1AF922C7"/>
    <w:rsid w:val="1B14244C"/>
    <w:rsid w:val="1B235244"/>
    <w:rsid w:val="1B293560"/>
    <w:rsid w:val="1B2B6205"/>
    <w:rsid w:val="1BB73878"/>
    <w:rsid w:val="1BC4184E"/>
    <w:rsid w:val="1BCA4BA3"/>
    <w:rsid w:val="1BF43433"/>
    <w:rsid w:val="1BF87069"/>
    <w:rsid w:val="1BF9337B"/>
    <w:rsid w:val="1BFC4851"/>
    <w:rsid w:val="1C1262BD"/>
    <w:rsid w:val="1C1D4548"/>
    <w:rsid w:val="1C427DD8"/>
    <w:rsid w:val="1C477784"/>
    <w:rsid w:val="1C5334A0"/>
    <w:rsid w:val="1C5C7E98"/>
    <w:rsid w:val="1C826AA0"/>
    <w:rsid w:val="1C8E6CC9"/>
    <w:rsid w:val="1CCF6766"/>
    <w:rsid w:val="1CF12529"/>
    <w:rsid w:val="1D0A3C4D"/>
    <w:rsid w:val="1D3F5871"/>
    <w:rsid w:val="1D3F6D11"/>
    <w:rsid w:val="1D4507AB"/>
    <w:rsid w:val="1D4A7C13"/>
    <w:rsid w:val="1DA2183F"/>
    <w:rsid w:val="1DAF7A6A"/>
    <w:rsid w:val="1DB67E7A"/>
    <w:rsid w:val="1DD123E8"/>
    <w:rsid w:val="1E45284F"/>
    <w:rsid w:val="1E5E173A"/>
    <w:rsid w:val="1E6B7115"/>
    <w:rsid w:val="1E714450"/>
    <w:rsid w:val="1E9E24FD"/>
    <w:rsid w:val="1EC678E2"/>
    <w:rsid w:val="1EE56248"/>
    <w:rsid w:val="1EE62F06"/>
    <w:rsid w:val="1EF62877"/>
    <w:rsid w:val="1EF92F1E"/>
    <w:rsid w:val="1F030C22"/>
    <w:rsid w:val="1F1D3C1A"/>
    <w:rsid w:val="1F427C6E"/>
    <w:rsid w:val="1F6B45A1"/>
    <w:rsid w:val="1F902156"/>
    <w:rsid w:val="1F9B674C"/>
    <w:rsid w:val="1FE45AD4"/>
    <w:rsid w:val="1FEE6F0B"/>
    <w:rsid w:val="1FF508F0"/>
    <w:rsid w:val="20290B9B"/>
    <w:rsid w:val="203C60BD"/>
    <w:rsid w:val="204034B7"/>
    <w:rsid w:val="20416E73"/>
    <w:rsid w:val="20647053"/>
    <w:rsid w:val="206C1D9D"/>
    <w:rsid w:val="20713071"/>
    <w:rsid w:val="20B34F19"/>
    <w:rsid w:val="20C3081C"/>
    <w:rsid w:val="20C42B37"/>
    <w:rsid w:val="20E80FE9"/>
    <w:rsid w:val="20F1401C"/>
    <w:rsid w:val="21096905"/>
    <w:rsid w:val="21123D12"/>
    <w:rsid w:val="2116380C"/>
    <w:rsid w:val="213722C0"/>
    <w:rsid w:val="21435E57"/>
    <w:rsid w:val="21611380"/>
    <w:rsid w:val="216C7E2D"/>
    <w:rsid w:val="21802F25"/>
    <w:rsid w:val="21BC37BF"/>
    <w:rsid w:val="21C56788"/>
    <w:rsid w:val="220167D0"/>
    <w:rsid w:val="221D2869"/>
    <w:rsid w:val="223148CD"/>
    <w:rsid w:val="22357F6B"/>
    <w:rsid w:val="22443661"/>
    <w:rsid w:val="224F1EA9"/>
    <w:rsid w:val="22791E7D"/>
    <w:rsid w:val="22A663FA"/>
    <w:rsid w:val="22D160B9"/>
    <w:rsid w:val="22F6137D"/>
    <w:rsid w:val="22FE2FF3"/>
    <w:rsid w:val="231A1172"/>
    <w:rsid w:val="231D5BDB"/>
    <w:rsid w:val="235A1E37"/>
    <w:rsid w:val="23644342"/>
    <w:rsid w:val="237A3B3F"/>
    <w:rsid w:val="239B5464"/>
    <w:rsid w:val="23BF1A35"/>
    <w:rsid w:val="23D05A9F"/>
    <w:rsid w:val="241632E9"/>
    <w:rsid w:val="241C1F5B"/>
    <w:rsid w:val="24313C75"/>
    <w:rsid w:val="243F0344"/>
    <w:rsid w:val="246C521D"/>
    <w:rsid w:val="248866AB"/>
    <w:rsid w:val="248D415F"/>
    <w:rsid w:val="249E021C"/>
    <w:rsid w:val="24A762A7"/>
    <w:rsid w:val="24B16643"/>
    <w:rsid w:val="24BC05F7"/>
    <w:rsid w:val="24C73DD5"/>
    <w:rsid w:val="24F64559"/>
    <w:rsid w:val="25084EDD"/>
    <w:rsid w:val="25154631"/>
    <w:rsid w:val="25527601"/>
    <w:rsid w:val="25550FBA"/>
    <w:rsid w:val="25903015"/>
    <w:rsid w:val="2595092D"/>
    <w:rsid w:val="25EB4533"/>
    <w:rsid w:val="25F83009"/>
    <w:rsid w:val="26394839"/>
    <w:rsid w:val="263E7AED"/>
    <w:rsid w:val="267A67EB"/>
    <w:rsid w:val="26DD2D0A"/>
    <w:rsid w:val="272B515C"/>
    <w:rsid w:val="27321A6C"/>
    <w:rsid w:val="274B4159"/>
    <w:rsid w:val="275952AF"/>
    <w:rsid w:val="276F1C77"/>
    <w:rsid w:val="277715CD"/>
    <w:rsid w:val="277D18A1"/>
    <w:rsid w:val="27894F21"/>
    <w:rsid w:val="279847F4"/>
    <w:rsid w:val="27A63F4F"/>
    <w:rsid w:val="27D914FB"/>
    <w:rsid w:val="281724A5"/>
    <w:rsid w:val="2861393E"/>
    <w:rsid w:val="286A32AB"/>
    <w:rsid w:val="28714188"/>
    <w:rsid w:val="28E26FA6"/>
    <w:rsid w:val="29275F26"/>
    <w:rsid w:val="292A0A94"/>
    <w:rsid w:val="292D0BA2"/>
    <w:rsid w:val="2949707D"/>
    <w:rsid w:val="297E6C94"/>
    <w:rsid w:val="29B50A46"/>
    <w:rsid w:val="29DD2AEB"/>
    <w:rsid w:val="2A0B004E"/>
    <w:rsid w:val="2A276C1C"/>
    <w:rsid w:val="2A5C1732"/>
    <w:rsid w:val="2A6F58B6"/>
    <w:rsid w:val="2A701D0B"/>
    <w:rsid w:val="2A8F1EE6"/>
    <w:rsid w:val="2AD21DA4"/>
    <w:rsid w:val="2B01102F"/>
    <w:rsid w:val="2B0D1154"/>
    <w:rsid w:val="2B137CF6"/>
    <w:rsid w:val="2B203BF1"/>
    <w:rsid w:val="2B3871BE"/>
    <w:rsid w:val="2B92668A"/>
    <w:rsid w:val="2B973ABA"/>
    <w:rsid w:val="2BB72320"/>
    <w:rsid w:val="2BBF6084"/>
    <w:rsid w:val="2C075281"/>
    <w:rsid w:val="2C1772A1"/>
    <w:rsid w:val="2C426078"/>
    <w:rsid w:val="2C426743"/>
    <w:rsid w:val="2C6B3BFE"/>
    <w:rsid w:val="2C71645F"/>
    <w:rsid w:val="2C9500E6"/>
    <w:rsid w:val="2C9A0AC1"/>
    <w:rsid w:val="2CD6367E"/>
    <w:rsid w:val="2CDB1B8F"/>
    <w:rsid w:val="2CE547BA"/>
    <w:rsid w:val="2CEE16CC"/>
    <w:rsid w:val="2D1E6197"/>
    <w:rsid w:val="2D29695D"/>
    <w:rsid w:val="2D5615F7"/>
    <w:rsid w:val="2D7930F9"/>
    <w:rsid w:val="2D823FC5"/>
    <w:rsid w:val="2D952079"/>
    <w:rsid w:val="2DB32CE6"/>
    <w:rsid w:val="2DD7285F"/>
    <w:rsid w:val="2E1702E1"/>
    <w:rsid w:val="2E227124"/>
    <w:rsid w:val="2E441868"/>
    <w:rsid w:val="2E5218A9"/>
    <w:rsid w:val="2E5424DC"/>
    <w:rsid w:val="2E5479C0"/>
    <w:rsid w:val="2E5951B7"/>
    <w:rsid w:val="2E6443E0"/>
    <w:rsid w:val="2EA43DFA"/>
    <w:rsid w:val="2EA54C63"/>
    <w:rsid w:val="2EC77B97"/>
    <w:rsid w:val="2ED159FC"/>
    <w:rsid w:val="2EDE25DD"/>
    <w:rsid w:val="2EE32AFE"/>
    <w:rsid w:val="2EEC736C"/>
    <w:rsid w:val="2EEF1D95"/>
    <w:rsid w:val="2EF51D26"/>
    <w:rsid w:val="2F0F07E1"/>
    <w:rsid w:val="2F162121"/>
    <w:rsid w:val="2F1D25D2"/>
    <w:rsid w:val="2F3611C3"/>
    <w:rsid w:val="2F3734AA"/>
    <w:rsid w:val="2F5005CC"/>
    <w:rsid w:val="2F761956"/>
    <w:rsid w:val="2F7744D4"/>
    <w:rsid w:val="2F875313"/>
    <w:rsid w:val="2F881E7F"/>
    <w:rsid w:val="2F95267B"/>
    <w:rsid w:val="2FCD27CE"/>
    <w:rsid w:val="2FD64FE3"/>
    <w:rsid w:val="2FF63FEE"/>
    <w:rsid w:val="300E4C6C"/>
    <w:rsid w:val="305555A3"/>
    <w:rsid w:val="306A5637"/>
    <w:rsid w:val="308737AC"/>
    <w:rsid w:val="30975BC7"/>
    <w:rsid w:val="30B85B4D"/>
    <w:rsid w:val="30C469F7"/>
    <w:rsid w:val="30CB5780"/>
    <w:rsid w:val="30CE1ABA"/>
    <w:rsid w:val="30D15CBF"/>
    <w:rsid w:val="30D96130"/>
    <w:rsid w:val="30EE6D3B"/>
    <w:rsid w:val="30F230A1"/>
    <w:rsid w:val="31052F40"/>
    <w:rsid w:val="3129750B"/>
    <w:rsid w:val="3166032F"/>
    <w:rsid w:val="316B65F9"/>
    <w:rsid w:val="31990675"/>
    <w:rsid w:val="31AD02A8"/>
    <w:rsid w:val="31E253AE"/>
    <w:rsid w:val="31E6096B"/>
    <w:rsid w:val="31FE678B"/>
    <w:rsid w:val="32374550"/>
    <w:rsid w:val="324130CB"/>
    <w:rsid w:val="32610754"/>
    <w:rsid w:val="326A7062"/>
    <w:rsid w:val="326C519F"/>
    <w:rsid w:val="326E61F0"/>
    <w:rsid w:val="327F21F7"/>
    <w:rsid w:val="32990164"/>
    <w:rsid w:val="32B17B8C"/>
    <w:rsid w:val="32B31C38"/>
    <w:rsid w:val="32D1329C"/>
    <w:rsid w:val="32D4406E"/>
    <w:rsid w:val="32E121AA"/>
    <w:rsid w:val="331E736A"/>
    <w:rsid w:val="3336559D"/>
    <w:rsid w:val="333F66FB"/>
    <w:rsid w:val="334413FF"/>
    <w:rsid w:val="3365159E"/>
    <w:rsid w:val="337508DF"/>
    <w:rsid w:val="338F3114"/>
    <w:rsid w:val="339031DA"/>
    <w:rsid w:val="3399659D"/>
    <w:rsid w:val="33B922F0"/>
    <w:rsid w:val="33F61E84"/>
    <w:rsid w:val="33FB5C5F"/>
    <w:rsid w:val="34412CF6"/>
    <w:rsid w:val="344A308D"/>
    <w:rsid w:val="344C5EA4"/>
    <w:rsid w:val="345A6758"/>
    <w:rsid w:val="347949B6"/>
    <w:rsid w:val="349B54F8"/>
    <w:rsid w:val="34B87CA4"/>
    <w:rsid w:val="34FA499E"/>
    <w:rsid w:val="350B1360"/>
    <w:rsid w:val="350D0EED"/>
    <w:rsid w:val="350E6C58"/>
    <w:rsid w:val="35131765"/>
    <w:rsid w:val="35172044"/>
    <w:rsid w:val="353C05E5"/>
    <w:rsid w:val="354B07DE"/>
    <w:rsid w:val="3551151D"/>
    <w:rsid w:val="35C04AAE"/>
    <w:rsid w:val="35E05355"/>
    <w:rsid w:val="35EA1A83"/>
    <w:rsid w:val="363C5928"/>
    <w:rsid w:val="367E79A2"/>
    <w:rsid w:val="36BB103B"/>
    <w:rsid w:val="36BC5951"/>
    <w:rsid w:val="36C42B5A"/>
    <w:rsid w:val="3711425D"/>
    <w:rsid w:val="37255E44"/>
    <w:rsid w:val="37272A24"/>
    <w:rsid w:val="37293C42"/>
    <w:rsid w:val="375B5240"/>
    <w:rsid w:val="37845042"/>
    <w:rsid w:val="37854FE0"/>
    <w:rsid w:val="379E6C49"/>
    <w:rsid w:val="37FB6F29"/>
    <w:rsid w:val="381E3EA2"/>
    <w:rsid w:val="3845594F"/>
    <w:rsid w:val="3862770C"/>
    <w:rsid w:val="38637143"/>
    <w:rsid w:val="38693CD1"/>
    <w:rsid w:val="38B276E4"/>
    <w:rsid w:val="390859D1"/>
    <w:rsid w:val="390E32B5"/>
    <w:rsid w:val="391C2479"/>
    <w:rsid w:val="394739FC"/>
    <w:rsid w:val="39477B9B"/>
    <w:rsid w:val="3948067E"/>
    <w:rsid w:val="394B163C"/>
    <w:rsid w:val="39774D0E"/>
    <w:rsid w:val="39CC4AA6"/>
    <w:rsid w:val="39D04322"/>
    <w:rsid w:val="3A0E1C54"/>
    <w:rsid w:val="3A10702F"/>
    <w:rsid w:val="3A383127"/>
    <w:rsid w:val="3A606A9F"/>
    <w:rsid w:val="3A690CFA"/>
    <w:rsid w:val="3AA41BF5"/>
    <w:rsid w:val="3ACC55C1"/>
    <w:rsid w:val="3B06440E"/>
    <w:rsid w:val="3B1413AD"/>
    <w:rsid w:val="3B2415C6"/>
    <w:rsid w:val="3B2C5063"/>
    <w:rsid w:val="3B436483"/>
    <w:rsid w:val="3B4D04BE"/>
    <w:rsid w:val="3B636D71"/>
    <w:rsid w:val="3B820184"/>
    <w:rsid w:val="3BE806B8"/>
    <w:rsid w:val="3C020C36"/>
    <w:rsid w:val="3C0716FC"/>
    <w:rsid w:val="3C6E1A97"/>
    <w:rsid w:val="3CB832EC"/>
    <w:rsid w:val="3CC020AA"/>
    <w:rsid w:val="3CC90786"/>
    <w:rsid w:val="3CCB34AC"/>
    <w:rsid w:val="3D125199"/>
    <w:rsid w:val="3D1E1C57"/>
    <w:rsid w:val="3D2E65EB"/>
    <w:rsid w:val="3D367EB5"/>
    <w:rsid w:val="3D3E4D5F"/>
    <w:rsid w:val="3D851A07"/>
    <w:rsid w:val="3D8B28DB"/>
    <w:rsid w:val="3D960BE4"/>
    <w:rsid w:val="3D9F767D"/>
    <w:rsid w:val="3DFD3F0D"/>
    <w:rsid w:val="3DFD663F"/>
    <w:rsid w:val="3E203671"/>
    <w:rsid w:val="3E297C40"/>
    <w:rsid w:val="3E36591B"/>
    <w:rsid w:val="3E3D25DD"/>
    <w:rsid w:val="3E815973"/>
    <w:rsid w:val="3EAE1257"/>
    <w:rsid w:val="3EDC23F1"/>
    <w:rsid w:val="3EEA7D9D"/>
    <w:rsid w:val="3EF03DD7"/>
    <w:rsid w:val="3EF508F9"/>
    <w:rsid w:val="3F1329AA"/>
    <w:rsid w:val="3F2226C4"/>
    <w:rsid w:val="3F225FDB"/>
    <w:rsid w:val="3F2640D3"/>
    <w:rsid w:val="3F3149A0"/>
    <w:rsid w:val="3F545F1D"/>
    <w:rsid w:val="3F5C5B4E"/>
    <w:rsid w:val="3F7201CB"/>
    <w:rsid w:val="3F7358F3"/>
    <w:rsid w:val="3FAC1892"/>
    <w:rsid w:val="3FBA3812"/>
    <w:rsid w:val="3FE74391"/>
    <w:rsid w:val="3FF55245"/>
    <w:rsid w:val="402566B9"/>
    <w:rsid w:val="403D29C8"/>
    <w:rsid w:val="404536B2"/>
    <w:rsid w:val="404A2E60"/>
    <w:rsid w:val="406D1F98"/>
    <w:rsid w:val="407623D8"/>
    <w:rsid w:val="40AE1B02"/>
    <w:rsid w:val="40B05F30"/>
    <w:rsid w:val="40C42C36"/>
    <w:rsid w:val="40D47623"/>
    <w:rsid w:val="40E00424"/>
    <w:rsid w:val="4108451E"/>
    <w:rsid w:val="41144005"/>
    <w:rsid w:val="41366640"/>
    <w:rsid w:val="414D7845"/>
    <w:rsid w:val="415567D2"/>
    <w:rsid w:val="415955AF"/>
    <w:rsid w:val="419673C3"/>
    <w:rsid w:val="41C57DA4"/>
    <w:rsid w:val="41DD1301"/>
    <w:rsid w:val="42075558"/>
    <w:rsid w:val="421826D5"/>
    <w:rsid w:val="423E08FB"/>
    <w:rsid w:val="426E7A4F"/>
    <w:rsid w:val="42865414"/>
    <w:rsid w:val="43641D78"/>
    <w:rsid w:val="43653BCB"/>
    <w:rsid w:val="43BA7A5B"/>
    <w:rsid w:val="43C80CB3"/>
    <w:rsid w:val="43D24E7D"/>
    <w:rsid w:val="43D54F18"/>
    <w:rsid w:val="43D700C9"/>
    <w:rsid w:val="43DD2A84"/>
    <w:rsid w:val="43DD3B11"/>
    <w:rsid w:val="43E6687D"/>
    <w:rsid w:val="443164E5"/>
    <w:rsid w:val="445D0626"/>
    <w:rsid w:val="44735EAA"/>
    <w:rsid w:val="447A0066"/>
    <w:rsid w:val="447C5671"/>
    <w:rsid w:val="448D4D40"/>
    <w:rsid w:val="44E53188"/>
    <w:rsid w:val="44E74A1E"/>
    <w:rsid w:val="44F862AE"/>
    <w:rsid w:val="45052E90"/>
    <w:rsid w:val="4517545B"/>
    <w:rsid w:val="452704D7"/>
    <w:rsid w:val="455727E1"/>
    <w:rsid w:val="45675C84"/>
    <w:rsid w:val="45715508"/>
    <w:rsid w:val="45A34073"/>
    <w:rsid w:val="45B00C81"/>
    <w:rsid w:val="45B47152"/>
    <w:rsid w:val="45C17D01"/>
    <w:rsid w:val="45CF5BA5"/>
    <w:rsid w:val="45F50CDD"/>
    <w:rsid w:val="45F53A75"/>
    <w:rsid w:val="45FB42AF"/>
    <w:rsid w:val="45FE06C2"/>
    <w:rsid w:val="462907FB"/>
    <w:rsid w:val="462A2437"/>
    <w:rsid w:val="4630742A"/>
    <w:rsid w:val="46411E83"/>
    <w:rsid w:val="466C0BE3"/>
    <w:rsid w:val="466D6842"/>
    <w:rsid w:val="4676123D"/>
    <w:rsid w:val="467A6120"/>
    <w:rsid w:val="46800EB7"/>
    <w:rsid w:val="46824FC7"/>
    <w:rsid w:val="468E564A"/>
    <w:rsid w:val="46D917C9"/>
    <w:rsid w:val="470213D3"/>
    <w:rsid w:val="47164016"/>
    <w:rsid w:val="47227124"/>
    <w:rsid w:val="47301023"/>
    <w:rsid w:val="47382E34"/>
    <w:rsid w:val="473D40AA"/>
    <w:rsid w:val="474A25EC"/>
    <w:rsid w:val="475A4C29"/>
    <w:rsid w:val="4779717E"/>
    <w:rsid w:val="479B2D86"/>
    <w:rsid w:val="479E42CA"/>
    <w:rsid w:val="47A55695"/>
    <w:rsid w:val="47AC52BF"/>
    <w:rsid w:val="47F220E6"/>
    <w:rsid w:val="48195A84"/>
    <w:rsid w:val="483E762D"/>
    <w:rsid w:val="485716DD"/>
    <w:rsid w:val="4869388F"/>
    <w:rsid w:val="487D6750"/>
    <w:rsid w:val="48AE03C2"/>
    <w:rsid w:val="48E85A5D"/>
    <w:rsid w:val="48FB5345"/>
    <w:rsid w:val="493746A9"/>
    <w:rsid w:val="496128F0"/>
    <w:rsid w:val="497E0EEF"/>
    <w:rsid w:val="497E31D7"/>
    <w:rsid w:val="49B76073"/>
    <w:rsid w:val="49C674BD"/>
    <w:rsid w:val="4A073CC0"/>
    <w:rsid w:val="4A0966BD"/>
    <w:rsid w:val="4A0E4F36"/>
    <w:rsid w:val="4A14613D"/>
    <w:rsid w:val="4A1D0F98"/>
    <w:rsid w:val="4A3B55C1"/>
    <w:rsid w:val="4ADB3D09"/>
    <w:rsid w:val="4B0C20C3"/>
    <w:rsid w:val="4B203926"/>
    <w:rsid w:val="4B67224B"/>
    <w:rsid w:val="4B691EDA"/>
    <w:rsid w:val="4B6A5ACD"/>
    <w:rsid w:val="4B7A2B45"/>
    <w:rsid w:val="4B9F2422"/>
    <w:rsid w:val="4BAB1C8E"/>
    <w:rsid w:val="4BE8640B"/>
    <w:rsid w:val="4C050C9D"/>
    <w:rsid w:val="4C1F3098"/>
    <w:rsid w:val="4C4B1C41"/>
    <w:rsid w:val="4C4D4281"/>
    <w:rsid w:val="4C600BE9"/>
    <w:rsid w:val="4C7B060A"/>
    <w:rsid w:val="4CA73266"/>
    <w:rsid w:val="4CB27721"/>
    <w:rsid w:val="4CDF677D"/>
    <w:rsid w:val="4CE87EA0"/>
    <w:rsid w:val="4CF168AF"/>
    <w:rsid w:val="4D053BFC"/>
    <w:rsid w:val="4D531A59"/>
    <w:rsid w:val="4D587A32"/>
    <w:rsid w:val="4D6A007E"/>
    <w:rsid w:val="4DFB75B8"/>
    <w:rsid w:val="4DFE0E6D"/>
    <w:rsid w:val="4E005A35"/>
    <w:rsid w:val="4EB5755E"/>
    <w:rsid w:val="4EF57847"/>
    <w:rsid w:val="4F0A6596"/>
    <w:rsid w:val="4F1309DA"/>
    <w:rsid w:val="4F262948"/>
    <w:rsid w:val="4F290F10"/>
    <w:rsid w:val="4F334FD9"/>
    <w:rsid w:val="4F3E5129"/>
    <w:rsid w:val="4F486EED"/>
    <w:rsid w:val="4F5B7A89"/>
    <w:rsid w:val="4F6B75BE"/>
    <w:rsid w:val="4F702719"/>
    <w:rsid w:val="4FE83437"/>
    <w:rsid w:val="4FEA4797"/>
    <w:rsid w:val="50045E21"/>
    <w:rsid w:val="5004660E"/>
    <w:rsid w:val="50104C1E"/>
    <w:rsid w:val="503060F8"/>
    <w:rsid w:val="50475240"/>
    <w:rsid w:val="50833725"/>
    <w:rsid w:val="50931BD8"/>
    <w:rsid w:val="50B043D4"/>
    <w:rsid w:val="50DF4F8E"/>
    <w:rsid w:val="50EA6335"/>
    <w:rsid w:val="5101767E"/>
    <w:rsid w:val="511D697B"/>
    <w:rsid w:val="512E404B"/>
    <w:rsid w:val="51480497"/>
    <w:rsid w:val="514A4FCC"/>
    <w:rsid w:val="517E1473"/>
    <w:rsid w:val="517F61EE"/>
    <w:rsid w:val="51802B68"/>
    <w:rsid w:val="51C153C3"/>
    <w:rsid w:val="51EE3728"/>
    <w:rsid w:val="52B0010E"/>
    <w:rsid w:val="52BD19D8"/>
    <w:rsid w:val="52E41CF3"/>
    <w:rsid w:val="52FE2BD1"/>
    <w:rsid w:val="5301406C"/>
    <w:rsid w:val="5377635D"/>
    <w:rsid w:val="5383620C"/>
    <w:rsid w:val="53961F77"/>
    <w:rsid w:val="53BB54EB"/>
    <w:rsid w:val="53CA1437"/>
    <w:rsid w:val="53DD74F4"/>
    <w:rsid w:val="53DF0978"/>
    <w:rsid w:val="53E3592E"/>
    <w:rsid w:val="53E70C95"/>
    <w:rsid w:val="541C0BCA"/>
    <w:rsid w:val="543F300D"/>
    <w:rsid w:val="544D1BB5"/>
    <w:rsid w:val="545570A5"/>
    <w:rsid w:val="5482401B"/>
    <w:rsid w:val="54927005"/>
    <w:rsid w:val="549B4C02"/>
    <w:rsid w:val="549B788C"/>
    <w:rsid w:val="54A84897"/>
    <w:rsid w:val="54C826EB"/>
    <w:rsid w:val="550F0917"/>
    <w:rsid w:val="552C0357"/>
    <w:rsid w:val="555306D9"/>
    <w:rsid w:val="55605571"/>
    <w:rsid w:val="558C14DD"/>
    <w:rsid w:val="559B6E4D"/>
    <w:rsid w:val="559D735A"/>
    <w:rsid w:val="559E756B"/>
    <w:rsid w:val="55A33254"/>
    <w:rsid w:val="55BB7728"/>
    <w:rsid w:val="55DE11C1"/>
    <w:rsid w:val="56004948"/>
    <w:rsid w:val="56086820"/>
    <w:rsid w:val="560F05DC"/>
    <w:rsid w:val="5639472A"/>
    <w:rsid w:val="563F157B"/>
    <w:rsid w:val="5688507B"/>
    <w:rsid w:val="569F1780"/>
    <w:rsid w:val="56A2371D"/>
    <w:rsid w:val="56D445CC"/>
    <w:rsid w:val="570937D5"/>
    <w:rsid w:val="573515A4"/>
    <w:rsid w:val="576C6D07"/>
    <w:rsid w:val="57907F1E"/>
    <w:rsid w:val="579A7AF7"/>
    <w:rsid w:val="57BD41A2"/>
    <w:rsid w:val="57F02C2B"/>
    <w:rsid w:val="57F227C6"/>
    <w:rsid w:val="58045186"/>
    <w:rsid w:val="580770CA"/>
    <w:rsid w:val="582839BD"/>
    <w:rsid w:val="5841458D"/>
    <w:rsid w:val="5847672F"/>
    <w:rsid w:val="58555D80"/>
    <w:rsid w:val="5886291F"/>
    <w:rsid w:val="58960395"/>
    <w:rsid w:val="589F409D"/>
    <w:rsid w:val="58AE5D29"/>
    <w:rsid w:val="58AF0B28"/>
    <w:rsid w:val="58F26B48"/>
    <w:rsid w:val="58F30464"/>
    <w:rsid w:val="59033DF6"/>
    <w:rsid w:val="590B45D0"/>
    <w:rsid w:val="591E48A0"/>
    <w:rsid w:val="59612595"/>
    <w:rsid w:val="59961A23"/>
    <w:rsid w:val="599E08C2"/>
    <w:rsid w:val="59CE1EBB"/>
    <w:rsid w:val="59CE6B48"/>
    <w:rsid w:val="59DA19D7"/>
    <w:rsid w:val="59F62463"/>
    <w:rsid w:val="59F649D6"/>
    <w:rsid w:val="59FB181F"/>
    <w:rsid w:val="5A366342"/>
    <w:rsid w:val="5A4E1103"/>
    <w:rsid w:val="5A59306F"/>
    <w:rsid w:val="5A5D1BB5"/>
    <w:rsid w:val="5A6D1ACC"/>
    <w:rsid w:val="5A72218A"/>
    <w:rsid w:val="5A7C34DF"/>
    <w:rsid w:val="5A943A8A"/>
    <w:rsid w:val="5A9450C5"/>
    <w:rsid w:val="5A9B2EE8"/>
    <w:rsid w:val="5AA1098C"/>
    <w:rsid w:val="5AA53D01"/>
    <w:rsid w:val="5AD0057A"/>
    <w:rsid w:val="5AD45B59"/>
    <w:rsid w:val="5B0F63F5"/>
    <w:rsid w:val="5B3F5F25"/>
    <w:rsid w:val="5B71602A"/>
    <w:rsid w:val="5BB119B9"/>
    <w:rsid w:val="5BE3074E"/>
    <w:rsid w:val="5BE649F6"/>
    <w:rsid w:val="5C1F1CC0"/>
    <w:rsid w:val="5C32068A"/>
    <w:rsid w:val="5C5E0EA2"/>
    <w:rsid w:val="5C6625D5"/>
    <w:rsid w:val="5CA74D14"/>
    <w:rsid w:val="5CAC6B78"/>
    <w:rsid w:val="5CD03E04"/>
    <w:rsid w:val="5CEF7F70"/>
    <w:rsid w:val="5D0A0463"/>
    <w:rsid w:val="5D0D54A8"/>
    <w:rsid w:val="5D34397D"/>
    <w:rsid w:val="5D5F2AF3"/>
    <w:rsid w:val="5D65715D"/>
    <w:rsid w:val="5D6C008D"/>
    <w:rsid w:val="5D9A7AB4"/>
    <w:rsid w:val="5DA928A4"/>
    <w:rsid w:val="5DAC76AC"/>
    <w:rsid w:val="5DB26080"/>
    <w:rsid w:val="5DC833B2"/>
    <w:rsid w:val="5DCD71E0"/>
    <w:rsid w:val="5DE165F2"/>
    <w:rsid w:val="5E48771D"/>
    <w:rsid w:val="5E520C7D"/>
    <w:rsid w:val="5E596C5B"/>
    <w:rsid w:val="5E6269BB"/>
    <w:rsid w:val="5E9E66C6"/>
    <w:rsid w:val="5EAC7645"/>
    <w:rsid w:val="5EB71F2D"/>
    <w:rsid w:val="5EC01AB9"/>
    <w:rsid w:val="5EC93522"/>
    <w:rsid w:val="5EFB589F"/>
    <w:rsid w:val="5F0D5CB0"/>
    <w:rsid w:val="5F0E4EC3"/>
    <w:rsid w:val="5F1B6AE8"/>
    <w:rsid w:val="5F446D6F"/>
    <w:rsid w:val="5F681FEA"/>
    <w:rsid w:val="5F7421B3"/>
    <w:rsid w:val="5F772696"/>
    <w:rsid w:val="5F834EAA"/>
    <w:rsid w:val="5F9213E2"/>
    <w:rsid w:val="5FAF0AB3"/>
    <w:rsid w:val="5FC65873"/>
    <w:rsid w:val="5FFA3352"/>
    <w:rsid w:val="603B13E1"/>
    <w:rsid w:val="604E6D84"/>
    <w:rsid w:val="605211EC"/>
    <w:rsid w:val="60555C64"/>
    <w:rsid w:val="60644F42"/>
    <w:rsid w:val="607B2D11"/>
    <w:rsid w:val="608B6FB1"/>
    <w:rsid w:val="608D1781"/>
    <w:rsid w:val="608D52DE"/>
    <w:rsid w:val="6094672B"/>
    <w:rsid w:val="60B918C7"/>
    <w:rsid w:val="60C4345F"/>
    <w:rsid w:val="60D72F31"/>
    <w:rsid w:val="60F41B70"/>
    <w:rsid w:val="610C35B2"/>
    <w:rsid w:val="61207E89"/>
    <w:rsid w:val="61605EB4"/>
    <w:rsid w:val="617C372F"/>
    <w:rsid w:val="619F261F"/>
    <w:rsid w:val="61B1303F"/>
    <w:rsid w:val="61DB256E"/>
    <w:rsid w:val="61E11F17"/>
    <w:rsid w:val="61FE71A1"/>
    <w:rsid w:val="62015B53"/>
    <w:rsid w:val="62024195"/>
    <w:rsid w:val="621312EE"/>
    <w:rsid w:val="62256FD3"/>
    <w:rsid w:val="62386DE5"/>
    <w:rsid w:val="62584373"/>
    <w:rsid w:val="626D3423"/>
    <w:rsid w:val="62E94F64"/>
    <w:rsid w:val="62EE2051"/>
    <w:rsid w:val="62FB1A24"/>
    <w:rsid w:val="630274FA"/>
    <w:rsid w:val="634B4CD5"/>
    <w:rsid w:val="639261D7"/>
    <w:rsid w:val="63935280"/>
    <w:rsid w:val="640B296A"/>
    <w:rsid w:val="64806155"/>
    <w:rsid w:val="649C6BED"/>
    <w:rsid w:val="64A5189B"/>
    <w:rsid w:val="64C21223"/>
    <w:rsid w:val="64DC2FCF"/>
    <w:rsid w:val="64EA2508"/>
    <w:rsid w:val="651A023B"/>
    <w:rsid w:val="652D3FE6"/>
    <w:rsid w:val="654D096A"/>
    <w:rsid w:val="65527FEF"/>
    <w:rsid w:val="65534EB6"/>
    <w:rsid w:val="6581413E"/>
    <w:rsid w:val="659C55D8"/>
    <w:rsid w:val="65B31951"/>
    <w:rsid w:val="65C705F6"/>
    <w:rsid w:val="65CA47CE"/>
    <w:rsid w:val="66054F0A"/>
    <w:rsid w:val="664B033C"/>
    <w:rsid w:val="66617E14"/>
    <w:rsid w:val="66702F98"/>
    <w:rsid w:val="667D4F98"/>
    <w:rsid w:val="6690530B"/>
    <w:rsid w:val="66C3297B"/>
    <w:rsid w:val="66FC006D"/>
    <w:rsid w:val="67477BD5"/>
    <w:rsid w:val="674F5173"/>
    <w:rsid w:val="679B2C5B"/>
    <w:rsid w:val="67F36547"/>
    <w:rsid w:val="681016CF"/>
    <w:rsid w:val="681A7AB7"/>
    <w:rsid w:val="683552FF"/>
    <w:rsid w:val="6884635E"/>
    <w:rsid w:val="693F3E47"/>
    <w:rsid w:val="694956BF"/>
    <w:rsid w:val="69496E87"/>
    <w:rsid w:val="6963513A"/>
    <w:rsid w:val="69B61E4F"/>
    <w:rsid w:val="69B94CD1"/>
    <w:rsid w:val="69E35297"/>
    <w:rsid w:val="69FE74FF"/>
    <w:rsid w:val="6A2C20CE"/>
    <w:rsid w:val="6A5E3147"/>
    <w:rsid w:val="6A6B1312"/>
    <w:rsid w:val="6A8C2AEF"/>
    <w:rsid w:val="6AAA2935"/>
    <w:rsid w:val="6AEA7E69"/>
    <w:rsid w:val="6B08355C"/>
    <w:rsid w:val="6B0859A3"/>
    <w:rsid w:val="6B151FBD"/>
    <w:rsid w:val="6B2018EB"/>
    <w:rsid w:val="6B3804DD"/>
    <w:rsid w:val="6B6B5010"/>
    <w:rsid w:val="6B752A16"/>
    <w:rsid w:val="6B8119FE"/>
    <w:rsid w:val="6B8853F9"/>
    <w:rsid w:val="6B9F2E7A"/>
    <w:rsid w:val="6BE1281A"/>
    <w:rsid w:val="6BFD7D1D"/>
    <w:rsid w:val="6C02690F"/>
    <w:rsid w:val="6C174428"/>
    <w:rsid w:val="6C1D75D3"/>
    <w:rsid w:val="6C416981"/>
    <w:rsid w:val="6C5F36F2"/>
    <w:rsid w:val="6C757624"/>
    <w:rsid w:val="6C7647DB"/>
    <w:rsid w:val="6C8F53D5"/>
    <w:rsid w:val="6CA13953"/>
    <w:rsid w:val="6CA3617C"/>
    <w:rsid w:val="6CB60FFA"/>
    <w:rsid w:val="6D13208B"/>
    <w:rsid w:val="6D200DFB"/>
    <w:rsid w:val="6D393297"/>
    <w:rsid w:val="6D5429BA"/>
    <w:rsid w:val="6D5C067D"/>
    <w:rsid w:val="6D7B2C20"/>
    <w:rsid w:val="6D8A43C0"/>
    <w:rsid w:val="6D8B6F7C"/>
    <w:rsid w:val="6D8D3668"/>
    <w:rsid w:val="6DCB4E6C"/>
    <w:rsid w:val="6DCD5299"/>
    <w:rsid w:val="6DE01BBF"/>
    <w:rsid w:val="6E2264D0"/>
    <w:rsid w:val="6E5F5E5F"/>
    <w:rsid w:val="6E894C49"/>
    <w:rsid w:val="6E8D20B6"/>
    <w:rsid w:val="6EB163AB"/>
    <w:rsid w:val="6EBC4076"/>
    <w:rsid w:val="6F0C5595"/>
    <w:rsid w:val="6F182462"/>
    <w:rsid w:val="6F2F4F8C"/>
    <w:rsid w:val="6F332C41"/>
    <w:rsid w:val="6F390F0B"/>
    <w:rsid w:val="6F3F3443"/>
    <w:rsid w:val="6F4E663A"/>
    <w:rsid w:val="6F5275CA"/>
    <w:rsid w:val="6F6A3158"/>
    <w:rsid w:val="6F9700ED"/>
    <w:rsid w:val="6F9E3DE7"/>
    <w:rsid w:val="6FB50455"/>
    <w:rsid w:val="6FCB4964"/>
    <w:rsid w:val="6FE664E2"/>
    <w:rsid w:val="6FFF714F"/>
    <w:rsid w:val="70052556"/>
    <w:rsid w:val="700E342A"/>
    <w:rsid w:val="705345A1"/>
    <w:rsid w:val="70705933"/>
    <w:rsid w:val="70B22F47"/>
    <w:rsid w:val="70C675B2"/>
    <w:rsid w:val="70D46C21"/>
    <w:rsid w:val="71042CDF"/>
    <w:rsid w:val="710A79C7"/>
    <w:rsid w:val="71796907"/>
    <w:rsid w:val="719832A0"/>
    <w:rsid w:val="719E51B1"/>
    <w:rsid w:val="71A363D3"/>
    <w:rsid w:val="71AB2E6B"/>
    <w:rsid w:val="71B10072"/>
    <w:rsid w:val="71B45C39"/>
    <w:rsid w:val="71DB652D"/>
    <w:rsid w:val="72106C4E"/>
    <w:rsid w:val="723B65A4"/>
    <w:rsid w:val="72597F29"/>
    <w:rsid w:val="7281292C"/>
    <w:rsid w:val="72941CFD"/>
    <w:rsid w:val="729C0F23"/>
    <w:rsid w:val="72A069C1"/>
    <w:rsid w:val="72B20C24"/>
    <w:rsid w:val="72B952BA"/>
    <w:rsid w:val="7312233B"/>
    <w:rsid w:val="733F6832"/>
    <w:rsid w:val="734122D5"/>
    <w:rsid w:val="734E4651"/>
    <w:rsid w:val="73892D00"/>
    <w:rsid w:val="73A16C0F"/>
    <w:rsid w:val="73AB60E5"/>
    <w:rsid w:val="73EA5E8C"/>
    <w:rsid w:val="73F77E64"/>
    <w:rsid w:val="740A571F"/>
    <w:rsid w:val="741B3F7D"/>
    <w:rsid w:val="741E17A3"/>
    <w:rsid w:val="741F21D7"/>
    <w:rsid w:val="74482150"/>
    <w:rsid w:val="74715218"/>
    <w:rsid w:val="74815008"/>
    <w:rsid w:val="74B51B81"/>
    <w:rsid w:val="74BC5EAD"/>
    <w:rsid w:val="750618F4"/>
    <w:rsid w:val="751D6EAE"/>
    <w:rsid w:val="755E65D0"/>
    <w:rsid w:val="75643A36"/>
    <w:rsid w:val="758354CB"/>
    <w:rsid w:val="758B50A5"/>
    <w:rsid w:val="75AD48DD"/>
    <w:rsid w:val="75C66472"/>
    <w:rsid w:val="75D83A64"/>
    <w:rsid w:val="75DE409F"/>
    <w:rsid w:val="75E164E9"/>
    <w:rsid w:val="75E97F3E"/>
    <w:rsid w:val="75F369F1"/>
    <w:rsid w:val="76111D59"/>
    <w:rsid w:val="761D35DF"/>
    <w:rsid w:val="76534C79"/>
    <w:rsid w:val="765915B5"/>
    <w:rsid w:val="76A77975"/>
    <w:rsid w:val="76B35027"/>
    <w:rsid w:val="76EA68D3"/>
    <w:rsid w:val="76F465A9"/>
    <w:rsid w:val="77016EF2"/>
    <w:rsid w:val="77183800"/>
    <w:rsid w:val="77A6421A"/>
    <w:rsid w:val="77EB5ADD"/>
    <w:rsid w:val="77F72FEA"/>
    <w:rsid w:val="78551067"/>
    <w:rsid w:val="78663A43"/>
    <w:rsid w:val="787633A8"/>
    <w:rsid w:val="787B6380"/>
    <w:rsid w:val="787C706C"/>
    <w:rsid w:val="78886D34"/>
    <w:rsid w:val="78B03729"/>
    <w:rsid w:val="78B675BE"/>
    <w:rsid w:val="79070416"/>
    <w:rsid w:val="791E2704"/>
    <w:rsid w:val="7951352E"/>
    <w:rsid w:val="79527F04"/>
    <w:rsid w:val="79884FB5"/>
    <w:rsid w:val="799F554E"/>
    <w:rsid w:val="79A8758F"/>
    <w:rsid w:val="7A1F52D6"/>
    <w:rsid w:val="7A3B2B0F"/>
    <w:rsid w:val="7A40652A"/>
    <w:rsid w:val="7A943841"/>
    <w:rsid w:val="7AD44534"/>
    <w:rsid w:val="7AE52F04"/>
    <w:rsid w:val="7B0603FD"/>
    <w:rsid w:val="7B0C33F6"/>
    <w:rsid w:val="7B0E3C63"/>
    <w:rsid w:val="7B116763"/>
    <w:rsid w:val="7B2727C8"/>
    <w:rsid w:val="7B323229"/>
    <w:rsid w:val="7B602064"/>
    <w:rsid w:val="7B9E56F8"/>
    <w:rsid w:val="7BDD60B7"/>
    <w:rsid w:val="7C1F180C"/>
    <w:rsid w:val="7C405611"/>
    <w:rsid w:val="7C6013B8"/>
    <w:rsid w:val="7C6F0FEA"/>
    <w:rsid w:val="7C7A300E"/>
    <w:rsid w:val="7C814BDF"/>
    <w:rsid w:val="7CB91A76"/>
    <w:rsid w:val="7CEA13BE"/>
    <w:rsid w:val="7D11684E"/>
    <w:rsid w:val="7D2704E5"/>
    <w:rsid w:val="7D2A2E80"/>
    <w:rsid w:val="7D735848"/>
    <w:rsid w:val="7D7A3B17"/>
    <w:rsid w:val="7DC50D1C"/>
    <w:rsid w:val="7DFA0E7A"/>
    <w:rsid w:val="7E006825"/>
    <w:rsid w:val="7E1A60B1"/>
    <w:rsid w:val="7E264B27"/>
    <w:rsid w:val="7E28182F"/>
    <w:rsid w:val="7E4F2F74"/>
    <w:rsid w:val="7E56364B"/>
    <w:rsid w:val="7E670645"/>
    <w:rsid w:val="7E77334B"/>
    <w:rsid w:val="7E7C7714"/>
    <w:rsid w:val="7E9A5B86"/>
    <w:rsid w:val="7ED10FD5"/>
    <w:rsid w:val="7EE232A6"/>
    <w:rsid w:val="7EF75503"/>
    <w:rsid w:val="7F4A66AC"/>
    <w:rsid w:val="7F4D360C"/>
    <w:rsid w:val="7F6379EA"/>
    <w:rsid w:val="7FBA7D91"/>
    <w:rsid w:val="7FBC56C6"/>
    <w:rsid w:val="7FD36B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3"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600" w:lineRule="atLeast"/>
      <w:ind w:firstLine="624"/>
      <w:jc w:val="both"/>
    </w:pPr>
    <w:rPr>
      <w:rFonts w:ascii="仿宋_GB2312" w:hAnsi="Times New Roman" w:eastAsia="仿宋_GB2312" w:cs="Times New Roman"/>
      <w:kern w:val="0"/>
      <w:sz w:val="32"/>
      <w:szCs w:val="32"/>
      <w:lang w:val="en-US" w:eastAsia="zh-CN" w:bidi="ar-SA"/>
    </w:rPr>
  </w:style>
  <w:style w:type="paragraph" w:styleId="3">
    <w:name w:val="heading 1"/>
    <w:basedOn w:val="1"/>
    <w:next w:val="1"/>
    <w:qFormat/>
    <w:uiPriority w:val="9"/>
    <w:pPr>
      <w:keepNext/>
      <w:keepLines/>
      <w:spacing w:before="180" w:after="180"/>
      <w:jc w:val="center"/>
      <w:outlineLvl w:val="0"/>
    </w:pPr>
    <w:rPr>
      <w:rFonts w:eastAsia="方正小标宋简体"/>
      <w:b/>
      <w:bCs/>
      <w:kern w:val="44"/>
      <w:sz w:val="40"/>
      <w:szCs w:val="44"/>
    </w:rPr>
  </w:style>
  <w:style w:type="paragraph" w:styleId="4">
    <w:name w:val="heading 2"/>
    <w:next w:val="1"/>
    <w:unhideWhenUsed/>
    <w:qFormat/>
    <w:uiPriority w:val="9"/>
    <w:pPr>
      <w:keepNext/>
      <w:keepLines/>
      <w:spacing w:before="60" w:after="60" w:line="360" w:lineRule="auto"/>
      <w:jc w:val="center"/>
      <w:outlineLvl w:val="1"/>
    </w:pPr>
    <w:rPr>
      <w:rFonts w:ascii="Times New Roman" w:hAnsi="Times New Roman" w:eastAsia="方正小标宋简体" w:cs="Times New Roman"/>
      <w:b/>
      <w:bCs/>
      <w:kern w:val="2"/>
      <w:sz w:val="36"/>
      <w:szCs w:val="32"/>
      <w:lang w:val="en-US" w:eastAsia="zh-CN" w:bidi="ar-SA"/>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table of authorities"/>
    <w:basedOn w:val="1"/>
    <w:next w:val="1"/>
    <w:qFormat/>
    <w:uiPriority w:val="99"/>
    <w:pPr>
      <w:ind w:left="420" w:leftChars="200"/>
    </w:pPr>
  </w:style>
  <w:style w:type="paragraph" w:styleId="6">
    <w:name w:val="toc 3"/>
    <w:basedOn w:val="1"/>
    <w:next w:val="1"/>
    <w:unhideWhenUsed/>
    <w:qFormat/>
    <w:uiPriority w:val="39"/>
    <w:pPr>
      <w:ind w:left="840" w:leftChars="400"/>
    </w:pPr>
  </w:style>
  <w:style w:type="paragraph" w:styleId="7">
    <w:name w:val="footer"/>
    <w:basedOn w:val="1"/>
    <w:link w:val="14"/>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4">
    <w:name w:val="页脚 Char"/>
    <w:basedOn w:val="13"/>
    <w:link w:val="7"/>
    <w:qFormat/>
    <w:uiPriority w:val="99"/>
    <w:rPr>
      <w:rFonts w:ascii="仿宋_GB2312" w:hAnsi="Times New Roman" w:eastAsia="仿宋_GB2312" w:cs="Times New Roman"/>
      <w:kern w:val="0"/>
      <w:sz w:val="18"/>
      <w:szCs w:val="18"/>
    </w:rPr>
  </w:style>
  <w:style w:type="character" w:customStyle="1" w:styleId="15">
    <w:name w:val="页眉 Char"/>
    <w:basedOn w:val="13"/>
    <w:link w:val="8"/>
    <w:semiHidden/>
    <w:qFormat/>
    <w:uiPriority w:val="99"/>
    <w:rPr>
      <w:rFonts w:ascii="仿宋_GB2312" w:hAnsi="Times New Roman" w:eastAsia="仿宋_GB2312" w:cs="Times New Roman"/>
      <w:kern w:val="0"/>
      <w:sz w:val="18"/>
      <w:szCs w:val="18"/>
    </w:rPr>
  </w:style>
  <w:style w:type="paragraph" w:styleId="16">
    <w:name w:val="List Paragraph"/>
    <w:basedOn w:val="1"/>
    <w:qFormat/>
    <w:uiPriority w:val="34"/>
    <w:pPr>
      <w:ind w:firstLine="420" w:firstLineChars="200"/>
    </w:p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790</Words>
  <Characters>817</Characters>
  <Lines>12</Lines>
  <Paragraphs>3</Paragraphs>
  <TotalTime>4</TotalTime>
  <ScaleCrop>false</ScaleCrop>
  <LinksUpToDate>false</LinksUpToDate>
  <CharactersWithSpaces>879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2020-07-10T01:00:00Z</dcterms:created>
  <dc:creator>Administrator</dc:creator>
  <cp:lastModifiedBy>寻找幸福的丫头</cp:lastModifiedBy>
  <cp:lastPrinted>2020-11-20T08:45:00Z</cp:lastPrinted>
  <dcterms:modified xsi:type="dcterms:W3CDTF">2026-01-27T03:08:21Z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453482281_btnclosed</vt:lpwstr>
  </property>
  <property fmtid="{D5CDD505-2E9C-101B-9397-08002B2CF9AE}" pid="4" name="ICV">
    <vt:lpwstr>860D68904B444937AED2359198D53B41_13</vt:lpwstr>
  </property>
  <property fmtid="{D5CDD505-2E9C-101B-9397-08002B2CF9AE}" pid="5" name="commondata">
    <vt:lpwstr>eyJoZGlkIjoiMWNhMmY4ZmM5Yzg4MzE4ZWY3NjMwZGMyNzI2NDdmYjcifQ==</vt:lpwstr>
  </property>
  <property fmtid="{D5CDD505-2E9C-101B-9397-08002B2CF9AE}" pid="6" name="KSOTemplateDocerSaveRecord">
    <vt:lpwstr>eyJoZGlkIjoiYmI1M2NmOGI2YWRiNTU5NGQxMjk1Njc1YTZmZjhjOWMiLCJ1c2VySWQiOiIyMTc4ODk1MzkifQ==</vt:lpwstr>
  </property>
</Properties>
</file>