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adjustRightInd w:val="0"/>
        <w:spacing w:before="0" w:after="0" w:line="560" w:lineRule="exact"/>
        <w:ind w:firstLine="0"/>
        <w:jc w:val="center"/>
        <w:rPr>
          <w:rFonts w:eastAsia="方正小标宋简体"/>
          <w:b w:val="0"/>
          <w:bCs/>
          <w:szCs w:val="44"/>
        </w:rPr>
      </w:pPr>
      <w:r>
        <w:rPr>
          <w:rFonts w:eastAsia="方正小标宋简体"/>
          <w:b w:val="0"/>
          <w:bCs/>
          <w:szCs w:val="44"/>
        </w:rPr>
        <w:t>连云</w:t>
      </w:r>
      <w:r>
        <w:rPr>
          <w:rFonts w:hint="eastAsia" w:eastAsia="方正小标宋简体"/>
          <w:b w:val="0"/>
          <w:bCs/>
          <w:szCs w:val="44"/>
        </w:rPr>
        <w:t>区</w:t>
      </w:r>
      <w:r>
        <w:rPr>
          <w:rFonts w:eastAsia="方正小标宋简体"/>
          <w:b w:val="0"/>
          <w:bCs/>
          <w:szCs w:val="44"/>
        </w:rPr>
        <w:t>食品安全事故应急预案</w:t>
      </w:r>
    </w:p>
    <w:p>
      <w:pPr>
        <w:spacing w:line="560" w:lineRule="exact"/>
        <w:jc w:val="center"/>
        <w:rPr>
          <w:rFonts w:eastAsia="方正小标宋简体"/>
          <w:color w:val="000000"/>
          <w:sz w:val="44"/>
          <w:szCs w:val="44"/>
        </w:rPr>
      </w:pPr>
    </w:p>
    <w:p>
      <w:pPr>
        <w:pStyle w:val="2"/>
        <w:keepNext w:val="0"/>
        <w:keepLines w:val="0"/>
        <w:adjustRightInd w:val="0"/>
        <w:spacing w:before="0" w:after="0" w:line="560" w:lineRule="exact"/>
        <w:ind w:firstLine="0"/>
        <w:jc w:val="center"/>
        <w:rPr>
          <w:rFonts w:eastAsia="方正小标宋简体"/>
          <w:b w:val="0"/>
          <w:bCs/>
          <w:szCs w:val="44"/>
        </w:rPr>
      </w:pPr>
      <w:r>
        <w:rPr>
          <w:rFonts w:eastAsia="方正小标宋简体"/>
          <w:b w:val="0"/>
          <w:bCs/>
          <w:szCs w:val="44"/>
        </w:rPr>
        <w:t>目   录</w:t>
      </w:r>
    </w:p>
    <w:p>
      <w:pPr>
        <w:spacing w:line="560" w:lineRule="exact"/>
        <w:jc w:val="center"/>
      </w:pPr>
    </w:p>
    <w:p>
      <w:pPr>
        <w:widowControl/>
        <w:spacing w:line="560" w:lineRule="exact"/>
        <w:ind w:firstLine="640" w:firstLineChars="200"/>
        <w:outlineLvl w:val="0"/>
        <w:rPr>
          <w:rFonts w:eastAsia="仿宋_GB2312"/>
          <w:b/>
          <w:color w:val="000000"/>
          <w:sz w:val="32"/>
          <w:szCs w:val="32"/>
        </w:rPr>
      </w:pPr>
      <w:r>
        <w:rPr>
          <w:rFonts w:eastAsia="仿宋_GB2312"/>
          <w:b/>
          <w:color w:val="000000"/>
          <w:sz w:val="32"/>
          <w:szCs w:val="32"/>
        </w:rPr>
        <w:t>1  总则</w:t>
      </w:r>
    </w:p>
    <w:p>
      <w:pPr>
        <w:autoSpaceDE w:val="0"/>
        <w:autoSpaceDN w:val="0"/>
        <w:adjustRightInd w:val="0"/>
        <w:spacing w:line="560" w:lineRule="exact"/>
        <w:ind w:firstLine="1120" w:firstLineChars="350"/>
        <w:rPr>
          <w:rFonts w:eastAsia="仿宋_GB2312"/>
          <w:sz w:val="32"/>
          <w:szCs w:val="32"/>
        </w:rPr>
      </w:pPr>
      <w:r>
        <w:rPr>
          <w:rFonts w:eastAsia="仿宋_GB2312"/>
          <w:sz w:val="32"/>
          <w:szCs w:val="32"/>
        </w:rPr>
        <w:t>1.1  编制目的</w:t>
      </w:r>
    </w:p>
    <w:p>
      <w:pPr>
        <w:autoSpaceDE w:val="0"/>
        <w:autoSpaceDN w:val="0"/>
        <w:adjustRightInd w:val="0"/>
        <w:spacing w:line="560" w:lineRule="exact"/>
        <w:ind w:firstLine="1120" w:firstLineChars="350"/>
        <w:rPr>
          <w:rFonts w:eastAsia="仿宋_GB2312"/>
          <w:sz w:val="32"/>
          <w:szCs w:val="32"/>
        </w:rPr>
      </w:pPr>
      <w:r>
        <w:rPr>
          <w:rFonts w:eastAsia="仿宋_GB2312"/>
          <w:sz w:val="32"/>
          <w:szCs w:val="32"/>
        </w:rPr>
        <w:t>1.2  编制依据</w:t>
      </w:r>
    </w:p>
    <w:p>
      <w:pPr>
        <w:autoSpaceDE w:val="0"/>
        <w:autoSpaceDN w:val="0"/>
        <w:adjustRightInd w:val="0"/>
        <w:spacing w:line="560" w:lineRule="exact"/>
        <w:ind w:firstLine="1120" w:firstLineChars="350"/>
        <w:rPr>
          <w:rFonts w:eastAsia="仿宋_GB2312"/>
          <w:sz w:val="32"/>
          <w:szCs w:val="32"/>
        </w:rPr>
      </w:pPr>
      <w:r>
        <w:rPr>
          <w:rFonts w:eastAsia="仿宋_GB2312"/>
          <w:sz w:val="32"/>
          <w:szCs w:val="32"/>
        </w:rPr>
        <w:t>1.3  事故分级</w:t>
      </w:r>
    </w:p>
    <w:p>
      <w:pPr>
        <w:autoSpaceDE w:val="0"/>
        <w:autoSpaceDN w:val="0"/>
        <w:adjustRightInd w:val="0"/>
        <w:spacing w:line="560" w:lineRule="exact"/>
        <w:ind w:firstLine="1120" w:firstLineChars="350"/>
        <w:rPr>
          <w:rFonts w:eastAsia="仿宋_GB2312"/>
          <w:sz w:val="32"/>
          <w:szCs w:val="32"/>
        </w:rPr>
      </w:pPr>
      <w:r>
        <w:rPr>
          <w:rFonts w:eastAsia="仿宋_GB2312"/>
          <w:sz w:val="32"/>
          <w:szCs w:val="32"/>
        </w:rPr>
        <w:t>1.4  适用范围</w:t>
      </w:r>
    </w:p>
    <w:p>
      <w:pPr>
        <w:autoSpaceDE w:val="0"/>
        <w:autoSpaceDN w:val="0"/>
        <w:adjustRightInd w:val="0"/>
        <w:spacing w:line="560" w:lineRule="exact"/>
        <w:ind w:firstLine="1120" w:firstLineChars="350"/>
        <w:rPr>
          <w:rFonts w:eastAsia="仿宋_GB2312"/>
          <w:sz w:val="32"/>
          <w:szCs w:val="32"/>
        </w:rPr>
      </w:pPr>
      <w:r>
        <w:rPr>
          <w:rFonts w:eastAsia="仿宋_GB2312"/>
          <w:sz w:val="32"/>
          <w:szCs w:val="32"/>
        </w:rPr>
        <w:t>1.5  事故处置原则</w:t>
      </w:r>
    </w:p>
    <w:p>
      <w:pPr>
        <w:widowControl/>
        <w:spacing w:line="560" w:lineRule="exact"/>
        <w:ind w:firstLine="640" w:firstLineChars="200"/>
        <w:outlineLvl w:val="0"/>
        <w:rPr>
          <w:rFonts w:eastAsia="仿宋_GB2312"/>
          <w:b/>
          <w:color w:val="000000"/>
          <w:sz w:val="32"/>
          <w:szCs w:val="32"/>
        </w:rPr>
      </w:pPr>
      <w:r>
        <w:rPr>
          <w:rFonts w:eastAsia="仿宋_GB2312"/>
          <w:b/>
          <w:color w:val="000000"/>
          <w:sz w:val="32"/>
          <w:szCs w:val="32"/>
        </w:rPr>
        <w:t>2  组织体系</w:t>
      </w:r>
    </w:p>
    <w:p>
      <w:pPr>
        <w:autoSpaceDE w:val="0"/>
        <w:autoSpaceDN w:val="0"/>
        <w:adjustRightInd w:val="0"/>
        <w:spacing w:line="560" w:lineRule="exact"/>
        <w:ind w:firstLine="1120" w:firstLineChars="350"/>
        <w:rPr>
          <w:rFonts w:eastAsia="仿宋_GB2312"/>
          <w:sz w:val="32"/>
          <w:szCs w:val="32"/>
        </w:rPr>
      </w:pPr>
      <w:r>
        <w:rPr>
          <w:rFonts w:eastAsia="仿宋_GB2312"/>
          <w:sz w:val="32"/>
          <w:szCs w:val="32"/>
        </w:rPr>
        <w:t xml:space="preserve">2.1  </w:t>
      </w:r>
      <w:r>
        <w:rPr>
          <w:rFonts w:hint="eastAsia" w:eastAsia="仿宋_GB2312"/>
          <w:sz w:val="32"/>
          <w:szCs w:val="32"/>
        </w:rPr>
        <w:t>区</w:t>
      </w:r>
      <w:r>
        <w:rPr>
          <w:rFonts w:eastAsia="仿宋_GB2312"/>
          <w:sz w:val="32"/>
          <w:szCs w:val="32"/>
        </w:rPr>
        <w:t>食品安全委员会</w:t>
      </w:r>
    </w:p>
    <w:p>
      <w:pPr>
        <w:autoSpaceDE w:val="0"/>
        <w:autoSpaceDN w:val="0"/>
        <w:adjustRightInd w:val="0"/>
        <w:spacing w:line="560" w:lineRule="exact"/>
        <w:ind w:firstLine="1120" w:firstLineChars="350"/>
        <w:rPr>
          <w:rFonts w:eastAsia="仿宋_GB2312"/>
          <w:sz w:val="32"/>
          <w:szCs w:val="32"/>
        </w:rPr>
      </w:pPr>
      <w:r>
        <w:rPr>
          <w:rFonts w:eastAsia="仿宋_GB2312"/>
          <w:sz w:val="32"/>
          <w:szCs w:val="32"/>
        </w:rPr>
        <w:t xml:space="preserve">2.2  </w:t>
      </w:r>
      <w:r>
        <w:rPr>
          <w:rFonts w:hint="eastAsia" w:eastAsia="仿宋_GB2312"/>
          <w:sz w:val="32"/>
          <w:szCs w:val="32"/>
        </w:rPr>
        <w:t>区</w:t>
      </w:r>
      <w:r>
        <w:rPr>
          <w:rFonts w:eastAsia="仿宋_GB2312"/>
          <w:sz w:val="32"/>
          <w:szCs w:val="32"/>
        </w:rPr>
        <w:t>食品安全委员会办公室</w:t>
      </w:r>
    </w:p>
    <w:p>
      <w:pPr>
        <w:autoSpaceDE w:val="0"/>
        <w:autoSpaceDN w:val="0"/>
        <w:adjustRightInd w:val="0"/>
        <w:spacing w:line="560" w:lineRule="exact"/>
        <w:ind w:firstLine="1120" w:firstLineChars="350"/>
        <w:rPr>
          <w:rFonts w:eastAsia="仿宋_GB2312"/>
          <w:sz w:val="32"/>
          <w:szCs w:val="32"/>
        </w:rPr>
      </w:pPr>
      <w:r>
        <w:rPr>
          <w:rFonts w:eastAsia="仿宋_GB2312"/>
          <w:sz w:val="32"/>
          <w:szCs w:val="32"/>
        </w:rPr>
        <w:t>2.3  区级指挥机构</w:t>
      </w:r>
    </w:p>
    <w:p>
      <w:pPr>
        <w:widowControl/>
        <w:spacing w:line="560" w:lineRule="exact"/>
        <w:ind w:firstLine="640" w:firstLineChars="200"/>
        <w:outlineLvl w:val="0"/>
        <w:rPr>
          <w:rFonts w:eastAsia="仿宋_GB2312"/>
          <w:b/>
          <w:color w:val="000000"/>
          <w:sz w:val="32"/>
          <w:szCs w:val="32"/>
        </w:rPr>
      </w:pPr>
      <w:r>
        <w:rPr>
          <w:rFonts w:eastAsia="仿宋_GB2312"/>
          <w:b/>
          <w:color w:val="000000"/>
          <w:sz w:val="32"/>
          <w:szCs w:val="32"/>
        </w:rPr>
        <w:t>3  预防预警</w:t>
      </w:r>
    </w:p>
    <w:p>
      <w:pPr>
        <w:autoSpaceDE w:val="0"/>
        <w:autoSpaceDN w:val="0"/>
        <w:adjustRightInd w:val="0"/>
        <w:spacing w:line="560" w:lineRule="exact"/>
        <w:ind w:firstLine="1120" w:firstLineChars="350"/>
        <w:rPr>
          <w:rFonts w:eastAsia="仿宋_GB2312"/>
          <w:sz w:val="32"/>
          <w:szCs w:val="32"/>
        </w:rPr>
      </w:pPr>
      <w:r>
        <w:rPr>
          <w:rFonts w:eastAsia="仿宋_GB2312"/>
          <w:sz w:val="32"/>
          <w:szCs w:val="32"/>
        </w:rPr>
        <w:t>3.1  预防和应急准备</w:t>
      </w:r>
    </w:p>
    <w:p>
      <w:pPr>
        <w:autoSpaceDE w:val="0"/>
        <w:autoSpaceDN w:val="0"/>
        <w:adjustRightInd w:val="0"/>
        <w:spacing w:line="560" w:lineRule="exact"/>
        <w:ind w:firstLine="1120" w:firstLineChars="350"/>
        <w:rPr>
          <w:rFonts w:eastAsia="仿宋_GB2312"/>
          <w:sz w:val="32"/>
          <w:szCs w:val="32"/>
        </w:rPr>
      </w:pPr>
      <w:r>
        <w:rPr>
          <w:rFonts w:eastAsia="仿宋_GB2312"/>
          <w:sz w:val="32"/>
          <w:szCs w:val="32"/>
        </w:rPr>
        <w:t>3.2  监测</w:t>
      </w:r>
    </w:p>
    <w:p>
      <w:pPr>
        <w:autoSpaceDE w:val="0"/>
        <w:autoSpaceDN w:val="0"/>
        <w:adjustRightInd w:val="0"/>
        <w:spacing w:line="560" w:lineRule="exact"/>
        <w:ind w:firstLine="1120" w:firstLineChars="350"/>
        <w:rPr>
          <w:rFonts w:eastAsia="仿宋_GB2312"/>
          <w:sz w:val="32"/>
          <w:szCs w:val="32"/>
        </w:rPr>
      </w:pPr>
      <w:r>
        <w:rPr>
          <w:rFonts w:eastAsia="仿宋_GB2312"/>
          <w:sz w:val="32"/>
          <w:szCs w:val="32"/>
        </w:rPr>
        <w:t>3.3  预警</w:t>
      </w:r>
    </w:p>
    <w:p>
      <w:pPr>
        <w:widowControl/>
        <w:spacing w:line="560" w:lineRule="exact"/>
        <w:ind w:firstLine="640" w:firstLineChars="200"/>
        <w:outlineLvl w:val="0"/>
        <w:rPr>
          <w:rFonts w:eastAsia="仿宋_GB2312"/>
          <w:b/>
          <w:color w:val="000000"/>
          <w:sz w:val="32"/>
          <w:szCs w:val="32"/>
        </w:rPr>
      </w:pPr>
      <w:r>
        <w:rPr>
          <w:rFonts w:eastAsia="仿宋_GB2312"/>
          <w:b/>
          <w:color w:val="000000"/>
          <w:sz w:val="32"/>
          <w:szCs w:val="32"/>
        </w:rPr>
        <w:t>4  信息报告与通报</w:t>
      </w:r>
    </w:p>
    <w:p>
      <w:pPr>
        <w:autoSpaceDE w:val="0"/>
        <w:autoSpaceDN w:val="0"/>
        <w:adjustRightInd w:val="0"/>
        <w:spacing w:line="560" w:lineRule="exact"/>
        <w:ind w:firstLine="1120" w:firstLineChars="350"/>
        <w:rPr>
          <w:rFonts w:eastAsia="仿宋_GB2312"/>
          <w:sz w:val="32"/>
          <w:szCs w:val="32"/>
        </w:rPr>
      </w:pPr>
      <w:r>
        <w:rPr>
          <w:rFonts w:eastAsia="仿宋_GB2312"/>
          <w:sz w:val="32"/>
          <w:szCs w:val="32"/>
        </w:rPr>
        <w:t>4.1  报告主体和时限</w:t>
      </w:r>
    </w:p>
    <w:p>
      <w:pPr>
        <w:autoSpaceDE w:val="0"/>
        <w:autoSpaceDN w:val="0"/>
        <w:adjustRightInd w:val="0"/>
        <w:spacing w:line="560" w:lineRule="exact"/>
        <w:ind w:firstLine="1120" w:firstLineChars="350"/>
        <w:rPr>
          <w:rFonts w:eastAsia="仿宋_GB2312"/>
          <w:sz w:val="32"/>
          <w:szCs w:val="32"/>
        </w:rPr>
      </w:pPr>
      <w:r>
        <w:rPr>
          <w:rFonts w:eastAsia="仿宋_GB2312"/>
          <w:sz w:val="32"/>
          <w:szCs w:val="32"/>
        </w:rPr>
        <w:t>4.2  报告内容</w:t>
      </w:r>
    </w:p>
    <w:p>
      <w:pPr>
        <w:autoSpaceDE w:val="0"/>
        <w:autoSpaceDN w:val="0"/>
        <w:adjustRightInd w:val="0"/>
        <w:spacing w:line="560" w:lineRule="exact"/>
        <w:ind w:firstLine="1120" w:firstLineChars="350"/>
        <w:rPr>
          <w:rFonts w:eastAsia="仿宋_GB2312"/>
          <w:sz w:val="32"/>
          <w:szCs w:val="32"/>
        </w:rPr>
      </w:pPr>
      <w:r>
        <w:rPr>
          <w:rFonts w:eastAsia="仿宋_GB2312"/>
          <w:sz w:val="32"/>
          <w:szCs w:val="32"/>
        </w:rPr>
        <w:t>4.3  事故评估</w:t>
      </w:r>
    </w:p>
    <w:p>
      <w:pPr>
        <w:widowControl/>
        <w:spacing w:line="560" w:lineRule="exact"/>
        <w:ind w:firstLine="640" w:firstLineChars="200"/>
        <w:outlineLvl w:val="0"/>
        <w:rPr>
          <w:rFonts w:eastAsia="仿宋_GB2312"/>
          <w:b/>
          <w:color w:val="000000"/>
          <w:sz w:val="32"/>
          <w:szCs w:val="32"/>
        </w:rPr>
      </w:pPr>
      <w:r>
        <w:rPr>
          <w:rFonts w:eastAsia="仿宋_GB2312"/>
          <w:b/>
          <w:color w:val="000000"/>
          <w:sz w:val="32"/>
          <w:szCs w:val="32"/>
        </w:rPr>
        <w:t>5  应急处置</w:t>
      </w:r>
    </w:p>
    <w:p>
      <w:pPr>
        <w:autoSpaceDE w:val="0"/>
        <w:autoSpaceDN w:val="0"/>
        <w:adjustRightInd w:val="0"/>
        <w:spacing w:line="560" w:lineRule="exact"/>
        <w:ind w:firstLine="1120" w:firstLineChars="350"/>
        <w:rPr>
          <w:rFonts w:eastAsia="仿宋_GB2312"/>
          <w:sz w:val="32"/>
          <w:szCs w:val="32"/>
        </w:rPr>
      </w:pPr>
      <w:r>
        <w:rPr>
          <w:rFonts w:eastAsia="仿宋_GB2312"/>
          <w:sz w:val="32"/>
          <w:szCs w:val="32"/>
        </w:rPr>
        <w:t>5.1  响应分级</w:t>
      </w:r>
    </w:p>
    <w:p>
      <w:pPr>
        <w:autoSpaceDE w:val="0"/>
        <w:autoSpaceDN w:val="0"/>
        <w:adjustRightInd w:val="0"/>
        <w:spacing w:line="560" w:lineRule="exact"/>
        <w:ind w:firstLine="1120" w:firstLineChars="350"/>
        <w:rPr>
          <w:rFonts w:eastAsia="仿宋_GB2312"/>
          <w:sz w:val="32"/>
          <w:szCs w:val="32"/>
        </w:rPr>
      </w:pPr>
      <w:r>
        <w:rPr>
          <w:rFonts w:eastAsia="仿宋_GB2312"/>
          <w:sz w:val="32"/>
          <w:szCs w:val="32"/>
        </w:rPr>
        <w:t>5.2  响应措施</w:t>
      </w:r>
    </w:p>
    <w:p>
      <w:pPr>
        <w:autoSpaceDE w:val="0"/>
        <w:autoSpaceDN w:val="0"/>
        <w:adjustRightInd w:val="0"/>
        <w:spacing w:line="560" w:lineRule="exact"/>
        <w:ind w:firstLine="1120" w:firstLineChars="350"/>
        <w:rPr>
          <w:rFonts w:eastAsia="仿宋_GB2312"/>
          <w:sz w:val="32"/>
          <w:szCs w:val="32"/>
        </w:rPr>
      </w:pPr>
      <w:r>
        <w:rPr>
          <w:rFonts w:eastAsia="仿宋_GB2312"/>
          <w:sz w:val="32"/>
          <w:szCs w:val="32"/>
        </w:rPr>
        <w:t>5.3  响应级别调整及终止</w:t>
      </w:r>
    </w:p>
    <w:p>
      <w:pPr>
        <w:widowControl/>
        <w:spacing w:line="560" w:lineRule="exact"/>
        <w:ind w:firstLine="640" w:firstLineChars="200"/>
        <w:outlineLvl w:val="0"/>
        <w:rPr>
          <w:rFonts w:eastAsia="仿宋_GB2312"/>
          <w:b/>
          <w:color w:val="000000"/>
          <w:sz w:val="32"/>
          <w:szCs w:val="32"/>
        </w:rPr>
      </w:pPr>
      <w:r>
        <w:rPr>
          <w:rFonts w:eastAsia="仿宋_GB2312"/>
          <w:b/>
          <w:color w:val="000000"/>
          <w:sz w:val="32"/>
          <w:szCs w:val="32"/>
        </w:rPr>
        <w:t>6  后期工作</w:t>
      </w:r>
    </w:p>
    <w:p>
      <w:pPr>
        <w:autoSpaceDE w:val="0"/>
        <w:autoSpaceDN w:val="0"/>
        <w:adjustRightInd w:val="0"/>
        <w:spacing w:line="560" w:lineRule="exact"/>
        <w:ind w:firstLine="1120" w:firstLineChars="350"/>
        <w:rPr>
          <w:rFonts w:eastAsia="仿宋_GB2312"/>
          <w:sz w:val="32"/>
          <w:szCs w:val="32"/>
        </w:rPr>
      </w:pPr>
      <w:r>
        <w:rPr>
          <w:rFonts w:eastAsia="仿宋_GB2312"/>
          <w:sz w:val="32"/>
          <w:szCs w:val="32"/>
        </w:rPr>
        <w:t>6.1  善后处置</w:t>
      </w:r>
    </w:p>
    <w:p>
      <w:pPr>
        <w:autoSpaceDE w:val="0"/>
        <w:autoSpaceDN w:val="0"/>
        <w:adjustRightInd w:val="0"/>
        <w:spacing w:line="560" w:lineRule="exact"/>
        <w:ind w:firstLine="1120" w:firstLineChars="350"/>
        <w:rPr>
          <w:rFonts w:eastAsia="仿宋_GB2312"/>
          <w:sz w:val="32"/>
          <w:szCs w:val="32"/>
        </w:rPr>
      </w:pPr>
      <w:r>
        <w:rPr>
          <w:rFonts w:eastAsia="仿宋_GB2312"/>
          <w:sz w:val="32"/>
          <w:szCs w:val="32"/>
        </w:rPr>
        <w:t>6.2  奖励和责任追究</w:t>
      </w:r>
    </w:p>
    <w:p>
      <w:pPr>
        <w:autoSpaceDE w:val="0"/>
        <w:autoSpaceDN w:val="0"/>
        <w:adjustRightInd w:val="0"/>
        <w:spacing w:line="560" w:lineRule="exact"/>
        <w:ind w:firstLine="1120" w:firstLineChars="350"/>
        <w:rPr>
          <w:rFonts w:eastAsia="仿宋_GB2312"/>
          <w:sz w:val="32"/>
          <w:szCs w:val="32"/>
        </w:rPr>
      </w:pPr>
      <w:r>
        <w:rPr>
          <w:rFonts w:eastAsia="仿宋_GB2312"/>
          <w:sz w:val="32"/>
          <w:szCs w:val="32"/>
        </w:rPr>
        <w:t>6.3  总结评估</w:t>
      </w:r>
    </w:p>
    <w:p>
      <w:pPr>
        <w:widowControl/>
        <w:spacing w:line="560" w:lineRule="exact"/>
        <w:ind w:firstLine="640" w:firstLineChars="200"/>
        <w:outlineLvl w:val="0"/>
        <w:rPr>
          <w:rFonts w:eastAsia="仿宋_GB2312"/>
          <w:b/>
          <w:color w:val="000000"/>
          <w:sz w:val="32"/>
          <w:szCs w:val="32"/>
        </w:rPr>
      </w:pPr>
      <w:r>
        <w:rPr>
          <w:rFonts w:eastAsia="仿宋_GB2312"/>
          <w:b/>
          <w:color w:val="000000"/>
          <w:sz w:val="32"/>
          <w:szCs w:val="32"/>
        </w:rPr>
        <w:t>7  应急保障</w:t>
      </w:r>
    </w:p>
    <w:p>
      <w:pPr>
        <w:autoSpaceDE w:val="0"/>
        <w:autoSpaceDN w:val="0"/>
        <w:adjustRightInd w:val="0"/>
        <w:spacing w:line="560" w:lineRule="exact"/>
        <w:ind w:firstLine="1120" w:firstLineChars="350"/>
        <w:rPr>
          <w:rFonts w:eastAsia="仿宋_GB2312"/>
          <w:sz w:val="32"/>
          <w:szCs w:val="32"/>
        </w:rPr>
      </w:pPr>
      <w:r>
        <w:rPr>
          <w:rFonts w:eastAsia="仿宋_GB2312"/>
          <w:sz w:val="32"/>
          <w:szCs w:val="32"/>
        </w:rPr>
        <w:t>7.1  队伍保障</w:t>
      </w:r>
    </w:p>
    <w:p>
      <w:pPr>
        <w:autoSpaceDE w:val="0"/>
        <w:autoSpaceDN w:val="0"/>
        <w:adjustRightInd w:val="0"/>
        <w:spacing w:line="560" w:lineRule="exact"/>
        <w:ind w:firstLine="1120" w:firstLineChars="350"/>
        <w:rPr>
          <w:rFonts w:eastAsia="仿宋_GB2312"/>
          <w:sz w:val="32"/>
          <w:szCs w:val="32"/>
        </w:rPr>
      </w:pPr>
      <w:r>
        <w:rPr>
          <w:rFonts w:eastAsia="仿宋_GB2312"/>
          <w:sz w:val="32"/>
          <w:szCs w:val="32"/>
        </w:rPr>
        <w:t>7.2  信息保障</w:t>
      </w:r>
    </w:p>
    <w:p>
      <w:pPr>
        <w:autoSpaceDE w:val="0"/>
        <w:autoSpaceDN w:val="0"/>
        <w:adjustRightInd w:val="0"/>
        <w:spacing w:line="560" w:lineRule="exact"/>
        <w:ind w:firstLine="1120" w:firstLineChars="350"/>
        <w:rPr>
          <w:rFonts w:eastAsia="仿宋_GB2312"/>
          <w:sz w:val="32"/>
          <w:szCs w:val="32"/>
        </w:rPr>
      </w:pPr>
      <w:r>
        <w:rPr>
          <w:rFonts w:eastAsia="仿宋_GB2312"/>
          <w:sz w:val="32"/>
          <w:szCs w:val="32"/>
        </w:rPr>
        <w:t>7.3  医疗保障</w:t>
      </w:r>
    </w:p>
    <w:p>
      <w:pPr>
        <w:autoSpaceDE w:val="0"/>
        <w:autoSpaceDN w:val="0"/>
        <w:adjustRightInd w:val="0"/>
        <w:spacing w:line="560" w:lineRule="exact"/>
        <w:ind w:firstLine="1120" w:firstLineChars="350"/>
        <w:rPr>
          <w:rFonts w:eastAsia="仿宋_GB2312"/>
          <w:sz w:val="32"/>
          <w:szCs w:val="32"/>
        </w:rPr>
      </w:pPr>
      <w:r>
        <w:rPr>
          <w:rFonts w:eastAsia="仿宋_GB2312"/>
          <w:sz w:val="32"/>
          <w:szCs w:val="32"/>
        </w:rPr>
        <w:t>7.4  物资与资金保障</w:t>
      </w:r>
    </w:p>
    <w:p>
      <w:pPr>
        <w:autoSpaceDE w:val="0"/>
        <w:autoSpaceDN w:val="0"/>
        <w:adjustRightInd w:val="0"/>
        <w:spacing w:line="560" w:lineRule="exact"/>
        <w:ind w:firstLine="1120" w:firstLineChars="350"/>
        <w:rPr>
          <w:rFonts w:eastAsia="仿宋_GB2312"/>
          <w:sz w:val="32"/>
          <w:szCs w:val="32"/>
        </w:rPr>
      </w:pPr>
      <w:r>
        <w:rPr>
          <w:rFonts w:eastAsia="仿宋_GB2312"/>
          <w:sz w:val="32"/>
          <w:szCs w:val="32"/>
        </w:rPr>
        <w:t>7.5  社会动员保障</w:t>
      </w:r>
      <w:r>
        <w:rPr>
          <w:rFonts w:eastAsia="仿宋_GB2312"/>
          <w:sz w:val="32"/>
          <w:szCs w:val="32"/>
        </w:rPr>
        <w:tab/>
      </w:r>
    </w:p>
    <w:p>
      <w:pPr>
        <w:autoSpaceDE w:val="0"/>
        <w:autoSpaceDN w:val="0"/>
        <w:adjustRightInd w:val="0"/>
        <w:spacing w:line="560" w:lineRule="exact"/>
        <w:ind w:firstLine="1120" w:firstLineChars="350"/>
        <w:rPr>
          <w:rFonts w:eastAsia="仿宋_GB2312"/>
          <w:sz w:val="32"/>
          <w:szCs w:val="32"/>
        </w:rPr>
      </w:pPr>
      <w:r>
        <w:rPr>
          <w:rFonts w:eastAsia="仿宋_GB2312"/>
          <w:sz w:val="32"/>
          <w:szCs w:val="32"/>
        </w:rPr>
        <w:t>7.6  技术支持</w:t>
      </w:r>
    </w:p>
    <w:p>
      <w:pPr>
        <w:autoSpaceDE w:val="0"/>
        <w:autoSpaceDN w:val="0"/>
        <w:adjustRightInd w:val="0"/>
        <w:spacing w:line="560" w:lineRule="exact"/>
        <w:ind w:firstLine="1120" w:firstLineChars="350"/>
        <w:rPr>
          <w:rFonts w:eastAsia="仿宋_GB2312"/>
          <w:sz w:val="32"/>
          <w:szCs w:val="32"/>
        </w:rPr>
      </w:pPr>
      <w:r>
        <w:rPr>
          <w:rFonts w:eastAsia="仿宋_GB2312"/>
          <w:sz w:val="32"/>
          <w:szCs w:val="32"/>
        </w:rPr>
        <w:t>7.7  宣教培训</w:t>
      </w:r>
    </w:p>
    <w:p>
      <w:pPr>
        <w:widowControl/>
        <w:spacing w:line="560" w:lineRule="exact"/>
        <w:ind w:firstLine="640" w:firstLineChars="200"/>
        <w:outlineLvl w:val="0"/>
        <w:rPr>
          <w:rFonts w:eastAsia="仿宋_GB2312"/>
          <w:b/>
          <w:color w:val="000000"/>
          <w:sz w:val="32"/>
          <w:szCs w:val="32"/>
        </w:rPr>
      </w:pPr>
      <w:r>
        <w:rPr>
          <w:rFonts w:eastAsia="仿宋_GB2312"/>
          <w:b/>
          <w:color w:val="000000"/>
          <w:sz w:val="32"/>
          <w:szCs w:val="32"/>
        </w:rPr>
        <w:t>8  附则</w:t>
      </w:r>
    </w:p>
    <w:p>
      <w:pPr>
        <w:autoSpaceDE w:val="0"/>
        <w:autoSpaceDN w:val="0"/>
        <w:adjustRightInd w:val="0"/>
        <w:spacing w:line="560" w:lineRule="exact"/>
        <w:ind w:firstLine="1120" w:firstLineChars="350"/>
        <w:rPr>
          <w:rFonts w:eastAsia="仿宋_GB2312"/>
          <w:sz w:val="32"/>
          <w:szCs w:val="32"/>
        </w:rPr>
      </w:pPr>
      <w:r>
        <w:rPr>
          <w:rFonts w:eastAsia="仿宋_GB2312"/>
          <w:sz w:val="32"/>
          <w:szCs w:val="32"/>
        </w:rPr>
        <w:t>8.1  预案管理</w:t>
      </w:r>
    </w:p>
    <w:p>
      <w:pPr>
        <w:autoSpaceDE w:val="0"/>
        <w:autoSpaceDN w:val="0"/>
        <w:adjustRightInd w:val="0"/>
        <w:spacing w:line="560" w:lineRule="exact"/>
        <w:ind w:firstLine="1120" w:firstLineChars="350"/>
        <w:rPr>
          <w:rFonts w:eastAsia="仿宋_GB2312"/>
          <w:sz w:val="32"/>
          <w:szCs w:val="32"/>
        </w:rPr>
      </w:pPr>
      <w:r>
        <w:rPr>
          <w:rFonts w:eastAsia="仿宋_GB2312"/>
          <w:sz w:val="32"/>
          <w:szCs w:val="32"/>
        </w:rPr>
        <w:t>8.2  预案解释</w:t>
      </w:r>
    </w:p>
    <w:p>
      <w:pPr>
        <w:autoSpaceDE w:val="0"/>
        <w:autoSpaceDN w:val="0"/>
        <w:adjustRightInd w:val="0"/>
        <w:spacing w:line="560" w:lineRule="exact"/>
        <w:ind w:firstLine="1120" w:firstLineChars="350"/>
        <w:rPr>
          <w:rFonts w:eastAsia="仿宋_GB2312"/>
          <w:sz w:val="32"/>
          <w:szCs w:val="32"/>
        </w:rPr>
      </w:pPr>
      <w:r>
        <w:rPr>
          <w:rFonts w:eastAsia="仿宋_GB2312"/>
          <w:sz w:val="32"/>
          <w:szCs w:val="32"/>
        </w:rPr>
        <w:t>8.3  预案实施</w:t>
      </w:r>
    </w:p>
    <w:p>
      <w:pPr>
        <w:adjustRightInd w:val="0"/>
        <w:spacing w:line="560" w:lineRule="exact"/>
        <w:ind w:firstLine="640" w:firstLineChars="200"/>
        <w:rPr>
          <w:rFonts w:eastAsia="仿宋_GB2312"/>
          <w:b/>
          <w:color w:val="000000"/>
          <w:sz w:val="32"/>
          <w:szCs w:val="32"/>
        </w:rPr>
      </w:pPr>
      <w:r>
        <w:rPr>
          <w:rFonts w:eastAsia="方正黑体_GBK"/>
          <w:sz w:val="32"/>
          <w:szCs w:val="32"/>
        </w:rPr>
        <w:br w:type="page"/>
      </w:r>
      <w:r>
        <w:rPr>
          <w:rFonts w:eastAsia="仿宋_GB2312"/>
          <w:b/>
          <w:color w:val="000000"/>
          <w:sz w:val="32"/>
          <w:szCs w:val="32"/>
        </w:rPr>
        <w:t>1  总则</w:t>
      </w:r>
    </w:p>
    <w:p>
      <w:pPr>
        <w:adjustRightInd w:val="0"/>
        <w:spacing w:line="560" w:lineRule="exact"/>
        <w:ind w:firstLine="640" w:firstLineChars="200"/>
        <w:rPr>
          <w:rFonts w:eastAsia="楷体_GB2312"/>
          <w:sz w:val="32"/>
          <w:szCs w:val="32"/>
        </w:rPr>
      </w:pPr>
      <w:r>
        <w:rPr>
          <w:rFonts w:eastAsia="楷体_GB2312"/>
          <w:sz w:val="32"/>
          <w:szCs w:val="32"/>
        </w:rPr>
        <w:t xml:space="preserve">1.1  </w:t>
      </w:r>
      <w:r>
        <w:rPr>
          <w:rFonts w:hint="eastAsia" w:ascii="楷体" w:hAnsi="楷体" w:eastAsia="楷体" w:cs="楷体"/>
          <w:sz w:val="32"/>
          <w:szCs w:val="32"/>
        </w:rPr>
        <w:t>编制目的</w:t>
      </w:r>
    </w:p>
    <w:p>
      <w:pPr>
        <w:adjustRightInd w:val="0"/>
        <w:spacing w:line="560" w:lineRule="exact"/>
        <w:ind w:firstLine="640" w:firstLineChars="200"/>
        <w:rPr>
          <w:rFonts w:eastAsia="仿宋_GB2312"/>
          <w:sz w:val="32"/>
          <w:szCs w:val="32"/>
        </w:rPr>
      </w:pPr>
      <w:r>
        <w:rPr>
          <w:rFonts w:hint="eastAsia" w:eastAsia="仿宋_GB2312"/>
          <w:color w:val="000000"/>
          <w:kern w:val="0"/>
          <w:sz w:val="32"/>
          <w:szCs w:val="32"/>
        </w:rPr>
        <w:t>建立健全应对食品安全事故运行机制，强化应急准备，有效预防、积极应对食品安全事故，高效组织应急处置工作，最大限度地减少食品安全事故的危害；严格遵循食品安全“四个最严”要求，坚持以人民为中心的发展思想，保障公众健康与生命安全，维护正常的社会经济秩序和社会稳定。</w:t>
      </w:r>
    </w:p>
    <w:p>
      <w:pPr>
        <w:adjustRightInd w:val="0"/>
        <w:spacing w:line="560" w:lineRule="exact"/>
        <w:ind w:firstLine="640" w:firstLineChars="200"/>
        <w:rPr>
          <w:rFonts w:eastAsia="楷体_GB2312"/>
          <w:sz w:val="32"/>
          <w:szCs w:val="32"/>
        </w:rPr>
      </w:pPr>
      <w:r>
        <w:rPr>
          <w:rFonts w:eastAsia="楷体_GB2312"/>
          <w:sz w:val="32"/>
          <w:szCs w:val="32"/>
        </w:rPr>
        <w:t xml:space="preserve">1.2  </w:t>
      </w:r>
      <w:r>
        <w:rPr>
          <w:rFonts w:hint="eastAsia" w:ascii="楷体" w:hAnsi="楷体" w:eastAsia="楷体" w:cs="楷体"/>
          <w:sz w:val="32"/>
          <w:szCs w:val="32"/>
        </w:rPr>
        <w:t>编制依据</w:t>
      </w:r>
    </w:p>
    <w:p>
      <w:pPr>
        <w:adjustRightIn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依据《中华人民共和国食品安全法》《中华人民共和国突发事件应对法》《中华人民共和国农产品质量安全法》《中华人民共和国食品安全法实施条例》《地方党政领导干部食品安全责任制规定》《中共中央国务院关于深化改革加强食品安全工作的意见》《国务院关于加强食品安全工作的决定》《国家食品安全事故应急预案》《国务院突发公共卫生事件应急条例》《江苏省实施〈中华人民共和国突发事件应对法〉办法》《江苏省食品安全事故应急预案》《连云港市突发事件总体应急预案》《连云港市食品安全事故应急预案》等法律法规及规定，制定本预案。</w:t>
      </w:r>
    </w:p>
    <w:p>
      <w:pPr>
        <w:adjustRightInd w:val="0"/>
        <w:spacing w:line="560" w:lineRule="exact"/>
        <w:ind w:firstLine="640" w:firstLineChars="200"/>
        <w:rPr>
          <w:rFonts w:eastAsia="楷体_GB2312"/>
          <w:sz w:val="32"/>
          <w:szCs w:val="32"/>
        </w:rPr>
      </w:pPr>
      <w:r>
        <w:rPr>
          <w:rFonts w:eastAsia="楷体_GB2312"/>
          <w:sz w:val="32"/>
          <w:szCs w:val="32"/>
        </w:rPr>
        <w:t xml:space="preserve">1.3  </w:t>
      </w:r>
      <w:r>
        <w:rPr>
          <w:rFonts w:hint="eastAsia" w:ascii="楷体" w:hAnsi="楷体" w:eastAsia="楷体" w:cs="楷体"/>
          <w:sz w:val="32"/>
          <w:szCs w:val="32"/>
        </w:rPr>
        <w:t>事故分级</w:t>
      </w:r>
    </w:p>
    <w:p>
      <w:pPr>
        <w:adjustRightIn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食品安全事故，指食物中毒、食源性疾病、食品污染等源于食品，对人体健康有危害或者可能有危害的事故。按照社会危害程度、影响范围等因素，食品安全事故共分四级，即特别重大食品安全事故、重大食品安全事故、较大食品安全事故和一般食品安全事故。事故等级的评估核定，由卫健部门会同有关部门依照有关规定进行。食品安全事故分级标准见附件1。</w:t>
      </w:r>
    </w:p>
    <w:p>
      <w:pPr>
        <w:adjustRightInd w:val="0"/>
        <w:spacing w:line="560" w:lineRule="exact"/>
        <w:ind w:firstLine="640" w:firstLineChars="200"/>
        <w:rPr>
          <w:rFonts w:eastAsia="楷体_GB2312"/>
          <w:sz w:val="32"/>
          <w:szCs w:val="32"/>
        </w:rPr>
      </w:pPr>
      <w:r>
        <w:rPr>
          <w:rFonts w:eastAsia="楷体_GB2312"/>
          <w:sz w:val="32"/>
          <w:szCs w:val="32"/>
        </w:rPr>
        <w:t xml:space="preserve">1.4  </w:t>
      </w:r>
      <w:r>
        <w:rPr>
          <w:rFonts w:hint="eastAsia" w:ascii="楷体" w:hAnsi="楷体" w:eastAsia="楷体" w:cs="楷体"/>
          <w:sz w:val="32"/>
          <w:szCs w:val="32"/>
        </w:rPr>
        <w:t>适用范围</w:t>
      </w:r>
    </w:p>
    <w:p>
      <w:pPr>
        <w:adjustRightInd w:val="0"/>
        <w:spacing w:line="560" w:lineRule="exact"/>
        <w:ind w:firstLine="640" w:firstLineChars="200"/>
        <w:rPr>
          <w:rFonts w:eastAsia="仿宋_GB2312"/>
          <w:spacing w:val="-4"/>
          <w:sz w:val="32"/>
          <w:szCs w:val="32"/>
        </w:rPr>
      </w:pPr>
      <w:r>
        <w:rPr>
          <w:rFonts w:hint="eastAsia" w:eastAsia="仿宋_GB2312"/>
          <w:color w:val="000000"/>
          <w:kern w:val="0"/>
          <w:sz w:val="32"/>
          <w:szCs w:val="32"/>
        </w:rPr>
        <w:t>本预案适用于连云区范围内发生的食品安全事故应对工作。铁路运营中发生的食品安全事故，按照铁路部门有关预案配合做好应对工作。</w:t>
      </w:r>
    </w:p>
    <w:p>
      <w:pPr>
        <w:adjustRightInd w:val="0"/>
        <w:spacing w:line="560" w:lineRule="exact"/>
        <w:ind w:firstLine="640" w:firstLineChars="200"/>
        <w:rPr>
          <w:rFonts w:eastAsia="楷体_GB2312"/>
          <w:sz w:val="32"/>
          <w:szCs w:val="32"/>
        </w:rPr>
      </w:pPr>
      <w:r>
        <w:rPr>
          <w:rFonts w:eastAsia="楷体_GB2312"/>
          <w:sz w:val="32"/>
          <w:szCs w:val="32"/>
        </w:rPr>
        <w:t xml:space="preserve">1.5  </w:t>
      </w:r>
      <w:r>
        <w:rPr>
          <w:rFonts w:hint="eastAsia" w:ascii="楷体" w:hAnsi="楷体" w:eastAsia="楷体" w:cs="楷体"/>
          <w:sz w:val="32"/>
          <w:szCs w:val="32"/>
        </w:rPr>
        <w:t>事故处置原则</w:t>
      </w:r>
    </w:p>
    <w:p>
      <w:pPr>
        <w:adjustRightIn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（1）以人为本，减少危害。把保障公众健康和生命安全作为应急处置的首要任务，最大限度减少食品安全事故造成的人员伤亡和健康损害。</w:t>
      </w:r>
    </w:p>
    <w:p>
      <w:pPr>
        <w:adjustRightInd w:val="0"/>
        <w:spacing w:line="560" w:lineRule="exact"/>
        <w:ind w:firstLine="640" w:firstLineChars="200"/>
        <w:rPr>
          <w:rFonts w:eastAsia="仿宋_GB2312"/>
          <w:color w:val="000000"/>
          <w:kern w:val="0"/>
          <w:sz w:val="32"/>
          <w:szCs w:val="32"/>
        </w:rPr>
      </w:pPr>
      <w:r>
        <w:rPr>
          <w:rFonts w:eastAsia="仿宋_GB2312"/>
          <w:sz w:val="32"/>
          <w:szCs w:val="32"/>
        </w:rPr>
        <w:t>（2）统一领导，分级负责。</w:t>
      </w:r>
      <w:r>
        <w:rPr>
          <w:rFonts w:hint="eastAsia" w:eastAsia="仿宋_GB2312"/>
          <w:color w:val="000000"/>
          <w:kern w:val="0"/>
          <w:sz w:val="32"/>
          <w:szCs w:val="32"/>
        </w:rPr>
        <w:t>在区委、区政府统一领导和区食品安全委员会组织协调下，按照属地管理为主的原则，乡（街道）负总责，有关部门密切配合，建立快速反应、协同应对的食品安全事故应急机制。</w:t>
      </w:r>
    </w:p>
    <w:p>
      <w:pPr>
        <w:adjustRightInd w:val="0"/>
        <w:spacing w:line="560" w:lineRule="exact"/>
        <w:ind w:firstLine="640" w:firstLineChars="200"/>
        <w:rPr>
          <w:rFonts w:eastAsia="仿宋_GB2312"/>
          <w:color w:val="000000"/>
          <w:kern w:val="0"/>
          <w:sz w:val="32"/>
          <w:szCs w:val="32"/>
        </w:rPr>
      </w:pPr>
      <w:r>
        <w:rPr>
          <w:rFonts w:eastAsia="仿宋_GB2312"/>
          <w:sz w:val="32"/>
          <w:szCs w:val="32"/>
        </w:rPr>
        <w:t>（3）科学应对，依法处置。</w:t>
      </w:r>
      <w:r>
        <w:rPr>
          <w:rFonts w:hint="eastAsia" w:eastAsia="仿宋_GB2312"/>
          <w:color w:val="000000"/>
          <w:kern w:val="0"/>
          <w:sz w:val="32"/>
          <w:szCs w:val="32"/>
        </w:rPr>
        <w:t>有效使用食品安全风险监测、评估和预警等科学手段；充分发挥专业队伍的作用，提高应对食品安全事故的水平和能力。</w:t>
      </w:r>
    </w:p>
    <w:p>
      <w:pPr>
        <w:adjustRightInd w:val="0"/>
        <w:spacing w:line="560" w:lineRule="exact"/>
        <w:ind w:firstLine="640" w:firstLineChars="200"/>
        <w:rPr>
          <w:rFonts w:eastAsia="仿宋_GB2312"/>
          <w:color w:val="000000"/>
          <w:kern w:val="0"/>
          <w:sz w:val="32"/>
          <w:szCs w:val="32"/>
        </w:rPr>
      </w:pPr>
      <w:r>
        <w:rPr>
          <w:rFonts w:eastAsia="仿宋_GB2312"/>
          <w:sz w:val="32"/>
          <w:szCs w:val="32"/>
        </w:rPr>
        <w:t>（4）居安思危，预防为主。</w:t>
      </w:r>
      <w:r>
        <w:rPr>
          <w:rFonts w:hint="eastAsia" w:eastAsia="仿宋_GB2312"/>
          <w:color w:val="000000"/>
          <w:kern w:val="0"/>
          <w:sz w:val="32"/>
          <w:szCs w:val="32"/>
        </w:rPr>
        <w:t>坚持预防与应急相结合，做好应急准备，落实各项防范措施；建立健全日常管理制度，加强宣教培训，提高公众自我防范和应对食品安全事故的意识和能力。</w:t>
      </w:r>
    </w:p>
    <w:p>
      <w:pPr>
        <w:adjustRightInd w:val="0"/>
        <w:spacing w:line="560" w:lineRule="exact"/>
        <w:ind w:firstLine="640" w:firstLineChars="200"/>
        <w:rPr>
          <w:rFonts w:eastAsia="仿宋_GB2312"/>
          <w:b/>
          <w:color w:val="000000"/>
          <w:sz w:val="32"/>
          <w:szCs w:val="32"/>
        </w:rPr>
      </w:pPr>
      <w:r>
        <w:rPr>
          <w:rFonts w:eastAsia="仿宋_GB2312"/>
          <w:b/>
          <w:color w:val="000000"/>
          <w:sz w:val="32"/>
          <w:szCs w:val="32"/>
        </w:rPr>
        <w:t>2  组织体系</w:t>
      </w:r>
    </w:p>
    <w:p>
      <w:pPr>
        <w:adjustRightInd w:val="0"/>
        <w:spacing w:line="560" w:lineRule="exact"/>
        <w:ind w:firstLine="640" w:firstLineChars="200"/>
        <w:rPr>
          <w:rFonts w:eastAsia="楷体_GB2312"/>
          <w:sz w:val="32"/>
          <w:szCs w:val="32"/>
        </w:rPr>
      </w:pPr>
      <w:r>
        <w:rPr>
          <w:rFonts w:eastAsia="楷体_GB2312"/>
          <w:sz w:val="32"/>
          <w:szCs w:val="32"/>
        </w:rPr>
        <w:t xml:space="preserve">2.1  </w:t>
      </w:r>
      <w:r>
        <w:rPr>
          <w:rFonts w:hint="eastAsia" w:ascii="楷体" w:hAnsi="楷体" w:eastAsia="楷体" w:cs="楷体"/>
          <w:sz w:val="32"/>
          <w:szCs w:val="32"/>
        </w:rPr>
        <w:t>区食品安全委员会</w:t>
      </w:r>
    </w:p>
    <w:p>
      <w:pPr>
        <w:adjustRightIn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区食品安全委员会（以下简称“区食安委”）是全区食品安全事故应急处置指挥机构，统一领导和指挥一般食品安全事故应对处置工作；在市食安委的领导下，统一组织开展较大以上食品安全事故的应急处置工作。区食安委成员单位按照各自职责做好食品安全事故的应急处置工作。</w:t>
      </w:r>
    </w:p>
    <w:p>
      <w:pPr>
        <w:adjustRightInd w:val="0"/>
        <w:spacing w:line="560" w:lineRule="exact"/>
        <w:ind w:firstLine="640" w:firstLineChars="200"/>
        <w:rPr>
          <w:rFonts w:eastAsia="楷体_GB2312"/>
          <w:sz w:val="32"/>
          <w:szCs w:val="32"/>
        </w:rPr>
      </w:pPr>
      <w:r>
        <w:rPr>
          <w:rFonts w:eastAsia="楷体_GB2312"/>
          <w:sz w:val="32"/>
          <w:szCs w:val="32"/>
        </w:rPr>
        <w:t xml:space="preserve">2.2  </w:t>
      </w:r>
      <w:r>
        <w:rPr>
          <w:rFonts w:hint="eastAsia" w:ascii="楷体" w:hAnsi="楷体" w:eastAsia="楷体" w:cs="楷体"/>
          <w:sz w:val="32"/>
          <w:szCs w:val="32"/>
        </w:rPr>
        <w:t>区食品安全委员会办公室</w:t>
      </w:r>
    </w:p>
    <w:p>
      <w:pPr>
        <w:adjustRightInd w:val="0"/>
        <w:spacing w:line="560" w:lineRule="exact"/>
        <w:ind w:firstLine="640" w:firstLineChars="200"/>
        <w:rPr>
          <w:rFonts w:eastAsia="仿宋_GB2312"/>
          <w:sz w:val="32"/>
          <w:szCs w:val="32"/>
        </w:rPr>
      </w:pPr>
      <w:r>
        <w:rPr>
          <w:rFonts w:hint="eastAsia" w:eastAsia="仿宋_GB2312"/>
          <w:color w:val="000000"/>
          <w:kern w:val="0"/>
          <w:sz w:val="32"/>
          <w:szCs w:val="32"/>
        </w:rPr>
        <w:t>区食品安全委员会办公室（以下简称“区食安办”）是区食安委日常办事机构，设在区市场监督管理局，负责与相关部门和区政府的沟通联络，组织开展信息报送、应急处置等工作，协调落实相关支持措施</w:t>
      </w:r>
      <w:r>
        <w:rPr>
          <w:rFonts w:eastAsia="仿宋_GB2312"/>
          <w:sz w:val="32"/>
          <w:szCs w:val="32"/>
        </w:rPr>
        <w:t>。</w:t>
      </w:r>
    </w:p>
    <w:p>
      <w:pPr>
        <w:adjustRightIn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一般以上食品安全事故发生后，区食安委可设立综合协调组、事故调查组、危害控制组、医疗救治组、检测评估组、社会稳定组、新闻宣传组、专家组等工作组，分别开展相关工作。</w:t>
      </w:r>
    </w:p>
    <w:p>
      <w:pPr>
        <w:adjustRightIn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（1）综合协调组</w:t>
      </w:r>
    </w:p>
    <w:p>
      <w:pPr>
        <w:adjustRightIn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由区市场监督管理局牵头，区农业农村局、区卫生健康委员会、区应急管理局等参加。主要职责：组织协调各工作组开展应急处置，协调解决应急处置中的重大问题；协调有关方面派出应急队伍、调运应急物资和装备、安排专家组等，为应急处置提供支援和技术支持；建立健全会商、信息发布和工作督查等制度，及时向区政府和上级有关部门报送相关信息和应急处置进展情况，确保信息畅通、快速反应、高效处置。</w:t>
      </w:r>
    </w:p>
    <w:p>
      <w:pPr>
        <w:adjustRightInd w:val="0"/>
        <w:spacing w:line="560" w:lineRule="exact"/>
        <w:ind w:firstLine="640" w:firstLineChars="200"/>
        <w:rPr>
          <w:rFonts w:eastAsia="仿宋_GB2312"/>
          <w:sz w:val="32"/>
          <w:szCs w:val="32"/>
        </w:rPr>
      </w:pPr>
      <w:r>
        <w:rPr>
          <w:rFonts w:eastAsia="仿宋_GB2312"/>
          <w:sz w:val="32"/>
          <w:szCs w:val="32"/>
        </w:rPr>
        <w:t>（2）事故调查组</w:t>
      </w:r>
    </w:p>
    <w:p>
      <w:pPr>
        <w:adjustRightIn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由区市场监督管理局牵头，区卫生健康委员会、区农业农村局、连云公安分局、连云生态环境局等参加。主要职责：负责现场调查处置，查明事故发生原因，评估事故影响；对涉嫌犯罪的，由连云公安分局督促、指导涉案地公安机关立案侦办。</w:t>
      </w:r>
    </w:p>
    <w:p>
      <w:pPr>
        <w:adjustRightInd w:val="0"/>
        <w:spacing w:line="560" w:lineRule="exact"/>
        <w:ind w:firstLine="640" w:firstLineChars="200"/>
        <w:rPr>
          <w:rFonts w:eastAsia="仿宋_GB2312"/>
          <w:sz w:val="32"/>
          <w:szCs w:val="32"/>
        </w:rPr>
      </w:pPr>
      <w:r>
        <w:rPr>
          <w:rFonts w:eastAsia="仿宋_GB2312"/>
          <w:sz w:val="32"/>
          <w:szCs w:val="32"/>
        </w:rPr>
        <w:t>（3）危害控制组</w:t>
      </w:r>
    </w:p>
    <w:p>
      <w:pPr>
        <w:adjustRightIn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由事故发生环节的具体监管职能部门牵头，区经发局、连云公安分局、区农业农村局、区林业和海洋局、区商务局、区市场监督管理局等参加。主要职责：监督指导事发地所在乡（街道）、功能板块有关部门追溯问题产品，开展召回、下架、封存有关食品、原料、食品添加剂及食品相关产品等工作，严格控制流通渠道，防止危害蔓延扩大。</w:t>
      </w:r>
    </w:p>
    <w:p>
      <w:pPr>
        <w:adjustRightInd w:val="0"/>
        <w:spacing w:line="560" w:lineRule="exact"/>
        <w:ind w:firstLine="640" w:firstLineChars="200"/>
        <w:rPr>
          <w:rFonts w:eastAsia="仿宋_GB2312"/>
          <w:sz w:val="32"/>
          <w:szCs w:val="32"/>
        </w:rPr>
      </w:pPr>
      <w:r>
        <w:rPr>
          <w:rFonts w:eastAsia="仿宋_GB2312"/>
          <w:sz w:val="32"/>
          <w:szCs w:val="32"/>
        </w:rPr>
        <w:t>（4）医疗救治组</w:t>
      </w:r>
    </w:p>
    <w:p>
      <w:pPr>
        <w:adjustRightIn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由区卫生健康委员会牵头，区市场监督管理局等参加。主要职责：按照相关预案制定医疗救治方案，组织医疗卫生专家、医疗救援队伍，开展或指导事发地所在乡（街道）、功能板块开展紧急医疗救援工作。</w:t>
      </w:r>
    </w:p>
    <w:p>
      <w:pPr>
        <w:adjustRightInd w:val="0"/>
        <w:spacing w:line="560" w:lineRule="exact"/>
        <w:ind w:firstLine="640" w:firstLineChars="200"/>
        <w:rPr>
          <w:rFonts w:eastAsia="仿宋_GB2312"/>
          <w:sz w:val="32"/>
          <w:szCs w:val="32"/>
        </w:rPr>
      </w:pPr>
      <w:r>
        <w:rPr>
          <w:rFonts w:eastAsia="仿宋_GB2312"/>
          <w:sz w:val="32"/>
          <w:szCs w:val="32"/>
        </w:rPr>
        <w:t>（5）检测评估组</w:t>
      </w:r>
    </w:p>
    <w:p>
      <w:pPr>
        <w:adjustRightInd w:val="0"/>
        <w:spacing w:line="560" w:lineRule="exact"/>
        <w:ind w:firstLine="640" w:firstLineChars="200"/>
        <w:rPr>
          <w:rFonts w:eastAsia="仿宋_GB2312"/>
          <w:sz w:val="32"/>
          <w:szCs w:val="32"/>
        </w:rPr>
      </w:pPr>
      <w:r>
        <w:rPr>
          <w:rFonts w:hint="eastAsia" w:eastAsia="仿宋_GB2312"/>
          <w:color w:val="000000"/>
          <w:kern w:val="0"/>
          <w:sz w:val="32"/>
          <w:szCs w:val="32"/>
        </w:rPr>
        <w:t>由区卫生健康委员会牵头，区农业农村局、区市场监督管理局、连云生态环境局、连云港海关等参加。主要职责：组织开展流行病学调查及相关应急检验检测，综合分析各方检测数据，查找事故原因和研判事故发展趋势，分析评估事故影响，为制定应急处置方案和采取控制措施提供参考，检测评估结果及时报告区食安委。</w:t>
      </w:r>
    </w:p>
    <w:p>
      <w:pPr>
        <w:adjustRightInd w:val="0"/>
        <w:spacing w:line="560" w:lineRule="exact"/>
        <w:ind w:firstLine="640" w:firstLineChars="200"/>
        <w:rPr>
          <w:rFonts w:eastAsia="仿宋_GB2312"/>
          <w:sz w:val="32"/>
          <w:szCs w:val="32"/>
        </w:rPr>
      </w:pPr>
      <w:r>
        <w:rPr>
          <w:rFonts w:eastAsia="仿宋_GB2312"/>
          <w:sz w:val="32"/>
          <w:szCs w:val="32"/>
        </w:rPr>
        <w:t>（6）维护稳定组</w:t>
      </w:r>
    </w:p>
    <w:p>
      <w:pPr>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由连云公安分局牵头，区教育局、区经发局、区民政局、区财政局、区司法局、区市场监督管理局、区文体旅游局等参加。主要职责：指导事发地所在乡（街道）、功能板块加强社会治安管理，严厉打击编造传播谣言、制造社会恐慌等违法犯罪行为，做好社会救助、矛盾纠纷化解和法律服务等工作。</w:t>
      </w:r>
    </w:p>
    <w:p>
      <w:pPr>
        <w:adjustRightInd w:val="0"/>
        <w:spacing w:line="560" w:lineRule="exact"/>
        <w:ind w:firstLine="640" w:firstLineChars="200"/>
        <w:rPr>
          <w:rFonts w:eastAsia="仿宋_GB2312"/>
          <w:sz w:val="32"/>
          <w:szCs w:val="32"/>
        </w:rPr>
      </w:pPr>
      <w:r>
        <w:rPr>
          <w:rFonts w:eastAsia="仿宋_GB2312"/>
          <w:sz w:val="32"/>
          <w:szCs w:val="32"/>
        </w:rPr>
        <w:t>（7）新闻宣传组</w:t>
      </w:r>
    </w:p>
    <w:p>
      <w:pPr>
        <w:adjustRightIn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由区委网信办牵头，区教育局、区卫生健康委、区市场监督管理局等参加。主要职责：加强舆情监测，密切关注舆情走势，组织事故的应急处置情况报道，开展舆论引导，统一信息发布，及时回应社会关切。</w:t>
      </w:r>
    </w:p>
    <w:p>
      <w:pPr>
        <w:adjustRightInd w:val="0"/>
        <w:spacing w:line="560" w:lineRule="exact"/>
        <w:ind w:firstLine="640" w:firstLineChars="200"/>
        <w:rPr>
          <w:rFonts w:eastAsia="仿宋_GB2312"/>
          <w:sz w:val="32"/>
          <w:szCs w:val="32"/>
        </w:rPr>
      </w:pPr>
      <w:r>
        <w:rPr>
          <w:rFonts w:eastAsia="仿宋_GB2312"/>
          <w:sz w:val="32"/>
          <w:szCs w:val="32"/>
        </w:rPr>
        <w:t>（8）专家组</w:t>
      </w:r>
    </w:p>
    <w:p>
      <w:pPr>
        <w:adjustRightIn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由区市场监督管理局牵头，区食安委专家委员会及有关方面专家参加。主要职责：组织有关专家进行会商，研究分析事故发生、发展、应急处置、善后保障等过程中的重大问题，为食品安全事故应急处置方案制订、危害评估和调查处置等工作提供咨询建议。必要时，专家组直接参与现场应急处置。</w:t>
      </w:r>
    </w:p>
    <w:p>
      <w:pPr>
        <w:adjustRightIn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区食安委相关成员单位要组织食品检验检测、医疗、疾病预防控制等机构为食品安全事故应急处置提供技术支撑。</w:t>
      </w:r>
    </w:p>
    <w:p>
      <w:pPr>
        <w:adjustRightInd w:val="0"/>
        <w:spacing w:line="560" w:lineRule="exact"/>
        <w:ind w:firstLine="640" w:firstLineChars="200"/>
        <w:rPr>
          <w:rFonts w:eastAsia="楷体_GB2312"/>
          <w:sz w:val="32"/>
          <w:szCs w:val="32"/>
        </w:rPr>
      </w:pPr>
      <w:r>
        <w:rPr>
          <w:rFonts w:eastAsia="楷体_GB2312"/>
          <w:sz w:val="32"/>
          <w:szCs w:val="32"/>
        </w:rPr>
        <w:t xml:space="preserve">2.3  </w:t>
      </w:r>
      <w:r>
        <w:rPr>
          <w:rFonts w:hint="eastAsia" w:ascii="楷体" w:hAnsi="楷体" w:eastAsia="楷体" w:cs="楷体"/>
          <w:sz w:val="32"/>
          <w:szCs w:val="32"/>
        </w:rPr>
        <w:t>区级指挥机构</w:t>
      </w:r>
    </w:p>
    <w:p>
      <w:pPr>
        <w:adjustRightIn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一般食品安全事故应对工作由区政府组织成立相应应急处置指挥机构，统一组织开展事故的应急处置工作。有关部门按照职责分工，积极行动，密切配合，共同做好食品安全事故应急处置工作。</w:t>
      </w:r>
    </w:p>
    <w:p>
      <w:pPr>
        <w:adjustRightInd w:val="0"/>
        <w:spacing w:line="560" w:lineRule="exact"/>
        <w:ind w:firstLine="640" w:firstLineChars="200"/>
        <w:rPr>
          <w:rFonts w:eastAsia="仿宋_GB2312"/>
          <w:b/>
          <w:color w:val="000000"/>
          <w:sz w:val="32"/>
          <w:szCs w:val="32"/>
        </w:rPr>
      </w:pPr>
      <w:r>
        <w:rPr>
          <w:rFonts w:eastAsia="仿宋_GB2312"/>
          <w:b/>
          <w:color w:val="000000"/>
          <w:sz w:val="32"/>
          <w:szCs w:val="32"/>
        </w:rPr>
        <w:t>3  预防预警</w:t>
      </w:r>
    </w:p>
    <w:p>
      <w:pPr>
        <w:adjustRightInd w:val="0"/>
        <w:spacing w:line="560" w:lineRule="exact"/>
        <w:ind w:firstLine="640" w:firstLineChars="200"/>
        <w:rPr>
          <w:rFonts w:eastAsia="楷体_GB2312"/>
          <w:sz w:val="32"/>
          <w:szCs w:val="32"/>
        </w:rPr>
      </w:pPr>
      <w:r>
        <w:rPr>
          <w:rFonts w:eastAsia="楷体_GB2312"/>
          <w:sz w:val="32"/>
          <w:szCs w:val="32"/>
        </w:rPr>
        <w:t xml:space="preserve">3.1  </w:t>
      </w:r>
      <w:r>
        <w:rPr>
          <w:rFonts w:hint="eastAsia" w:ascii="楷体" w:hAnsi="楷体" w:eastAsia="楷体" w:cs="楷体"/>
          <w:sz w:val="32"/>
          <w:szCs w:val="32"/>
        </w:rPr>
        <w:t>预防和应急准备</w:t>
      </w:r>
    </w:p>
    <w:p>
      <w:pPr>
        <w:adjustRightIn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1）各食品生产经营企业应根据自身实际，编制本企业的食品安全事故处置方案；建立食品安全自查制度，定期检查评价本企业各项食品安全防范措施的落实情况，有发生食品安全事故潜在风险的，应当立即停止食品生产经营活动，并向事发地所在乡（街道）、功能板块的食品安全监管部门报告，及时消除事故隐患；建立应急管理制度，做好应急保障，建立由本企业人员组成的专（兼）职应急管理队伍；每年开展应急相关知识和技能培训，定期组织应急演练，使从业人员掌握应急处置相关程序，提高食品安全事故应对能力；与所在地乡（街道）、功能板块及有关部门建立应急联动机制，明确应急管理责任人，配合有关部门做好应急管理工作。</w:t>
      </w:r>
    </w:p>
    <w:p>
      <w:pPr>
        <w:adjustRightIn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2）乡（街道）、功能板块应对本辖区内存在食品安全风险点的生产经营企业定期进行检查和评估，并登记建档，按照有关规定责令其采取风险防范措施；对发现或确认的重大安全隐患进行督办，确保及时整改；制订并及时修订完善本地区食品安全事故应急预案，建立健全应急管理体系，明确工作职责，做好应急支援保障工作。</w:t>
      </w:r>
    </w:p>
    <w:p>
      <w:pPr>
        <w:adjustRightIn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（3）区食安委各成员单位应对可能引发食品安全事故的苗头性倾向性问题，及时分析研判，发布预警信息，督促有关责任主体采取预防措施，防止事故发生或扩大蔓延。</w:t>
      </w:r>
    </w:p>
    <w:p>
      <w:pPr>
        <w:adjustRightIn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（4）重大活动的主办单位或者管理单位，应做好食品生产经营、种养殖、餐饮等环节食品安全风险隐患排查和评估，根据有关规定制订应急预案，报市场监管部门备案。</w:t>
      </w:r>
    </w:p>
    <w:p>
      <w:pPr>
        <w:adjustRightInd w:val="0"/>
        <w:spacing w:line="560" w:lineRule="exact"/>
        <w:ind w:firstLine="640" w:firstLineChars="200"/>
        <w:rPr>
          <w:rFonts w:eastAsia="楷体_GB2312"/>
          <w:sz w:val="32"/>
          <w:szCs w:val="32"/>
        </w:rPr>
      </w:pPr>
      <w:r>
        <w:rPr>
          <w:rFonts w:eastAsia="楷体_GB2312"/>
          <w:sz w:val="32"/>
          <w:szCs w:val="32"/>
        </w:rPr>
        <w:t xml:space="preserve">3.2  </w:t>
      </w:r>
      <w:r>
        <w:rPr>
          <w:rFonts w:hint="eastAsia" w:ascii="楷体" w:hAnsi="楷体" w:eastAsia="楷体" w:cs="楷体"/>
          <w:sz w:val="32"/>
          <w:szCs w:val="32"/>
        </w:rPr>
        <w:t>监测</w:t>
      </w:r>
    </w:p>
    <w:p>
      <w:pPr>
        <w:adjustRightIn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全区各级食品安全监管部门应按照职责分工开展日常食品安全监督检查、抽样检验、风险监测、舆情监测等工作，对广播、电视、报刊、互联网及移动网络等媒体上有关食品安全舆情热点、敏感信息进行跟踪监测和核实，加强收集、分析和研判可能导致食品安全事故的风险隐患信息，必要时向相关部门和地区通报，有关监管部门应依法采取有效控制措施。</w:t>
      </w:r>
    </w:p>
    <w:p>
      <w:pPr>
        <w:adjustRightIn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食品生产经营者、种植养殖从业者等应当依法落实食品安全主体责任，建立健全风险监测防控措施，当出现可能导致食品安全事故的情况时，要立即报告当地食品安全监管部门。</w:t>
      </w:r>
    </w:p>
    <w:p>
      <w:pPr>
        <w:adjustRightInd w:val="0"/>
        <w:spacing w:line="560" w:lineRule="exact"/>
        <w:ind w:firstLine="640" w:firstLineChars="200"/>
        <w:rPr>
          <w:rFonts w:eastAsia="楷体_GB2312"/>
          <w:sz w:val="32"/>
          <w:szCs w:val="32"/>
        </w:rPr>
      </w:pPr>
      <w:r>
        <w:rPr>
          <w:rFonts w:eastAsia="楷体_GB2312"/>
          <w:sz w:val="32"/>
          <w:szCs w:val="32"/>
        </w:rPr>
        <w:t xml:space="preserve">3.3  </w:t>
      </w:r>
      <w:r>
        <w:rPr>
          <w:rFonts w:hint="eastAsia" w:ascii="楷体" w:hAnsi="楷体" w:eastAsia="楷体" w:cs="楷体"/>
          <w:sz w:val="32"/>
          <w:szCs w:val="32"/>
        </w:rPr>
        <w:t>预警</w:t>
      </w:r>
    </w:p>
    <w:p>
      <w:pPr>
        <w:adjustRightInd w:val="0"/>
        <w:spacing w:line="560" w:lineRule="exact"/>
        <w:ind w:firstLine="640" w:firstLineChars="200"/>
        <w:rPr>
          <w:rFonts w:eastAsia="仿宋_GB2312"/>
          <w:sz w:val="32"/>
          <w:szCs w:val="32"/>
        </w:rPr>
      </w:pPr>
      <w:r>
        <w:rPr>
          <w:rFonts w:eastAsia="仿宋_GB2312"/>
          <w:sz w:val="32"/>
          <w:szCs w:val="32"/>
        </w:rPr>
        <w:t>3.3.1  预警分级响应及信息发布</w:t>
      </w:r>
    </w:p>
    <w:p>
      <w:pPr>
        <w:adjustRightIn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根据食品安全事故分级情况，食品安全事故应急响应分为Ⅰ级、Ⅱ级、Ⅲ级和Ⅳ级响应。其中Ⅰ级为最高级别，Ⅰ级、Ⅱ级预警信息应由市食安委主任审核后，报省食安委主任、副主任签发；Ⅲ级预警信息由市食安委主任签发，同时向省政府报告；Ⅳ级预警信息由区食安委主任签发。预警信息经签发后，通过各级预警信息发布中心统一发布，或根据需要通过其他必要方式对外发布。</w:t>
      </w:r>
    </w:p>
    <w:p>
      <w:pPr>
        <w:adjustRightInd w:val="0"/>
        <w:spacing w:line="560" w:lineRule="exact"/>
        <w:ind w:firstLine="640" w:firstLineChars="200"/>
        <w:rPr>
          <w:rFonts w:eastAsia="仿宋_GB2312"/>
          <w:sz w:val="32"/>
          <w:szCs w:val="32"/>
        </w:rPr>
      </w:pPr>
      <w:r>
        <w:rPr>
          <w:rFonts w:eastAsia="仿宋_GB2312"/>
          <w:sz w:val="32"/>
          <w:szCs w:val="32"/>
        </w:rPr>
        <w:t>3.3.2  预警行动</w:t>
      </w:r>
    </w:p>
    <w:p>
      <w:pPr>
        <w:adjustRightIn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经研判可能发生食品安全事故时，有关乡（街道）、功能板块或受委托部门组织相关部门和机构、专业技术人员及专家，加强对苗头性、倾向性食品安全信息和热点敏感舆情的收集、核查、汇总和分析研判，预估事故发展趋势、危害程度、影响范围。经分析评估与调查核实，达到食品安全事故相应分级标准的，分别按本预案处置。同时，多渠道开展宣传教育，加强对食品安全应急科普知识的宣传，告知公众停止食用或者使用不安全食品；应急专业队伍和负有相关职责的人员进入待命状态，调集食品安全事故应急物资、装备和设备，做好应急保障工作；根据有关要求，及时准确发布事态最新进展，组织专家解读，并对可能产生的危害加以说明；加强舆情跟踪监测，主动回应社会关切，及时澄清谣言传言。</w:t>
      </w:r>
    </w:p>
    <w:p>
      <w:pPr>
        <w:adjustRightInd w:val="0"/>
        <w:spacing w:line="560" w:lineRule="exact"/>
        <w:ind w:firstLine="640" w:firstLineChars="200"/>
        <w:rPr>
          <w:rFonts w:eastAsia="仿宋_GB2312"/>
          <w:sz w:val="32"/>
          <w:szCs w:val="32"/>
        </w:rPr>
      </w:pPr>
      <w:r>
        <w:rPr>
          <w:rFonts w:eastAsia="仿宋_GB2312"/>
          <w:sz w:val="32"/>
          <w:szCs w:val="32"/>
        </w:rPr>
        <w:t>3.3.3  预警调整和解除</w:t>
      </w:r>
    </w:p>
    <w:p>
      <w:pPr>
        <w:adjustRightIn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根据事态发展变化，适时调整预警级别、更新预警信息内容，并重新发布、报告和通报有关情况。当研判可能引发食品安全事故的因素已经消除或得到有效控制，应及时解除预警。</w:t>
      </w:r>
    </w:p>
    <w:p>
      <w:pPr>
        <w:adjustRightInd w:val="0"/>
        <w:spacing w:line="560" w:lineRule="exact"/>
        <w:ind w:firstLine="640" w:firstLineChars="200"/>
        <w:rPr>
          <w:rFonts w:eastAsia="仿宋_GB2312"/>
          <w:b/>
          <w:color w:val="000000"/>
          <w:sz w:val="32"/>
          <w:szCs w:val="32"/>
        </w:rPr>
      </w:pPr>
      <w:r>
        <w:rPr>
          <w:rFonts w:eastAsia="仿宋_GB2312"/>
          <w:b/>
          <w:color w:val="000000"/>
          <w:sz w:val="32"/>
          <w:szCs w:val="32"/>
        </w:rPr>
        <w:t>4  信息报告与通报</w:t>
      </w:r>
    </w:p>
    <w:p>
      <w:pPr>
        <w:adjustRightInd w:val="0"/>
        <w:spacing w:line="560" w:lineRule="exact"/>
        <w:ind w:firstLine="640" w:firstLineChars="200"/>
        <w:rPr>
          <w:rFonts w:eastAsia="楷体_GB2312"/>
          <w:sz w:val="32"/>
          <w:szCs w:val="32"/>
        </w:rPr>
      </w:pPr>
      <w:r>
        <w:rPr>
          <w:rFonts w:eastAsia="楷体_GB2312"/>
          <w:sz w:val="32"/>
          <w:szCs w:val="32"/>
        </w:rPr>
        <w:t xml:space="preserve">4.1  </w:t>
      </w:r>
      <w:r>
        <w:rPr>
          <w:rFonts w:hint="eastAsia" w:ascii="楷体" w:hAnsi="楷体" w:eastAsia="楷体" w:cs="楷体"/>
          <w:sz w:val="32"/>
          <w:szCs w:val="32"/>
        </w:rPr>
        <w:t>报告主体和时限</w:t>
      </w:r>
    </w:p>
    <w:p>
      <w:pPr>
        <w:adjustRightIn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食品安全监管部门应建立健全食品安全事故信息报告制度，明确报告的主体、程序及内容，强化责任意识，提高事故信息报告的时效性、规范性和准确性。任何单位和个人不得迟报、谎报、瞒报、漏报食品安全事故信息，不得隐匿、伪造、毁灭有关证据。</w:t>
      </w:r>
    </w:p>
    <w:p>
      <w:pPr>
        <w:adjustRightIn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（1）食品生产经营者发现其生产经营的食品造成或者可能造成公众健康损害的，应当立即向市场监督管理部门报告。</w:t>
      </w:r>
    </w:p>
    <w:p>
      <w:pPr>
        <w:adjustRightIn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（2）发生可能与食品安全有关的急性群体性健康损害的单位，应当立即向市场监督管理部门报告。</w:t>
      </w:r>
    </w:p>
    <w:p>
      <w:pPr>
        <w:adjustRightIn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（3）医疗机构发现其接收的病人属于食源性疾病病人或者疑似病人的，应当立即将相关信息向所在地乡（街道）、功能板块和区卫健部门报告，认为与食品安全有关的，应当及时通报区市场监督管理部门。</w:t>
      </w:r>
    </w:p>
    <w:p>
      <w:pPr>
        <w:adjustRightIn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（4）有关监管部门获知食品安全事故或接到食品安全事故报告、举报的，应当立即通报区市场监督管理部门；经初步核实后要继续收集相关信息，并及时将有关情况进一步向市场监督管理部门通报。</w:t>
      </w:r>
    </w:p>
    <w:p>
      <w:pPr>
        <w:adjustRightIn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（5）卫健部门在调查处理传染病或者其他突发公共卫生事件中发现与食品安全相关的信息，应当立即通报区市场监督管理部门。</w:t>
      </w:r>
    </w:p>
    <w:p>
      <w:pPr>
        <w:adjustRightIn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（6）食品安全相关技术机构、有关社会团体及个人发现食品安全事故相关情况的，应当及时向区卫健部门和区市场监督管理局报告或举报。</w:t>
      </w:r>
    </w:p>
    <w:p>
      <w:pPr>
        <w:adjustRightIn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（7）对于达到级别以上的事故，事发地乡（街道）、功能板块及市场监督管理部门应在事故发生后1小时内报告区政府及区市场监督管理部门，并在1小时内向市政府及市市场监管部门报告。</w:t>
      </w:r>
    </w:p>
    <w:p>
      <w:pPr>
        <w:adjustRightInd w:val="0"/>
        <w:spacing w:line="560" w:lineRule="exact"/>
        <w:ind w:firstLine="640" w:firstLineChars="200"/>
        <w:rPr>
          <w:rFonts w:eastAsia="楷体_GB2312"/>
          <w:sz w:val="32"/>
          <w:szCs w:val="32"/>
        </w:rPr>
      </w:pPr>
      <w:r>
        <w:rPr>
          <w:rFonts w:eastAsia="楷体_GB2312"/>
          <w:sz w:val="32"/>
          <w:szCs w:val="32"/>
        </w:rPr>
        <w:t xml:space="preserve">4.2  </w:t>
      </w:r>
      <w:r>
        <w:rPr>
          <w:rFonts w:hint="eastAsia" w:ascii="楷体" w:hAnsi="楷体" w:eastAsia="楷体" w:cs="楷体"/>
          <w:sz w:val="32"/>
          <w:szCs w:val="32"/>
        </w:rPr>
        <w:t>报告内容</w:t>
      </w:r>
    </w:p>
    <w:p>
      <w:pPr>
        <w:adjustRightInd w:val="0"/>
        <w:spacing w:line="560" w:lineRule="exact"/>
        <w:ind w:firstLine="640" w:firstLineChars="200"/>
        <w:rPr>
          <w:rFonts w:eastAsia="仿宋_GB2312"/>
          <w:color w:val="000000"/>
          <w:kern w:val="0"/>
          <w:sz w:val="32"/>
          <w:szCs w:val="32"/>
        </w:rPr>
      </w:pPr>
      <w:r>
        <w:rPr>
          <w:rFonts w:hint="eastAsia" w:eastAsia="仿宋_GB2312"/>
          <w:color w:val="000000"/>
          <w:kern w:val="0"/>
          <w:sz w:val="32"/>
          <w:szCs w:val="32"/>
        </w:rPr>
        <w:t>食品生产经营者、医疗、技术机构和社会团体、个人向卫健部门和有关监管部门报告疑似食品安全事故信息时，应当包括事故发生时间、地点和人数等基本情况。</w:t>
      </w:r>
    </w:p>
    <w:p>
      <w:pPr>
        <w:adjustRightInd w:val="0"/>
        <w:spacing w:line="560" w:lineRule="exact"/>
        <w:ind w:firstLine="640" w:firstLineChars="200"/>
        <w:rPr>
          <w:rFonts w:eastAsia="仿宋_GB2312"/>
          <w:sz w:val="32"/>
          <w:szCs w:val="32"/>
        </w:rPr>
      </w:pPr>
      <w:r>
        <w:rPr>
          <w:rFonts w:eastAsia="仿宋_GB2312"/>
          <w:sz w:val="32"/>
          <w:szCs w:val="32"/>
        </w:rPr>
        <w:t>报告食品安全事故信息时，应包括信息来源、事故发生时间、地点、当前状况、危害程度、先期处置措施等要素。根据事故发展情况可进行多次报告，报告信息主要包括事故进展、发展趋势、后续应对措施、调查详情、原因分析等要素。事故应急处置结束后，应进行信息汇总。汇总信息应包括事故概况、调查处置过程、事故性质、责任认定、追溯或处置结果、整改措施和效果评价等要素。汇总报告信息应在事故处理结束后7个工作日内作出。</w:t>
      </w:r>
    </w:p>
    <w:p>
      <w:pPr>
        <w:adjustRightInd w:val="0"/>
        <w:spacing w:line="560" w:lineRule="exact"/>
        <w:ind w:firstLine="640" w:firstLineChars="200"/>
        <w:rPr>
          <w:rFonts w:eastAsia="楷体_GB2312"/>
          <w:sz w:val="32"/>
          <w:szCs w:val="32"/>
        </w:rPr>
      </w:pPr>
      <w:r>
        <w:rPr>
          <w:rFonts w:eastAsia="楷体_GB2312"/>
          <w:sz w:val="32"/>
          <w:szCs w:val="32"/>
        </w:rPr>
        <w:t xml:space="preserve">4.3  </w:t>
      </w:r>
      <w:r>
        <w:rPr>
          <w:rFonts w:hint="eastAsia" w:ascii="楷体" w:hAnsi="楷体" w:eastAsia="楷体" w:cs="楷体"/>
          <w:sz w:val="32"/>
          <w:szCs w:val="32"/>
        </w:rPr>
        <w:t>事故评估</w:t>
      </w:r>
    </w:p>
    <w:p>
      <w:pPr>
        <w:adjustRightInd w:val="0"/>
        <w:spacing w:line="560" w:lineRule="exact"/>
        <w:ind w:firstLine="640" w:firstLineChars="200"/>
        <w:rPr>
          <w:rFonts w:eastAsia="仿宋_GB2312"/>
          <w:sz w:val="32"/>
          <w:szCs w:val="32"/>
        </w:rPr>
      </w:pPr>
      <w:r>
        <w:rPr>
          <w:rFonts w:eastAsia="仿宋_GB2312"/>
          <w:sz w:val="32"/>
          <w:szCs w:val="32"/>
        </w:rPr>
        <w:t>事故评估内容应包括：</w:t>
      </w:r>
    </w:p>
    <w:p>
      <w:pPr>
        <w:adjustRightInd w:val="0"/>
        <w:spacing w:line="560" w:lineRule="exact"/>
        <w:ind w:firstLine="640" w:firstLineChars="200"/>
        <w:rPr>
          <w:rFonts w:eastAsia="仿宋_GB2312"/>
          <w:sz w:val="32"/>
          <w:szCs w:val="32"/>
        </w:rPr>
      </w:pPr>
      <w:r>
        <w:rPr>
          <w:rFonts w:eastAsia="仿宋_GB2312"/>
          <w:sz w:val="32"/>
          <w:szCs w:val="32"/>
        </w:rPr>
        <w:t>（1）涉事产品可能导致的健康损害及所涉及的范围，是否已造成健康损害后果及严重程度；</w:t>
      </w:r>
    </w:p>
    <w:p>
      <w:pPr>
        <w:adjustRightInd w:val="0"/>
        <w:spacing w:line="560" w:lineRule="exact"/>
        <w:ind w:firstLine="640" w:firstLineChars="200"/>
        <w:rPr>
          <w:rFonts w:eastAsia="仿宋_GB2312"/>
          <w:sz w:val="32"/>
          <w:szCs w:val="32"/>
        </w:rPr>
      </w:pPr>
      <w:r>
        <w:rPr>
          <w:rFonts w:eastAsia="仿宋_GB2312"/>
          <w:sz w:val="32"/>
          <w:szCs w:val="32"/>
        </w:rPr>
        <w:t>（2）事故的影响范围及严重程度；</w:t>
      </w:r>
    </w:p>
    <w:p>
      <w:pPr>
        <w:adjustRightInd w:val="0"/>
        <w:spacing w:line="560" w:lineRule="exact"/>
        <w:ind w:firstLine="640" w:firstLineChars="200"/>
        <w:rPr>
          <w:rFonts w:eastAsia="仿宋_GB2312"/>
          <w:sz w:val="32"/>
          <w:szCs w:val="32"/>
        </w:rPr>
      </w:pPr>
      <w:r>
        <w:rPr>
          <w:rFonts w:eastAsia="仿宋_GB2312"/>
          <w:sz w:val="32"/>
          <w:szCs w:val="32"/>
        </w:rPr>
        <w:t>（3）事故发展蔓延趋势等。</w:t>
      </w:r>
    </w:p>
    <w:p>
      <w:pPr>
        <w:adjustRightInd w:val="0"/>
        <w:spacing w:line="560" w:lineRule="exact"/>
        <w:ind w:firstLine="640" w:firstLineChars="200"/>
        <w:rPr>
          <w:rFonts w:eastAsia="仿宋_GB2312"/>
          <w:sz w:val="32"/>
          <w:szCs w:val="32"/>
        </w:rPr>
      </w:pPr>
      <w:r>
        <w:rPr>
          <w:rFonts w:eastAsia="仿宋_GB2312"/>
          <w:sz w:val="32"/>
          <w:szCs w:val="32"/>
        </w:rPr>
        <w:t>有关食品安全监管部门应按规定及时向</w:t>
      </w:r>
      <w:r>
        <w:rPr>
          <w:rFonts w:hint="eastAsia" w:eastAsia="仿宋_GB2312"/>
          <w:sz w:val="32"/>
          <w:szCs w:val="32"/>
        </w:rPr>
        <w:t>区</w:t>
      </w:r>
      <w:r>
        <w:rPr>
          <w:rFonts w:eastAsia="仿宋_GB2312"/>
          <w:sz w:val="32"/>
          <w:szCs w:val="32"/>
        </w:rPr>
        <w:t>食安办提供相关信息和资料，由</w:t>
      </w:r>
      <w:r>
        <w:rPr>
          <w:rFonts w:hint="eastAsia" w:eastAsia="仿宋_GB2312"/>
          <w:sz w:val="32"/>
          <w:szCs w:val="32"/>
        </w:rPr>
        <w:t>区</w:t>
      </w:r>
      <w:r>
        <w:rPr>
          <w:rFonts w:eastAsia="仿宋_GB2312"/>
          <w:sz w:val="32"/>
          <w:szCs w:val="32"/>
        </w:rPr>
        <w:t>食安办统一组织开展食品安全事故评估。</w:t>
      </w:r>
    </w:p>
    <w:p>
      <w:pPr>
        <w:adjustRightInd w:val="0"/>
        <w:spacing w:line="560" w:lineRule="exact"/>
        <w:ind w:firstLine="640" w:firstLineChars="200"/>
        <w:rPr>
          <w:rFonts w:eastAsia="仿宋_GB2312"/>
          <w:b/>
          <w:color w:val="000000"/>
          <w:sz w:val="32"/>
          <w:szCs w:val="32"/>
        </w:rPr>
      </w:pPr>
      <w:r>
        <w:rPr>
          <w:rFonts w:eastAsia="仿宋_GB2312"/>
          <w:b/>
          <w:color w:val="000000"/>
          <w:sz w:val="32"/>
          <w:szCs w:val="32"/>
        </w:rPr>
        <w:t>5  应急处置</w:t>
      </w:r>
    </w:p>
    <w:p>
      <w:pPr>
        <w:adjustRightInd w:val="0"/>
        <w:spacing w:line="560" w:lineRule="exact"/>
        <w:ind w:firstLine="640" w:firstLineChars="200"/>
        <w:rPr>
          <w:rFonts w:eastAsia="楷体_GB2312"/>
          <w:sz w:val="32"/>
          <w:szCs w:val="32"/>
        </w:rPr>
      </w:pPr>
      <w:r>
        <w:rPr>
          <w:rFonts w:eastAsia="楷体_GB2312"/>
          <w:sz w:val="32"/>
          <w:szCs w:val="32"/>
        </w:rPr>
        <w:t xml:space="preserve">5.1  </w:t>
      </w:r>
      <w:r>
        <w:rPr>
          <w:rFonts w:hint="eastAsia" w:ascii="楷体" w:hAnsi="楷体" w:eastAsia="楷体" w:cs="楷体"/>
          <w:sz w:val="32"/>
          <w:szCs w:val="32"/>
        </w:rPr>
        <w:t>响应分级</w:t>
      </w:r>
    </w:p>
    <w:p>
      <w:pPr>
        <w:adjustRightInd w:val="0"/>
        <w:spacing w:line="560" w:lineRule="exact"/>
        <w:ind w:firstLine="640" w:firstLineChars="200"/>
        <w:rPr>
          <w:rFonts w:eastAsia="仿宋_GB2312"/>
          <w:sz w:val="32"/>
          <w:szCs w:val="32"/>
        </w:rPr>
      </w:pPr>
      <w:r>
        <w:rPr>
          <w:rFonts w:eastAsia="仿宋_GB2312"/>
          <w:sz w:val="32"/>
          <w:szCs w:val="32"/>
        </w:rPr>
        <w:t>根据食品安全事故的社会危害程度和影响范围等因素，将应急响应设定为Ⅰ级、Ⅱ级、Ⅲ级和Ⅳ级四个级别。</w:t>
      </w:r>
    </w:p>
    <w:p>
      <w:pPr>
        <w:adjustRightInd w:val="0"/>
        <w:spacing w:line="560" w:lineRule="exact"/>
        <w:ind w:firstLine="640" w:firstLineChars="200"/>
        <w:rPr>
          <w:rFonts w:eastAsia="仿宋_GB2312"/>
          <w:sz w:val="32"/>
          <w:szCs w:val="32"/>
        </w:rPr>
      </w:pPr>
      <w:r>
        <w:rPr>
          <w:rFonts w:eastAsia="仿宋_GB2312"/>
          <w:sz w:val="32"/>
          <w:szCs w:val="32"/>
        </w:rPr>
        <w:t>初判为特别重大</w:t>
      </w:r>
      <w:r>
        <w:rPr>
          <w:rFonts w:hint="eastAsia" w:eastAsia="仿宋_GB2312"/>
          <w:sz w:val="32"/>
          <w:szCs w:val="32"/>
        </w:rPr>
        <w:t>、</w:t>
      </w:r>
      <w:r>
        <w:rPr>
          <w:rFonts w:eastAsia="仿宋_GB2312"/>
          <w:sz w:val="32"/>
          <w:szCs w:val="32"/>
        </w:rPr>
        <w:t>重大</w:t>
      </w:r>
      <w:r>
        <w:rPr>
          <w:rFonts w:hint="eastAsia" w:eastAsia="仿宋_GB2312"/>
          <w:sz w:val="32"/>
          <w:szCs w:val="32"/>
        </w:rPr>
        <w:t>和较大</w:t>
      </w:r>
      <w:r>
        <w:rPr>
          <w:rFonts w:eastAsia="仿宋_GB2312"/>
          <w:sz w:val="32"/>
          <w:szCs w:val="32"/>
        </w:rPr>
        <w:t>食品安全事故的，事发地</w:t>
      </w:r>
      <w:r>
        <w:rPr>
          <w:rFonts w:hint="eastAsia" w:eastAsia="仿宋_GB2312"/>
          <w:sz w:val="32"/>
          <w:szCs w:val="32"/>
        </w:rPr>
        <w:t>所在乡（街道）、功能板块</w:t>
      </w:r>
      <w:r>
        <w:rPr>
          <w:rFonts w:eastAsia="仿宋_GB2312"/>
          <w:sz w:val="32"/>
          <w:szCs w:val="32"/>
        </w:rPr>
        <w:t>应立即报告</w:t>
      </w:r>
      <w:r>
        <w:rPr>
          <w:rFonts w:hint="eastAsia" w:eastAsia="仿宋_GB2312"/>
          <w:sz w:val="32"/>
          <w:szCs w:val="32"/>
        </w:rPr>
        <w:t>区</w:t>
      </w:r>
      <w:r>
        <w:rPr>
          <w:rFonts w:eastAsia="仿宋_GB2312"/>
          <w:sz w:val="32"/>
          <w:szCs w:val="32"/>
        </w:rPr>
        <w:t>政府办公室和</w:t>
      </w:r>
      <w:r>
        <w:rPr>
          <w:rFonts w:hint="eastAsia" w:eastAsia="仿宋_GB2312"/>
          <w:sz w:val="32"/>
          <w:szCs w:val="32"/>
        </w:rPr>
        <w:t>区</w:t>
      </w:r>
      <w:r>
        <w:rPr>
          <w:rFonts w:eastAsia="仿宋_GB2312"/>
          <w:sz w:val="32"/>
          <w:szCs w:val="32"/>
        </w:rPr>
        <w:t>食安办，</w:t>
      </w:r>
      <w:r>
        <w:rPr>
          <w:rFonts w:hint="eastAsia" w:eastAsia="仿宋_GB2312"/>
          <w:sz w:val="32"/>
          <w:szCs w:val="32"/>
        </w:rPr>
        <w:t>区</w:t>
      </w:r>
      <w:r>
        <w:rPr>
          <w:rFonts w:eastAsia="仿宋_GB2312"/>
          <w:sz w:val="32"/>
          <w:szCs w:val="32"/>
        </w:rPr>
        <w:t>食安办和</w:t>
      </w:r>
      <w:r>
        <w:rPr>
          <w:rFonts w:hint="eastAsia" w:eastAsia="仿宋_GB2312"/>
          <w:sz w:val="32"/>
          <w:szCs w:val="32"/>
        </w:rPr>
        <w:t>区</w:t>
      </w:r>
      <w:r>
        <w:rPr>
          <w:rFonts w:eastAsia="仿宋_GB2312"/>
          <w:sz w:val="32"/>
          <w:szCs w:val="32"/>
        </w:rPr>
        <w:t>政府办公室按规定流程分别报</w:t>
      </w:r>
      <w:r>
        <w:rPr>
          <w:rFonts w:hint="eastAsia" w:eastAsia="仿宋_GB2312"/>
          <w:sz w:val="32"/>
          <w:szCs w:val="32"/>
        </w:rPr>
        <w:t>告市</w:t>
      </w:r>
      <w:r>
        <w:rPr>
          <w:rFonts w:eastAsia="仿宋_GB2312"/>
          <w:sz w:val="32"/>
          <w:szCs w:val="32"/>
        </w:rPr>
        <w:t>食安办和</w:t>
      </w:r>
      <w:r>
        <w:rPr>
          <w:rFonts w:hint="eastAsia" w:eastAsia="仿宋_GB2312"/>
          <w:sz w:val="32"/>
          <w:szCs w:val="32"/>
        </w:rPr>
        <w:t>市政府</w:t>
      </w:r>
      <w:r>
        <w:rPr>
          <w:rFonts w:eastAsia="仿宋_GB2312"/>
          <w:sz w:val="32"/>
          <w:szCs w:val="32"/>
        </w:rPr>
        <w:t>办公</w:t>
      </w:r>
      <w:r>
        <w:rPr>
          <w:rFonts w:hint="eastAsia" w:eastAsia="仿宋_GB2312"/>
          <w:sz w:val="32"/>
          <w:szCs w:val="32"/>
        </w:rPr>
        <w:t>室</w:t>
      </w:r>
      <w:r>
        <w:rPr>
          <w:rFonts w:eastAsia="仿宋_GB2312"/>
          <w:sz w:val="32"/>
          <w:szCs w:val="32"/>
        </w:rPr>
        <w:t>。Ⅰ级、Ⅱ级、Ⅲ级应急处置行动在国家、省</w:t>
      </w:r>
      <w:r>
        <w:rPr>
          <w:rFonts w:hint="eastAsia" w:eastAsia="仿宋_GB2312"/>
          <w:sz w:val="32"/>
          <w:szCs w:val="32"/>
        </w:rPr>
        <w:t>、市</w:t>
      </w:r>
      <w:r>
        <w:rPr>
          <w:rFonts w:eastAsia="仿宋_GB2312"/>
          <w:sz w:val="32"/>
          <w:szCs w:val="32"/>
        </w:rPr>
        <w:t>有关部门统一指挥下开展，</w:t>
      </w:r>
      <w:r>
        <w:rPr>
          <w:rFonts w:hint="eastAsia" w:eastAsia="仿宋_GB2312"/>
          <w:sz w:val="32"/>
          <w:szCs w:val="32"/>
        </w:rPr>
        <w:t>区</w:t>
      </w:r>
      <w:r>
        <w:rPr>
          <w:rFonts w:eastAsia="仿宋_GB2312"/>
          <w:sz w:val="32"/>
          <w:szCs w:val="32"/>
        </w:rPr>
        <w:t>食安委及相关部门迅速启动应急处置程序，开展应对工作。</w:t>
      </w:r>
    </w:p>
    <w:p>
      <w:pPr>
        <w:adjustRightInd w:val="0"/>
        <w:spacing w:line="560" w:lineRule="exact"/>
        <w:ind w:firstLine="640" w:firstLineChars="200"/>
        <w:rPr>
          <w:rFonts w:eastAsia="仿宋_GB2312"/>
          <w:sz w:val="32"/>
          <w:szCs w:val="32"/>
        </w:rPr>
      </w:pPr>
      <w:r>
        <w:rPr>
          <w:rFonts w:eastAsia="仿宋_GB2312"/>
          <w:sz w:val="32"/>
          <w:szCs w:val="32"/>
        </w:rPr>
        <w:t>初判为一般食品安全事故的，</w:t>
      </w:r>
      <w:r>
        <w:rPr>
          <w:rFonts w:hint="eastAsia" w:eastAsia="仿宋_GB2312"/>
          <w:sz w:val="32"/>
          <w:szCs w:val="32"/>
        </w:rPr>
        <w:t>由区食安办向区食安委提出启动Ⅳ级响应的建议，区食安委视情况决定是否启动Ⅳ级响应。</w:t>
      </w:r>
      <w:r>
        <w:rPr>
          <w:rFonts w:eastAsia="仿宋_GB2312"/>
          <w:sz w:val="32"/>
          <w:szCs w:val="32"/>
        </w:rPr>
        <w:t>必要时</w:t>
      </w:r>
      <w:r>
        <w:rPr>
          <w:rFonts w:hint="eastAsia" w:eastAsia="仿宋_GB2312"/>
          <w:sz w:val="32"/>
          <w:szCs w:val="32"/>
        </w:rPr>
        <w:t>请</w:t>
      </w:r>
      <w:r>
        <w:rPr>
          <w:rFonts w:eastAsia="仿宋_GB2312"/>
          <w:sz w:val="32"/>
          <w:szCs w:val="32"/>
        </w:rPr>
        <w:t>上级人民政府派出工作组指导、协助应急处置工作。未达到本预案规定的一般事故评估标准的食品安全事故，由事发地</w:t>
      </w:r>
      <w:r>
        <w:rPr>
          <w:rFonts w:hint="eastAsia" w:eastAsia="仿宋_GB2312"/>
          <w:sz w:val="32"/>
          <w:szCs w:val="32"/>
        </w:rPr>
        <w:t>所在乡（街道）、功能板块</w:t>
      </w:r>
      <w:r>
        <w:rPr>
          <w:rFonts w:eastAsia="仿宋_GB2312"/>
          <w:sz w:val="32"/>
          <w:szCs w:val="32"/>
        </w:rPr>
        <w:t>组织有关部门做好应急处置工作，控制事态升级蔓延。</w:t>
      </w:r>
    </w:p>
    <w:p>
      <w:pPr>
        <w:adjustRightInd w:val="0"/>
        <w:spacing w:line="560" w:lineRule="exact"/>
        <w:ind w:firstLine="640" w:firstLineChars="200"/>
        <w:rPr>
          <w:rFonts w:eastAsia="仿宋_GB2312"/>
          <w:sz w:val="32"/>
          <w:szCs w:val="32"/>
        </w:rPr>
      </w:pPr>
      <w:r>
        <w:rPr>
          <w:rFonts w:eastAsia="仿宋_GB2312"/>
          <w:sz w:val="32"/>
          <w:szCs w:val="32"/>
        </w:rPr>
        <w:t>启动Ⅰ级、Ⅱ级、Ⅲ级响应期间，</w:t>
      </w:r>
      <w:r>
        <w:rPr>
          <w:rFonts w:hint="eastAsia" w:eastAsia="仿宋_GB2312"/>
          <w:sz w:val="32"/>
          <w:szCs w:val="32"/>
        </w:rPr>
        <w:t>区</w:t>
      </w:r>
      <w:r>
        <w:rPr>
          <w:rFonts w:eastAsia="仿宋_GB2312"/>
          <w:sz w:val="32"/>
          <w:szCs w:val="32"/>
        </w:rPr>
        <w:t>食安委各成员单位按照职责做好事故应对处置工作。事发地</w:t>
      </w:r>
      <w:r>
        <w:rPr>
          <w:rFonts w:hint="eastAsia" w:eastAsia="仿宋_GB2312"/>
          <w:sz w:val="32"/>
          <w:szCs w:val="32"/>
        </w:rPr>
        <w:t>所在乡（街道）、功能板块</w:t>
      </w:r>
      <w:r>
        <w:rPr>
          <w:rFonts w:eastAsia="仿宋_GB2312"/>
          <w:sz w:val="32"/>
          <w:szCs w:val="32"/>
        </w:rPr>
        <w:t>全力做好先期处置，控制事态发展，保护封存有关场所和物品，救治伤病员，并及时报告相关工作进展情况。</w:t>
      </w:r>
    </w:p>
    <w:p>
      <w:pPr>
        <w:adjustRightInd w:val="0"/>
        <w:spacing w:line="560" w:lineRule="exact"/>
        <w:ind w:firstLine="640" w:firstLineChars="200"/>
        <w:rPr>
          <w:rFonts w:eastAsia="仿宋_GB2312"/>
          <w:sz w:val="32"/>
          <w:szCs w:val="32"/>
        </w:rPr>
      </w:pPr>
      <w:r>
        <w:rPr>
          <w:rFonts w:eastAsia="仿宋_GB2312"/>
          <w:sz w:val="32"/>
          <w:szCs w:val="32"/>
        </w:rPr>
        <w:t>在食品安全事故处置中涉及传染病疫情的，按照相关预案开展应急处置。</w:t>
      </w:r>
    </w:p>
    <w:p>
      <w:pPr>
        <w:adjustRightInd w:val="0"/>
        <w:spacing w:line="560" w:lineRule="exact"/>
        <w:ind w:firstLine="640" w:firstLineChars="200"/>
        <w:rPr>
          <w:rFonts w:eastAsia="楷体_GB2312"/>
          <w:sz w:val="32"/>
          <w:szCs w:val="32"/>
        </w:rPr>
      </w:pPr>
      <w:r>
        <w:rPr>
          <w:rFonts w:eastAsia="楷体_GB2312"/>
          <w:sz w:val="32"/>
          <w:szCs w:val="32"/>
        </w:rPr>
        <w:t xml:space="preserve">5.2  </w:t>
      </w:r>
      <w:r>
        <w:rPr>
          <w:rFonts w:hint="eastAsia" w:ascii="楷体" w:hAnsi="楷体" w:eastAsia="楷体" w:cs="楷体"/>
          <w:sz w:val="32"/>
          <w:szCs w:val="32"/>
        </w:rPr>
        <w:t>响应措施</w:t>
      </w:r>
    </w:p>
    <w:p>
      <w:pPr>
        <w:adjustRightInd w:val="0"/>
        <w:spacing w:line="560" w:lineRule="exact"/>
        <w:ind w:firstLine="640" w:firstLineChars="200"/>
        <w:rPr>
          <w:rFonts w:eastAsia="仿宋_GB2312"/>
          <w:sz w:val="32"/>
          <w:szCs w:val="32"/>
        </w:rPr>
      </w:pPr>
      <w:r>
        <w:rPr>
          <w:rFonts w:eastAsia="仿宋_GB2312"/>
          <w:sz w:val="32"/>
          <w:szCs w:val="32"/>
        </w:rPr>
        <w:t>应急响应启动后，根据响应级别和职责分工，组织开展以下相关措施（食品安全事故应急响应流程图见附件2）。</w:t>
      </w:r>
    </w:p>
    <w:p>
      <w:pPr>
        <w:adjustRightInd w:val="0"/>
        <w:spacing w:line="560" w:lineRule="exact"/>
        <w:ind w:firstLine="640" w:firstLineChars="200"/>
        <w:rPr>
          <w:rFonts w:ascii="楷体" w:hAnsi="楷体" w:eastAsia="楷体" w:cs="楷体"/>
          <w:sz w:val="32"/>
          <w:szCs w:val="32"/>
        </w:rPr>
      </w:pPr>
      <w:r>
        <w:rPr>
          <w:rFonts w:eastAsia="仿宋_GB2312"/>
          <w:sz w:val="32"/>
          <w:szCs w:val="32"/>
        </w:rPr>
        <w:t>5.2.1  医疗救治</w:t>
      </w:r>
    </w:p>
    <w:p>
      <w:pPr>
        <w:adjustRightInd w:val="0"/>
        <w:spacing w:line="560" w:lineRule="exact"/>
        <w:ind w:firstLine="640" w:firstLineChars="200"/>
        <w:rPr>
          <w:rFonts w:eastAsia="仿宋_GB2312"/>
          <w:sz w:val="32"/>
          <w:szCs w:val="32"/>
        </w:rPr>
      </w:pPr>
      <w:r>
        <w:rPr>
          <w:rFonts w:eastAsia="仿宋_GB2312"/>
          <w:sz w:val="32"/>
          <w:szCs w:val="32"/>
        </w:rPr>
        <w:t>迅速组织当地医疗资源和力量，对食品安全事故患者进行诊断治疗，将重症患者转运到有条件的医疗机构加强救治。视情增派医疗卫生专家和卫生应急队伍，调配急需医药物资，支持事发地医疗救治工作。提出保护公众身体健康的措施建议，做好患者心理疏导。</w:t>
      </w:r>
    </w:p>
    <w:p>
      <w:pPr>
        <w:adjustRightInd w:val="0"/>
        <w:spacing w:line="560" w:lineRule="exact"/>
        <w:ind w:firstLine="640" w:firstLineChars="200"/>
        <w:rPr>
          <w:rFonts w:eastAsia="仿宋_GB2312"/>
          <w:sz w:val="32"/>
          <w:szCs w:val="32"/>
        </w:rPr>
      </w:pPr>
      <w:r>
        <w:rPr>
          <w:rFonts w:eastAsia="仿宋_GB2312"/>
          <w:sz w:val="32"/>
          <w:szCs w:val="32"/>
        </w:rPr>
        <w:t>5.2.2  现场处置</w:t>
      </w:r>
    </w:p>
    <w:p>
      <w:pPr>
        <w:adjustRightInd w:val="0"/>
        <w:spacing w:line="560" w:lineRule="exact"/>
        <w:ind w:firstLine="640" w:firstLineChars="200"/>
        <w:rPr>
          <w:rFonts w:eastAsia="仿宋_GB2312"/>
          <w:sz w:val="32"/>
          <w:szCs w:val="32"/>
        </w:rPr>
      </w:pPr>
      <w:r>
        <w:rPr>
          <w:rFonts w:eastAsia="仿宋_GB2312"/>
          <w:sz w:val="32"/>
          <w:szCs w:val="32"/>
        </w:rPr>
        <w:t>各有关部门应当依法先行登记保存或查封、扣押可能导致食品安全事故的食品及其原料和食品相关产品；对确认属于被污染的食品及其原料，责令生产经营者按相关法律法规停止生产经营和召回；对被污染的食品相关产品，在完成相关调查后，责令生产经营者立即进行清洗消毒等处理；必要时应当标明危害范围，防止危害扩大或证据灭失等。依法封存涉事相关场所以及用于食品生产经营的工具、设备，待现场调查结束后，责令彻底清洗消毒被污染的场所以及用于食品生产经营的工具、设备，消除污染。</w:t>
      </w:r>
    </w:p>
    <w:p>
      <w:pPr>
        <w:adjustRightInd w:val="0"/>
        <w:spacing w:line="560" w:lineRule="exact"/>
        <w:ind w:firstLine="640" w:firstLineChars="200"/>
        <w:rPr>
          <w:rFonts w:eastAsia="仿宋_GB2312"/>
          <w:sz w:val="32"/>
          <w:szCs w:val="32"/>
        </w:rPr>
      </w:pPr>
      <w:r>
        <w:rPr>
          <w:rFonts w:eastAsia="仿宋_GB2312"/>
          <w:sz w:val="32"/>
          <w:szCs w:val="32"/>
        </w:rPr>
        <w:t>5.2.3  流行病学调查</w:t>
      </w:r>
    </w:p>
    <w:p>
      <w:pPr>
        <w:adjustRightInd w:val="0"/>
        <w:spacing w:line="560" w:lineRule="exact"/>
        <w:ind w:firstLine="640" w:firstLineChars="200"/>
        <w:rPr>
          <w:rFonts w:eastAsia="仿宋_GB2312"/>
          <w:sz w:val="32"/>
          <w:szCs w:val="32"/>
        </w:rPr>
      </w:pPr>
      <w:r>
        <w:rPr>
          <w:rFonts w:eastAsia="仿宋_GB2312"/>
          <w:sz w:val="32"/>
          <w:szCs w:val="32"/>
        </w:rPr>
        <w:t>疾病预防控制机构应及时组织开展现场卫生处理，并对与事故有关的因素开展流行病学调查，有关部门应当予以协助。疾病预防控制机构在完成流行病学调查后，应当在24小时内向</w:t>
      </w:r>
      <w:r>
        <w:rPr>
          <w:rFonts w:hint="eastAsia" w:eastAsia="仿宋_GB2312"/>
          <w:sz w:val="32"/>
          <w:szCs w:val="32"/>
        </w:rPr>
        <w:t>区</w:t>
      </w:r>
      <w:r>
        <w:rPr>
          <w:rFonts w:eastAsia="仿宋_GB2312"/>
          <w:sz w:val="32"/>
          <w:szCs w:val="32"/>
        </w:rPr>
        <w:t>市场监督管理、</w:t>
      </w:r>
      <w:r>
        <w:rPr>
          <w:rFonts w:hint="eastAsia" w:eastAsia="仿宋_GB2312"/>
          <w:sz w:val="32"/>
          <w:szCs w:val="32"/>
        </w:rPr>
        <w:t>卫健部门</w:t>
      </w:r>
      <w:r>
        <w:rPr>
          <w:rFonts w:eastAsia="仿宋_GB2312"/>
          <w:sz w:val="32"/>
          <w:szCs w:val="32"/>
        </w:rPr>
        <w:t>提交初步流行病学调查报告，并在7个工作日内提交最终调查报告。</w:t>
      </w:r>
    </w:p>
    <w:p>
      <w:pPr>
        <w:adjustRightInd w:val="0"/>
        <w:spacing w:line="560" w:lineRule="exact"/>
        <w:ind w:firstLine="640" w:firstLineChars="200"/>
        <w:rPr>
          <w:rFonts w:eastAsia="仿宋_GB2312"/>
          <w:sz w:val="32"/>
          <w:szCs w:val="32"/>
        </w:rPr>
      </w:pPr>
      <w:r>
        <w:rPr>
          <w:rFonts w:eastAsia="仿宋_GB2312"/>
          <w:sz w:val="32"/>
          <w:szCs w:val="32"/>
        </w:rPr>
        <w:t>5.2.4  应急检验检测</w:t>
      </w:r>
    </w:p>
    <w:p>
      <w:pPr>
        <w:adjustRightInd w:val="0"/>
        <w:spacing w:line="560" w:lineRule="exact"/>
        <w:ind w:firstLine="640" w:firstLineChars="200"/>
        <w:rPr>
          <w:rFonts w:eastAsia="仿宋_GB2312"/>
          <w:sz w:val="32"/>
          <w:szCs w:val="32"/>
        </w:rPr>
      </w:pPr>
      <w:r>
        <w:rPr>
          <w:rFonts w:eastAsia="仿宋_GB2312"/>
          <w:sz w:val="32"/>
          <w:szCs w:val="32"/>
        </w:rPr>
        <w:t>专业技术机构应当对引发食品安全事故的相关样品及时进行应急检验检测，提交科学的检验检测结果，为制定事故调查和应急处置方案等提供技术支撑。</w:t>
      </w:r>
    </w:p>
    <w:p>
      <w:pPr>
        <w:adjustRightInd w:val="0"/>
        <w:spacing w:line="560" w:lineRule="exact"/>
        <w:ind w:firstLine="640" w:firstLineChars="200"/>
        <w:rPr>
          <w:rFonts w:eastAsia="仿宋_GB2312"/>
          <w:sz w:val="32"/>
          <w:szCs w:val="32"/>
        </w:rPr>
      </w:pPr>
      <w:r>
        <w:rPr>
          <w:rFonts w:eastAsia="仿宋_GB2312"/>
          <w:sz w:val="32"/>
          <w:szCs w:val="32"/>
        </w:rPr>
        <w:t>5.2.5  事故调查</w:t>
      </w:r>
    </w:p>
    <w:p>
      <w:pPr>
        <w:adjustRightInd w:val="0"/>
        <w:spacing w:line="560" w:lineRule="exact"/>
        <w:ind w:firstLine="640" w:firstLineChars="200"/>
        <w:rPr>
          <w:rFonts w:eastAsia="仿宋_GB2312"/>
          <w:sz w:val="32"/>
          <w:szCs w:val="32"/>
        </w:rPr>
      </w:pPr>
      <w:r>
        <w:rPr>
          <w:rFonts w:eastAsia="仿宋_GB2312"/>
          <w:sz w:val="32"/>
          <w:szCs w:val="32"/>
        </w:rPr>
        <w:t>按照依法依规、实事求是、尊重科学的原则，及时开展事故调查工作。事故调查应当准确查清事故性质和原因，分析评估事故风险和发展趋势，认定事故责任，研究提出防范措施和整改意见建议，并提交调查报告。对失职失责、涉嫌职务违法犯罪的，由纪检监察机关启动调查；对涉嫌犯罪的，公安机关及时介入，开展相关违法犯罪行为侦破工作。</w:t>
      </w:r>
    </w:p>
    <w:p>
      <w:pPr>
        <w:adjustRightInd w:val="0"/>
        <w:spacing w:line="560" w:lineRule="exact"/>
        <w:ind w:firstLine="640" w:firstLineChars="200"/>
        <w:rPr>
          <w:rFonts w:eastAsia="仿宋_GB2312"/>
          <w:sz w:val="32"/>
          <w:szCs w:val="32"/>
        </w:rPr>
      </w:pPr>
      <w:r>
        <w:rPr>
          <w:rFonts w:eastAsia="仿宋_GB2312"/>
          <w:sz w:val="32"/>
          <w:szCs w:val="32"/>
        </w:rPr>
        <w:t>5.2.6  信息发布和舆论引导</w:t>
      </w:r>
    </w:p>
    <w:p>
      <w:pPr>
        <w:adjustRightInd w:val="0"/>
        <w:spacing w:line="560" w:lineRule="exact"/>
        <w:ind w:firstLine="640" w:firstLineChars="200"/>
        <w:rPr>
          <w:rFonts w:eastAsia="仿宋_GB2312"/>
          <w:sz w:val="32"/>
          <w:szCs w:val="32"/>
        </w:rPr>
      </w:pPr>
      <w:r>
        <w:rPr>
          <w:rFonts w:eastAsia="仿宋_GB2312"/>
          <w:sz w:val="32"/>
          <w:szCs w:val="32"/>
        </w:rPr>
        <w:t>在</w:t>
      </w:r>
      <w:r>
        <w:rPr>
          <w:rFonts w:hint="eastAsia" w:eastAsia="仿宋_GB2312"/>
          <w:sz w:val="32"/>
          <w:szCs w:val="32"/>
        </w:rPr>
        <w:t>区委网信办</w:t>
      </w:r>
      <w:r>
        <w:rPr>
          <w:rFonts w:eastAsia="仿宋_GB2312"/>
          <w:sz w:val="32"/>
          <w:szCs w:val="32"/>
        </w:rPr>
        <w:t>的指导下，</w:t>
      </w:r>
      <w:r>
        <w:rPr>
          <w:rFonts w:hint="eastAsia" w:eastAsia="仿宋_GB2312"/>
          <w:sz w:val="32"/>
          <w:szCs w:val="32"/>
        </w:rPr>
        <w:t>区</w:t>
      </w:r>
      <w:r>
        <w:rPr>
          <w:rFonts w:eastAsia="仿宋_GB2312"/>
          <w:sz w:val="32"/>
          <w:szCs w:val="32"/>
        </w:rPr>
        <w:t>食安办会同事故调查处置主管部门指定专人负责信息汇集和联络工作，迅速拟定信息发布方案，确定发布内容，及时上报市食安委审核后统一发布信息。在信息发布中，应当及时、准确、全面、客观地报道事故进展、医疗救治、善后处置等情况。第一时间发布简要信息，随后发布初步核实情况、应对措施和公众防范措施等，并根据事故处置情况做好后续信息发布。加强舆情监测，做好舆论引导。</w:t>
      </w:r>
    </w:p>
    <w:p>
      <w:pPr>
        <w:adjustRightInd w:val="0"/>
        <w:spacing w:line="560" w:lineRule="exact"/>
        <w:ind w:firstLine="640" w:firstLineChars="200"/>
        <w:rPr>
          <w:rFonts w:eastAsia="仿宋_GB2312"/>
          <w:sz w:val="32"/>
          <w:szCs w:val="32"/>
        </w:rPr>
      </w:pPr>
      <w:r>
        <w:rPr>
          <w:rFonts w:eastAsia="仿宋_GB2312"/>
          <w:sz w:val="32"/>
          <w:szCs w:val="32"/>
        </w:rPr>
        <w:t>事故中伤亡、失踪、被困人员有境外公民，需要向有关国家或地区进行通报的，</w:t>
      </w:r>
      <w:r>
        <w:rPr>
          <w:rFonts w:hint="eastAsia" w:eastAsia="仿宋_GB2312"/>
          <w:sz w:val="32"/>
          <w:szCs w:val="32"/>
        </w:rPr>
        <w:t>区</w:t>
      </w:r>
      <w:r>
        <w:rPr>
          <w:rFonts w:eastAsia="仿宋_GB2312"/>
          <w:sz w:val="32"/>
          <w:szCs w:val="32"/>
        </w:rPr>
        <w:t>食安办或相关部门应及时通报</w:t>
      </w:r>
      <w:r>
        <w:rPr>
          <w:rFonts w:hint="eastAsia" w:eastAsia="仿宋_GB2312"/>
          <w:sz w:val="32"/>
          <w:szCs w:val="32"/>
        </w:rPr>
        <w:t>区外事办</w:t>
      </w:r>
      <w:r>
        <w:rPr>
          <w:rFonts w:eastAsia="仿宋_GB2312"/>
          <w:sz w:val="32"/>
          <w:szCs w:val="32"/>
        </w:rPr>
        <w:t>、</w:t>
      </w:r>
      <w:r>
        <w:rPr>
          <w:rFonts w:hint="eastAsia" w:eastAsia="仿宋_GB2312"/>
          <w:sz w:val="32"/>
          <w:szCs w:val="32"/>
        </w:rPr>
        <w:t>区台办、区侨办</w:t>
      </w:r>
      <w:r>
        <w:rPr>
          <w:rFonts w:eastAsia="仿宋_GB2312"/>
          <w:sz w:val="32"/>
          <w:szCs w:val="32"/>
        </w:rPr>
        <w:t>，及时启动相关应急预案。</w:t>
      </w:r>
    </w:p>
    <w:p>
      <w:pPr>
        <w:adjustRightInd w:val="0"/>
        <w:spacing w:line="560" w:lineRule="exact"/>
        <w:ind w:firstLine="640" w:firstLineChars="200"/>
        <w:rPr>
          <w:rFonts w:eastAsia="仿宋_GB2312"/>
          <w:sz w:val="32"/>
          <w:szCs w:val="32"/>
        </w:rPr>
      </w:pPr>
      <w:r>
        <w:rPr>
          <w:rFonts w:eastAsia="仿宋_GB2312"/>
          <w:sz w:val="32"/>
          <w:szCs w:val="32"/>
        </w:rPr>
        <w:t>5.2.7  维护社会稳定</w:t>
      </w:r>
    </w:p>
    <w:p>
      <w:pPr>
        <w:adjustRightInd w:val="0"/>
        <w:spacing w:line="560" w:lineRule="exact"/>
        <w:ind w:firstLine="640" w:firstLineChars="200"/>
        <w:rPr>
          <w:rFonts w:eastAsia="仿宋_GB2312"/>
          <w:sz w:val="32"/>
          <w:szCs w:val="32"/>
        </w:rPr>
      </w:pPr>
      <w:r>
        <w:rPr>
          <w:rFonts w:eastAsia="仿宋_GB2312"/>
          <w:sz w:val="32"/>
          <w:szCs w:val="32"/>
        </w:rPr>
        <w:t>加强事发地区社会治安管理，严厉打击借机传播谣言、制造社会恐慌、哄抢物资等违法犯罪行为。加强救助患者的医疗机构、 涉事生产经营单位、应急物资存放点等重点地区治安管控。做好各类矛盾纠纷化解和法律服务工作，防止出现群体性事件，维护社会稳定。</w:t>
      </w:r>
    </w:p>
    <w:p>
      <w:pPr>
        <w:adjustRightInd w:val="0"/>
        <w:spacing w:line="560" w:lineRule="exact"/>
        <w:ind w:firstLine="640" w:firstLineChars="200"/>
        <w:rPr>
          <w:rFonts w:eastAsia="楷体_GB2312"/>
          <w:sz w:val="32"/>
          <w:szCs w:val="32"/>
        </w:rPr>
      </w:pPr>
      <w:r>
        <w:rPr>
          <w:rFonts w:eastAsia="楷体_GB2312"/>
          <w:sz w:val="32"/>
          <w:szCs w:val="32"/>
        </w:rPr>
        <w:t xml:space="preserve">5.3  </w:t>
      </w:r>
      <w:r>
        <w:rPr>
          <w:rFonts w:hint="eastAsia" w:ascii="楷体" w:hAnsi="楷体" w:eastAsia="楷体" w:cs="楷体"/>
          <w:sz w:val="32"/>
          <w:szCs w:val="32"/>
        </w:rPr>
        <w:t>响应级别调整及终止</w:t>
      </w:r>
    </w:p>
    <w:p>
      <w:pPr>
        <w:adjustRightInd w:val="0"/>
        <w:spacing w:line="560" w:lineRule="exact"/>
        <w:ind w:firstLine="640" w:firstLineChars="200"/>
        <w:rPr>
          <w:rFonts w:eastAsia="仿宋_GB2312"/>
          <w:sz w:val="32"/>
          <w:szCs w:val="32"/>
        </w:rPr>
      </w:pPr>
      <w:r>
        <w:rPr>
          <w:rFonts w:eastAsia="仿宋_GB2312"/>
          <w:sz w:val="32"/>
          <w:szCs w:val="32"/>
        </w:rPr>
        <w:t>遵循食品安全事故发生发展的客观规律，结合实际情况和处置工作需要，根据事态发展及时调整应急响应级别，避免应急响应过度或不足，直至响应终止。</w:t>
      </w:r>
    </w:p>
    <w:p>
      <w:pPr>
        <w:adjustRightInd w:val="0"/>
        <w:spacing w:line="560" w:lineRule="exact"/>
        <w:ind w:firstLine="640" w:firstLineChars="200"/>
        <w:rPr>
          <w:rFonts w:eastAsia="仿宋_GB2312"/>
          <w:sz w:val="32"/>
          <w:szCs w:val="32"/>
        </w:rPr>
      </w:pPr>
      <w:r>
        <w:rPr>
          <w:rFonts w:eastAsia="仿宋_GB2312"/>
          <w:sz w:val="32"/>
          <w:szCs w:val="32"/>
        </w:rPr>
        <w:t>5.3.1  响应级别调整及终止条件</w:t>
      </w:r>
    </w:p>
    <w:p>
      <w:pPr>
        <w:adjustRightInd w:val="0"/>
        <w:spacing w:line="560" w:lineRule="exact"/>
        <w:ind w:firstLine="640" w:firstLineChars="200"/>
        <w:rPr>
          <w:rFonts w:eastAsia="仿宋_GB2312"/>
          <w:sz w:val="32"/>
          <w:szCs w:val="32"/>
        </w:rPr>
      </w:pPr>
      <w:r>
        <w:rPr>
          <w:rFonts w:eastAsia="仿宋_GB2312"/>
          <w:sz w:val="32"/>
          <w:szCs w:val="32"/>
        </w:rPr>
        <w:t>（1）响应升级。当事故影响或危害扩大并有蔓延趋势，应当及时提升响应级别。当全国性或区域性重要活动期间发生食品安全事故时，可根据事故发生情况，提高响应级别，加大应急处置力度，确保迅速、有效应对食品安全事故。</w:t>
      </w:r>
    </w:p>
    <w:p>
      <w:pPr>
        <w:adjustRightInd w:val="0"/>
        <w:spacing w:line="560" w:lineRule="exact"/>
        <w:ind w:firstLine="640" w:firstLineChars="200"/>
        <w:rPr>
          <w:rFonts w:eastAsia="仿宋_GB2312"/>
          <w:sz w:val="32"/>
          <w:szCs w:val="32"/>
        </w:rPr>
      </w:pPr>
      <w:r>
        <w:rPr>
          <w:rFonts w:eastAsia="仿宋_GB2312"/>
          <w:sz w:val="32"/>
          <w:szCs w:val="32"/>
        </w:rPr>
        <w:t>（2）响应降级。事故危害或不良影响得到有效控制，经研判认为事故危害或不良影响已降低到当前响应级别标准以下，无进一步蔓延趋势的，可降低应急响应级别。</w:t>
      </w:r>
    </w:p>
    <w:p>
      <w:pPr>
        <w:adjustRightInd w:val="0"/>
        <w:spacing w:line="560" w:lineRule="exact"/>
        <w:ind w:firstLine="640" w:firstLineChars="200"/>
        <w:rPr>
          <w:rFonts w:eastAsia="仿宋_GB2312"/>
          <w:sz w:val="32"/>
          <w:szCs w:val="32"/>
        </w:rPr>
      </w:pPr>
      <w:r>
        <w:rPr>
          <w:rFonts w:eastAsia="仿宋_GB2312"/>
          <w:sz w:val="32"/>
          <w:szCs w:val="32"/>
        </w:rPr>
        <w:t>（3）响应终止。当食品安全事故得到控制，并符合以下要求，经分析评估认为可解除应急响应的，应当及时终止响应：</w:t>
      </w:r>
    </w:p>
    <w:p>
      <w:pPr>
        <w:adjustRightInd w:val="0"/>
        <w:spacing w:line="560" w:lineRule="exact"/>
        <w:ind w:firstLine="640" w:firstLineChars="200"/>
        <w:rPr>
          <w:rFonts w:eastAsia="仿宋_GB2312"/>
          <w:sz w:val="32"/>
          <w:szCs w:val="32"/>
        </w:rPr>
      </w:pPr>
      <w:r>
        <w:rPr>
          <w:rFonts w:eastAsia="仿宋_GB2312"/>
          <w:sz w:val="32"/>
          <w:szCs w:val="32"/>
        </w:rPr>
        <w:t>①食品安全事故伤病员全部得到救治，原患者病情稳定24小时以上，且无新的急性病症患者出现；</w:t>
      </w:r>
    </w:p>
    <w:p>
      <w:pPr>
        <w:adjustRightInd w:val="0"/>
        <w:spacing w:line="560" w:lineRule="exact"/>
        <w:ind w:firstLine="640" w:firstLineChars="200"/>
        <w:rPr>
          <w:rFonts w:eastAsia="仿宋_GB2312"/>
          <w:sz w:val="32"/>
          <w:szCs w:val="32"/>
        </w:rPr>
      </w:pPr>
      <w:r>
        <w:rPr>
          <w:rFonts w:eastAsia="仿宋_GB2312"/>
          <w:sz w:val="32"/>
          <w:szCs w:val="32"/>
        </w:rPr>
        <w:t>②受污染食品得到有效控制，食品与环境污染得到有效清理，并符合相关标准，次生、衍生事故隐患消除；</w:t>
      </w:r>
    </w:p>
    <w:p>
      <w:pPr>
        <w:adjustRightInd w:val="0"/>
        <w:spacing w:line="560" w:lineRule="exact"/>
        <w:ind w:firstLine="640" w:firstLineChars="200"/>
        <w:rPr>
          <w:rFonts w:eastAsia="仿宋_GB2312"/>
          <w:sz w:val="32"/>
          <w:szCs w:val="32"/>
        </w:rPr>
      </w:pPr>
      <w:r>
        <w:rPr>
          <w:rFonts w:eastAsia="仿宋_GB2312"/>
          <w:sz w:val="32"/>
          <w:szCs w:val="32"/>
        </w:rPr>
        <w:t>③事故造成的危害或不良影响已消除或得到有效控制，不需要继续按预案进行应急处置的。</w:t>
      </w:r>
    </w:p>
    <w:p>
      <w:pPr>
        <w:adjustRightInd w:val="0"/>
        <w:spacing w:line="560" w:lineRule="exact"/>
        <w:ind w:firstLine="640" w:firstLineChars="200"/>
        <w:rPr>
          <w:rFonts w:eastAsia="仿宋_GB2312"/>
          <w:sz w:val="32"/>
          <w:szCs w:val="32"/>
        </w:rPr>
      </w:pPr>
      <w:r>
        <w:rPr>
          <w:rFonts w:eastAsia="仿宋_GB2312"/>
          <w:sz w:val="32"/>
          <w:szCs w:val="32"/>
        </w:rPr>
        <w:t>5.3.2  响应级别调整及终止程序</w:t>
      </w:r>
    </w:p>
    <w:p>
      <w:pPr>
        <w:adjustRightInd w:val="0"/>
        <w:spacing w:line="560" w:lineRule="exact"/>
        <w:ind w:firstLine="640" w:firstLineChars="200"/>
        <w:rPr>
          <w:rFonts w:eastAsia="仿宋_GB2312"/>
          <w:sz w:val="32"/>
          <w:szCs w:val="32"/>
        </w:rPr>
      </w:pPr>
      <w:r>
        <w:rPr>
          <w:rFonts w:hint="eastAsia" w:eastAsia="仿宋_GB2312"/>
          <w:sz w:val="32"/>
          <w:szCs w:val="32"/>
        </w:rPr>
        <w:t>一般</w:t>
      </w:r>
      <w:r>
        <w:rPr>
          <w:rFonts w:eastAsia="仿宋_GB2312"/>
          <w:sz w:val="32"/>
          <w:szCs w:val="32"/>
        </w:rPr>
        <w:t>食品安全事故响应级别的调整由</w:t>
      </w:r>
      <w:r>
        <w:rPr>
          <w:rFonts w:hint="eastAsia" w:eastAsia="仿宋_GB2312"/>
          <w:sz w:val="32"/>
          <w:szCs w:val="32"/>
        </w:rPr>
        <w:t>区</w:t>
      </w:r>
      <w:r>
        <w:rPr>
          <w:rFonts w:eastAsia="仿宋_GB2312"/>
          <w:sz w:val="32"/>
          <w:szCs w:val="32"/>
        </w:rPr>
        <w:t>食安委决定。评估认为符合级别调整条件的，</w:t>
      </w:r>
      <w:r>
        <w:rPr>
          <w:rFonts w:hint="eastAsia" w:eastAsia="仿宋_GB2312"/>
          <w:sz w:val="32"/>
          <w:szCs w:val="32"/>
        </w:rPr>
        <w:t>区</w:t>
      </w:r>
      <w:r>
        <w:rPr>
          <w:rFonts w:eastAsia="仿宋_GB2312"/>
          <w:sz w:val="32"/>
          <w:szCs w:val="32"/>
        </w:rPr>
        <w:t>食安办提出调整应急响应级别建议，报</w:t>
      </w:r>
      <w:r>
        <w:rPr>
          <w:rFonts w:hint="eastAsia" w:eastAsia="仿宋_GB2312"/>
          <w:sz w:val="32"/>
          <w:szCs w:val="32"/>
        </w:rPr>
        <w:t>区</w:t>
      </w:r>
      <w:r>
        <w:rPr>
          <w:rFonts w:eastAsia="仿宋_GB2312"/>
          <w:sz w:val="32"/>
          <w:szCs w:val="32"/>
        </w:rPr>
        <w:t>食安委批准后实施。评估认为符合响应终止条件时，</w:t>
      </w:r>
      <w:r>
        <w:rPr>
          <w:rFonts w:hint="eastAsia" w:eastAsia="仿宋_GB2312"/>
          <w:sz w:val="32"/>
          <w:szCs w:val="32"/>
        </w:rPr>
        <w:t>区</w:t>
      </w:r>
      <w:r>
        <w:rPr>
          <w:rFonts w:eastAsia="仿宋_GB2312"/>
          <w:sz w:val="32"/>
          <w:szCs w:val="32"/>
        </w:rPr>
        <w:t>食安办提出终止响应的建议，报</w:t>
      </w:r>
      <w:r>
        <w:rPr>
          <w:rFonts w:hint="eastAsia" w:eastAsia="仿宋_GB2312"/>
          <w:sz w:val="32"/>
          <w:szCs w:val="32"/>
        </w:rPr>
        <w:t>区</w:t>
      </w:r>
      <w:r>
        <w:rPr>
          <w:rFonts w:eastAsia="仿宋_GB2312"/>
          <w:sz w:val="32"/>
          <w:szCs w:val="32"/>
        </w:rPr>
        <w:t>食安委批准后实施。</w:t>
      </w:r>
    </w:p>
    <w:p>
      <w:pPr>
        <w:adjustRightInd w:val="0"/>
        <w:spacing w:line="560" w:lineRule="exact"/>
        <w:ind w:firstLine="640" w:firstLineChars="200"/>
        <w:rPr>
          <w:rFonts w:eastAsia="仿宋_GB2312"/>
          <w:b/>
          <w:color w:val="000000"/>
          <w:sz w:val="32"/>
          <w:szCs w:val="32"/>
        </w:rPr>
      </w:pPr>
      <w:r>
        <w:rPr>
          <w:rFonts w:eastAsia="仿宋_GB2312"/>
          <w:b/>
          <w:color w:val="000000"/>
          <w:sz w:val="32"/>
          <w:szCs w:val="32"/>
        </w:rPr>
        <w:t>6  后期工作</w:t>
      </w:r>
    </w:p>
    <w:p>
      <w:pPr>
        <w:adjustRightInd w:val="0"/>
        <w:spacing w:line="560" w:lineRule="exact"/>
        <w:ind w:firstLine="640" w:firstLineChars="200"/>
        <w:rPr>
          <w:rFonts w:eastAsia="楷体_GB2312"/>
          <w:sz w:val="32"/>
          <w:szCs w:val="32"/>
        </w:rPr>
      </w:pPr>
      <w:r>
        <w:rPr>
          <w:rFonts w:eastAsia="楷体_GB2312"/>
          <w:sz w:val="32"/>
          <w:szCs w:val="32"/>
        </w:rPr>
        <w:t xml:space="preserve">6.1  </w:t>
      </w:r>
      <w:r>
        <w:rPr>
          <w:rFonts w:hint="eastAsia" w:ascii="楷体" w:hAnsi="楷体" w:eastAsia="楷体" w:cs="楷体"/>
          <w:sz w:val="32"/>
          <w:szCs w:val="32"/>
        </w:rPr>
        <w:t>善后处置</w:t>
      </w:r>
    </w:p>
    <w:p>
      <w:pPr>
        <w:adjustRightInd w:val="0"/>
        <w:spacing w:line="560" w:lineRule="exact"/>
        <w:ind w:firstLine="640" w:firstLineChars="200"/>
        <w:rPr>
          <w:rFonts w:eastAsia="仿宋_GB2312"/>
          <w:sz w:val="32"/>
          <w:szCs w:val="32"/>
        </w:rPr>
      </w:pPr>
      <w:r>
        <w:rPr>
          <w:rFonts w:eastAsia="仿宋_GB2312"/>
          <w:sz w:val="32"/>
          <w:szCs w:val="32"/>
        </w:rPr>
        <w:t>食品安全事故的善后处置包括人员安置、补偿，征用物资及运输费用补偿，应急及医疗机构垫付费用、事故受害者后续治疗费用、产品抽样及检验费用的及时拨付，污染物收集、清理与处理等。造成食品安全事故的责任单位和责任人应当按照有关规定对受害人给予赔偿，承担受害人后续治疗及保障等相关费用。</w:t>
      </w:r>
    </w:p>
    <w:p>
      <w:pPr>
        <w:adjustRightInd w:val="0"/>
        <w:spacing w:line="560" w:lineRule="exact"/>
        <w:ind w:firstLine="640" w:firstLineChars="200"/>
        <w:rPr>
          <w:rFonts w:eastAsia="仿宋_GB2312"/>
          <w:sz w:val="32"/>
          <w:szCs w:val="32"/>
        </w:rPr>
      </w:pPr>
      <w:r>
        <w:rPr>
          <w:rFonts w:eastAsia="仿宋_GB2312"/>
          <w:sz w:val="32"/>
          <w:szCs w:val="32"/>
        </w:rPr>
        <w:t>事发地</w:t>
      </w:r>
      <w:r>
        <w:rPr>
          <w:rFonts w:hint="eastAsia" w:eastAsia="仿宋_GB2312"/>
          <w:sz w:val="32"/>
          <w:szCs w:val="32"/>
        </w:rPr>
        <w:t>所在乡（街道）、功能板块</w:t>
      </w:r>
      <w:r>
        <w:rPr>
          <w:rFonts w:eastAsia="仿宋_GB2312"/>
          <w:sz w:val="32"/>
          <w:szCs w:val="32"/>
        </w:rPr>
        <w:t>及有关部门要积极稳妥、深入细致地做好善后处置工作，尽快妥善安置、慰问受害和受影响人员，消除事故影响，恢复正常秩序；完善相关政策，促进行业健康发展。</w:t>
      </w:r>
    </w:p>
    <w:p>
      <w:pPr>
        <w:adjustRightInd w:val="0"/>
        <w:spacing w:line="560" w:lineRule="exact"/>
        <w:ind w:firstLine="640" w:firstLineChars="200"/>
        <w:rPr>
          <w:rFonts w:eastAsia="仿宋_GB2312"/>
          <w:sz w:val="32"/>
          <w:szCs w:val="32"/>
        </w:rPr>
      </w:pPr>
      <w:r>
        <w:rPr>
          <w:rFonts w:eastAsia="仿宋_GB2312"/>
          <w:sz w:val="32"/>
          <w:szCs w:val="32"/>
        </w:rPr>
        <w:t>食品安全事故发生后，保险机构应当及时开展应急救援人员保险受理和受灾人员保险理赔工作。</w:t>
      </w:r>
    </w:p>
    <w:p>
      <w:pPr>
        <w:adjustRightInd w:val="0"/>
        <w:spacing w:line="560" w:lineRule="exact"/>
        <w:ind w:firstLine="640" w:firstLineChars="200"/>
        <w:rPr>
          <w:rFonts w:eastAsia="楷体_GB2312"/>
          <w:sz w:val="32"/>
          <w:szCs w:val="32"/>
        </w:rPr>
      </w:pPr>
      <w:r>
        <w:rPr>
          <w:rFonts w:eastAsia="楷体_GB2312"/>
          <w:sz w:val="32"/>
          <w:szCs w:val="32"/>
        </w:rPr>
        <w:t xml:space="preserve">6.2 </w:t>
      </w:r>
      <w:r>
        <w:rPr>
          <w:rFonts w:hint="eastAsia" w:ascii="楷体" w:hAnsi="楷体" w:eastAsia="楷体" w:cs="楷体"/>
          <w:sz w:val="32"/>
          <w:szCs w:val="32"/>
        </w:rPr>
        <w:t xml:space="preserve"> 奖励和责任追究</w:t>
      </w:r>
    </w:p>
    <w:p>
      <w:pPr>
        <w:adjustRightInd w:val="0"/>
        <w:spacing w:line="560" w:lineRule="exact"/>
        <w:ind w:firstLine="640" w:firstLineChars="200"/>
        <w:rPr>
          <w:rFonts w:eastAsia="仿宋_GB2312"/>
          <w:sz w:val="32"/>
          <w:szCs w:val="32"/>
        </w:rPr>
      </w:pPr>
      <w:r>
        <w:rPr>
          <w:rFonts w:eastAsia="仿宋_GB2312"/>
          <w:sz w:val="32"/>
          <w:szCs w:val="32"/>
        </w:rPr>
        <w:t>对在食品安全事故应对工作中有突出贡献的单位和个人，应依据有关规定给予表彰和奖励。对失职、渎职的人员，要按照有关规定追究责任；构成犯罪的，依法追究刑事责任。</w:t>
      </w:r>
    </w:p>
    <w:p>
      <w:pPr>
        <w:adjustRightInd w:val="0"/>
        <w:spacing w:line="560" w:lineRule="exact"/>
        <w:ind w:firstLine="640" w:firstLineChars="200"/>
        <w:rPr>
          <w:rFonts w:eastAsia="楷体_GB2312"/>
          <w:sz w:val="32"/>
          <w:szCs w:val="32"/>
        </w:rPr>
      </w:pPr>
      <w:r>
        <w:rPr>
          <w:rFonts w:eastAsia="楷体_GB2312"/>
          <w:sz w:val="32"/>
          <w:szCs w:val="32"/>
        </w:rPr>
        <w:t xml:space="preserve">6.3  </w:t>
      </w:r>
      <w:r>
        <w:rPr>
          <w:rFonts w:hint="eastAsia" w:ascii="楷体" w:hAnsi="楷体" w:eastAsia="楷体" w:cs="楷体"/>
          <w:sz w:val="32"/>
          <w:szCs w:val="32"/>
        </w:rPr>
        <w:t>总结评估</w:t>
      </w:r>
    </w:p>
    <w:p>
      <w:pPr>
        <w:adjustRightInd w:val="0"/>
        <w:spacing w:line="560" w:lineRule="exact"/>
        <w:ind w:firstLine="640" w:firstLineChars="200"/>
        <w:rPr>
          <w:rFonts w:eastAsia="仿宋_GB2312"/>
          <w:sz w:val="32"/>
          <w:szCs w:val="32"/>
        </w:rPr>
      </w:pPr>
      <w:r>
        <w:rPr>
          <w:rFonts w:eastAsia="仿宋_GB2312"/>
          <w:sz w:val="32"/>
          <w:szCs w:val="32"/>
        </w:rPr>
        <w:t>食品安全事故处置工作结束后，</w:t>
      </w:r>
      <w:r>
        <w:rPr>
          <w:rFonts w:hint="eastAsia" w:eastAsia="仿宋_GB2312"/>
          <w:sz w:val="32"/>
          <w:szCs w:val="32"/>
        </w:rPr>
        <w:t>区政府应</w:t>
      </w:r>
      <w:r>
        <w:rPr>
          <w:rFonts w:eastAsia="仿宋_GB2312"/>
          <w:sz w:val="32"/>
          <w:szCs w:val="32"/>
        </w:rPr>
        <w:t>及时查明事故发生的经过和原因，对食品安全事故应急处置工作进行评估，制定改进措施，并向上一级人民政府报告。</w:t>
      </w:r>
    </w:p>
    <w:p>
      <w:pPr>
        <w:adjustRightInd w:val="0"/>
        <w:spacing w:line="560" w:lineRule="exact"/>
        <w:ind w:firstLine="640" w:firstLineChars="200"/>
        <w:rPr>
          <w:rFonts w:eastAsia="仿宋_GB2312"/>
          <w:b/>
          <w:color w:val="000000"/>
          <w:sz w:val="32"/>
          <w:szCs w:val="32"/>
        </w:rPr>
      </w:pPr>
      <w:r>
        <w:rPr>
          <w:rFonts w:eastAsia="仿宋_GB2312"/>
          <w:b/>
          <w:color w:val="000000"/>
          <w:sz w:val="32"/>
          <w:szCs w:val="32"/>
        </w:rPr>
        <w:t>7  应急保障</w:t>
      </w:r>
    </w:p>
    <w:p>
      <w:pPr>
        <w:adjustRightInd w:val="0"/>
        <w:spacing w:line="560" w:lineRule="exact"/>
        <w:ind w:firstLine="640" w:firstLineChars="200"/>
        <w:rPr>
          <w:rFonts w:eastAsia="楷体_GB2312"/>
          <w:sz w:val="32"/>
          <w:szCs w:val="32"/>
        </w:rPr>
      </w:pPr>
      <w:r>
        <w:rPr>
          <w:rFonts w:eastAsia="楷体_GB2312"/>
          <w:sz w:val="32"/>
          <w:szCs w:val="32"/>
        </w:rPr>
        <w:t xml:space="preserve">7.1  </w:t>
      </w:r>
      <w:r>
        <w:rPr>
          <w:rFonts w:hint="eastAsia" w:ascii="楷体" w:hAnsi="楷体" w:eastAsia="楷体" w:cs="楷体"/>
          <w:sz w:val="32"/>
          <w:szCs w:val="32"/>
        </w:rPr>
        <w:t>队伍保障</w:t>
      </w:r>
    </w:p>
    <w:p>
      <w:pPr>
        <w:adjustRightInd w:val="0"/>
        <w:spacing w:line="560" w:lineRule="exact"/>
        <w:ind w:firstLine="640" w:firstLineChars="200"/>
        <w:rPr>
          <w:rFonts w:eastAsia="仿宋_GB2312"/>
          <w:sz w:val="32"/>
          <w:szCs w:val="32"/>
        </w:rPr>
      </w:pPr>
      <w:r>
        <w:rPr>
          <w:rFonts w:eastAsia="仿宋_GB2312"/>
          <w:sz w:val="32"/>
          <w:szCs w:val="32"/>
        </w:rPr>
        <w:t>强化应急处置队伍能力建设，组织开展必要的培训和应急演练，提高食品安全事故快速反应和应急处置能力。发挥应急专家队伍作用，为食品安全事故指挥决策、危害评估和调查处理等工作提供咨询建议。</w:t>
      </w:r>
    </w:p>
    <w:p>
      <w:pPr>
        <w:adjustRightInd w:val="0"/>
        <w:spacing w:line="560" w:lineRule="exact"/>
        <w:ind w:firstLine="640" w:firstLineChars="200"/>
        <w:rPr>
          <w:rFonts w:eastAsia="楷体_GB2312"/>
          <w:sz w:val="32"/>
          <w:szCs w:val="32"/>
        </w:rPr>
      </w:pPr>
      <w:r>
        <w:rPr>
          <w:rFonts w:eastAsia="楷体_GB2312"/>
          <w:sz w:val="32"/>
          <w:szCs w:val="32"/>
        </w:rPr>
        <w:t xml:space="preserve">7.2  </w:t>
      </w:r>
      <w:r>
        <w:rPr>
          <w:rFonts w:hint="eastAsia" w:ascii="楷体" w:hAnsi="楷体" w:eastAsia="楷体" w:cs="楷体"/>
          <w:sz w:val="32"/>
          <w:szCs w:val="32"/>
        </w:rPr>
        <w:t>信息保障</w:t>
      </w:r>
    </w:p>
    <w:p>
      <w:pPr>
        <w:adjustRightInd w:val="0"/>
        <w:spacing w:line="560" w:lineRule="exact"/>
        <w:ind w:firstLine="640" w:firstLineChars="200"/>
        <w:rPr>
          <w:rFonts w:eastAsia="仿宋_GB2312"/>
          <w:sz w:val="32"/>
          <w:szCs w:val="32"/>
        </w:rPr>
      </w:pPr>
      <w:r>
        <w:rPr>
          <w:rFonts w:hint="eastAsia" w:eastAsia="仿宋_GB2312"/>
          <w:sz w:val="32"/>
          <w:szCs w:val="32"/>
        </w:rPr>
        <w:t>区</w:t>
      </w:r>
      <w:r>
        <w:rPr>
          <w:rFonts w:eastAsia="仿宋_GB2312"/>
          <w:sz w:val="32"/>
          <w:szCs w:val="32"/>
        </w:rPr>
        <w:t>内各级食品安全监管部门应建立统一的食品安全信息网络体系，充分利用大数据分析技术，对食品安全抽检监测、投诉举报、舆情监测、事故报告与通报等方面的食品安全信息进行采集、监测和分析。设立信息报告和举报电话，充分发挥食品安全协管员、信息员和志愿者的作用，畅通信息报告渠道，确保食品安全事故信息的及时报告与相关信息的及时收集。</w:t>
      </w:r>
    </w:p>
    <w:p>
      <w:pPr>
        <w:adjustRightInd w:val="0"/>
        <w:spacing w:line="560" w:lineRule="exact"/>
        <w:ind w:firstLine="640" w:firstLineChars="200"/>
        <w:rPr>
          <w:rFonts w:eastAsia="楷体_GB2312"/>
          <w:sz w:val="32"/>
          <w:szCs w:val="32"/>
        </w:rPr>
      </w:pPr>
      <w:r>
        <w:rPr>
          <w:rFonts w:eastAsia="楷体_GB2312"/>
          <w:sz w:val="32"/>
          <w:szCs w:val="32"/>
        </w:rPr>
        <w:t xml:space="preserve">7.3  </w:t>
      </w:r>
      <w:r>
        <w:rPr>
          <w:rFonts w:hint="eastAsia" w:ascii="楷体" w:hAnsi="楷体" w:eastAsia="楷体" w:cs="楷体"/>
          <w:sz w:val="32"/>
          <w:szCs w:val="32"/>
        </w:rPr>
        <w:t>医疗保障</w:t>
      </w:r>
    </w:p>
    <w:p>
      <w:pPr>
        <w:adjustRightInd w:val="0"/>
        <w:spacing w:line="560" w:lineRule="exact"/>
        <w:ind w:firstLine="640" w:firstLineChars="200"/>
        <w:rPr>
          <w:rFonts w:eastAsia="仿宋_GB2312"/>
          <w:sz w:val="32"/>
          <w:szCs w:val="32"/>
        </w:rPr>
      </w:pPr>
      <w:r>
        <w:rPr>
          <w:rFonts w:eastAsia="仿宋_GB2312"/>
          <w:sz w:val="32"/>
          <w:szCs w:val="32"/>
        </w:rPr>
        <w:t>在食品安全事故造成人员伤害时，</w:t>
      </w:r>
      <w:r>
        <w:rPr>
          <w:rFonts w:hint="eastAsia" w:eastAsia="仿宋_GB2312"/>
          <w:sz w:val="32"/>
          <w:szCs w:val="32"/>
        </w:rPr>
        <w:t>区卫健部门</w:t>
      </w:r>
      <w:r>
        <w:rPr>
          <w:rFonts w:eastAsia="仿宋_GB2312"/>
          <w:sz w:val="32"/>
          <w:szCs w:val="32"/>
        </w:rPr>
        <w:t>应及时组织做好医疗救治工作。</w:t>
      </w:r>
    </w:p>
    <w:p>
      <w:pPr>
        <w:adjustRightInd w:val="0"/>
        <w:spacing w:line="560" w:lineRule="exact"/>
        <w:ind w:firstLine="640" w:firstLineChars="200"/>
        <w:rPr>
          <w:rFonts w:eastAsia="楷体_GB2312"/>
          <w:sz w:val="32"/>
          <w:szCs w:val="32"/>
        </w:rPr>
      </w:pPr>
      <w:r>
        <w:rPr>
          <w:rFonts w:eastAsia="楷体_GB2312"/>
          <w:sz w:val="32"/>
          <w:szCs w:val="32"/>
        </w:rPr>
        <w:t xml:space="preserve">7.4  </w:t>
      </w:r>
      <w:r>
        <w:rPr>
          <w:rFonts w:hint="eastAsia" w:ascii="楷体" w:hAnsi="楷体" w:eastAsia="楷体" w:cs="楷体"/>
          <w:sz w:val="32"/>
          <w:szCs w:val="32"/>
        </w:rPr>
        <w:t>物资与资金保障</w:t>
      </w:r>
    </w:p>
    <w:p>
      <w:pPr>
        <w:adjustRightInd w:val="0"/>
        <w:spacing w:line="560" w:lineRule="exact"/>
        <w:ind w:firstLine="640" w:firstLineChars="200"/>
        <w:rPr>
          <w:rFonts w:eastAsia="仿宋_GB2312"/>
          <w:sz w:val="32"/>
          <w:szCs w:val="32"/>
        </w:rPr>
      </w:pPr>
      <w:r>
        <w:rPr>
          <w:rFonts w:eastAsia="仿宋_GB2312"/>
          <w:sz w:val="32"/>
          <w:szCs w:val="32"/>
        </w:rPr>
        <w:t>食品安全事故应急处置所需设施、设备和物资的储备与调用应得到有效保障；使用储备物资后应及时补充；</w:t>
      </w:r>
      <w:r>
        <w:rPr>
          <w:rFonts w:hint="eastAsia" w:eastAsia="仿宋_GB2312"/>
          <w:sz w:val="32"/>
          <w:szCs w:val="32"/>
        </w:rPr>
        <w:t>区</w:t>
      </w:r>
      <w:r>
        <w:rPr>
          <w:rFonts w:eastAsia="仿宋_GB2312"/>
          <w:sz w:val="32"/>
          <w:szCs w:val="32"/>
        </w:rPr>
        <w:t>政府对食品安全事故应急处置工作提供资金保障。</w:t>
      </w:r>
    </w:p>
    <w:p>
      <w:pPr>
        <w:adjustRightInd w:val="0"/>
        <w:spacing w:line="560" w:lineRule="exact"/>
        <w:ind w:firstLine="640" w:firstLineChars="200"/>
        <w:rPr>
          <w:rFonts w:eastAsia="楷体_GB2312"/>
          <w:sz w:val="32"/>
          <w:szCs w:val="32"/>
        </w:rPr>
      </w:pPr>
      <w:r>
        <w:rPr>
          <w:rFonts w:eastAsia="楷体_GB2312"/>
          <w:sz w:val="32"/>
          <w:szCs w:val="32"/>
        </w:rPr>
        <w:t xml:space="preserve">7.5  </w:t>
      </w:r>
      <w:r>
        <w:rPr>
          <w:rFonts w:hint="eastAsia" w:ascii="楷体" w:hAnsi="楷体" w:eastAsia="楷体" w:cs="楷体"/>
          <w:sz w:val="32"/>
          <w:szCs w:val="32"/>
        </w:rPr>
        <w:t>社会动员保障</w:t>
      </w:r>
    </w:p>
    <w:p>
      <w:pPr>
        <w:adjustRightInd w:val="0"/>
        <w:spacing w:line="560" w:lineRule="exact"/>
        <w:ind w:firstLine="640" w:firstLineChars="200"/>
        <w:rPr>
          <w:rFonts w:eastAsia="仿宋_GB2312"/>
          <w:sz w:val="32"/>
          <w:szCs w:val="32"/>
        </w:rPr>
      </w:pPr>
      <w:r>
        <w:rPr>
          <w:rFonts w:eastAsia="仿宋_GB2312"/>
          <w:sz w:val="32"/>
          <w:szCs w:val="32"/>
        </w:rPr>
        <w:t>根据食品安全事故应急处置的需要，动员和组织社会力量协助参与处置，必要时依法调用企业及个人物资。在动用社会力量或企业、个人物资进行应急处置后，应当及时归还或给予补偿。</w:t>
      </w:r>
    </w:p>
    <w:p>
      <w:pPr>
        <w:adjustRightInd w:val="0"/>
        <w:spacing w:line="560" w:lineRule="exact"/>
        <w:ind w:firstLine="640" w:firstLineChars="200"/>
        <w:rPr>
          <w:rFonts w:eastAsia="楷体_GB2312"/>
          <w:sz w:val="32"/>
          <w:szCs w:val="32"/>
        </w:rPr>
      </w:pPr>
      <w:r>
        <w:rPr>
          <w:rFonts w:eastAsia="楷体_GB2312"/>
          <w:sz w:val="32"/>
          <w:szCs w:val="32"/>
        </w:rPr>
        <w:t xml:space="preserve">7.6  </w:t>
      </w:r>
      <w:r>
        <w:rPr>
          <w:rFonts w:hint="eastAsia" w:ascii="楷体" w:hAnsi="楷体" w:eastAsia="楷体" w:cs="楷体"/>
          <w:sz w:val="32"/>
          <w:szCs w:val="32"/>
        </w:rPr>
        <w:t>技术支持</w:t>
      </w:r>
    </w:p>
    <w:p>
      <w:pPr>
        <w:adjustRightInd w:val="0"/>
        <w:spacing w:line="560" w:lineRule="exact"/>
        <w:ind w:firstLine="640" w:firstLineChars="200"/>
        <w:rPr>
          <w:rFonts w:eastAsia="仿宋_GB2312"/>
          <w:sz w:val="32"/>
          <w:szCs w:val="32"/>
        </w:rPr>
      </w:pPr>
      <w:r>
        <w:rPr>
          <w:rFonts w:eastAsia="仿宋_GB2312"/>
          <w:sz w:val="32"/>
          <w:szCs w:val="32"/>
        </w:rPr>
        <w:t>各有关部门应加强食品安全事故监测、预警、预防、应急检验检测和应急处置等方面的技术推广应用，为食品安全事故应急处置提供技术保障。</w:t>
      </w:r>
    </w:p>
    <w:p>
      <w:pPr>
        <w:adjustRightInd w:val="0"/>
        <w:spacing w:line="560" w:lineRule="exact"/>
        <w:ind w:firstLine="640" w:firstLineChars="200"/>
        <w:rPr>
          <w:rFonts w:eastAsia="楷体_GB2312"/>
          <w:sz w:val="32"/>
          <w:szCs w:val="32"/>
        </w:rPr>
      </w:pPr>
      <w:r>
        <w:rPr>
          <w:rFonts w:eastAsia="楷体_GB2312"/>
          <w:sz w:val="32"/>
          <w:szCs w:val="32"/>
        </w:rPr>
        <w:t xml:space="preserve">7.7  </w:t>
      </w:r>
      <w:r>
        <w:rPr>
          <w:rFonts w:hint="eastAsia" w:ascii="楷体" w:hAnsi="楷体" w:eastAsia="楷体" w:cs="楷体"/>
          <w:sz w:val="32"/>
          <w:szCs w:val="32"/>
        </w:rPr>
        <w:t>宣教培训</w:t>
      </w:r>
    </w:p>
    <w:p>
      <w:pPr>
        <w:adjustRightInd w:val="0"/>
        <w:spacing w:line="560" w:lineRule="exact"/>
        <w:ind w:firstLine="640" w:firstLineChars="200"/>
        <w:rPr>
          <w:rFonts w:eastAsia="仿宋_GB2312"/>
          <w:sz w:val="32"/>
          <w:szCs w:val="32"/>
        </w:rPr>
      </w:pPr>
      <w:r>
        <w:rPr>
          <w:rFonts w:eastAsia="仿宋_GB2312"/>
          <w:sz w:val="32"/>
          <w:szCs w:val="32"/>
        </w:rPr>
        <w:t>对食品安全监管人员、食品生产经营者、种植养殖从业者、广大消费者等开展食品安全应急知识宣传、教育与培训，促进监管人员熟练掌握应急处置技能，提高消费者的风险防范意识和自救互救能力。</w:t>
      </w:r>
    </w:p>
    <w:p>
      <w:pPr>
        <w:adjustRightInd w:val="0"/>
        <w:spacing w:line="560" w:lineRule="exact"/>
        <w:ind w:firstLine="640" w:firstLineChars="200"/>
        <w:rPr>
          <w:rFonts w:eastAsia="仿宋_GB2312"/>
          <w:b/>
          <w:color w:val="000000"/>
          <w:sz w:val="32"/>
          <w:szCs w:val="32"/>
        </w:rPr>
      </w:pPr>
      <w:r>
        <w:rPr>
          <w:rFonts w:eastAsia="仿宋_GB2312"/>
          <w:b/>
          <w:color w:val="000000"/>
          <w:sz w:val="32"/>
          <w:szCs w:val="32"/>
        </w:rPr>
        <w:t>8  附则</w:t>
      </w:r>
    </w:p>
    <w:p>
      <w:pPr>
        <w:adjustRightInd w:val="0"/>
        <w:spacing w:line="560" w:lineRule="exact"/>
        <w:ind w:firstLine="640" w:firstLineChars="200"/>
        <w:rPr>
          <w:rFonts w:eastAsia="楷体_GB2312"/>
          <w:sz w:val="32"/>
          <w:szCs w:val="32"/>
        </w:rPr>
      </w:pPr>
      <w:r>
        <w:rPr>
          <w:rFonts w:eastAsia="楷体_GB2312"/>
          <w:sz w:val="32"/>
          <w:szCs w:val="32"/>
        </w:rPr>
        <w:t xml:space="preserve">8.1  </w:t>
      </w:r>
      <w:r>
        <w:rPr>
          <w:rFonts w:hint="eastAsia" w:ascii="楷体" w:hAnsi="楷体" w:eastAsia="楷体" w:cs="楷体"/>
          <w:sz w:val="32"/>
          <w:szCs w:val="32"/>
        </w:rPr>
        <w:t>预案管理</w:t>
      </w:r>
    </w:p>
    <w:p>
      <w:pPr>
        <w:adjustRightInd w:val="0"/>
        <w:spacing w:line="560" w:lineRule="exact"/>
        <w:ind w:firstLine="640" w:firstLineChars="200"/>
        <w:rPr>
          <w:rFonts w:eastAsia="仿宋_GB2312"/>
          <w:sz w:val="32"/>
          <w:szCs w:val="32"/>
        </w:rPr>
      </w:pPr>
      <w:r>
        <w:rPr>
          <w:rFonts w:eastAsia="仿宋_GB2312"/>
          <w:sz w:val="32"/>
          <w:szCs w:val="32"/>
        </w:rPr>
        <w:t>预案实施后，</w:t>
      </w:r>
      <w:r>
        <w:rPr>
          <w:rFonts w:hint="eastAsia" w:eastAsia="仿宋_GB2312"/>
          <w:sz w:val="32"/>
          <w:szCs w:val="32"/>
        </w:rPr>
        <w:t>区</w:t>
      </w:r>
      <w:r>
        <w:rPr>
          <w:rFonts w:eastAsia="仿宋_GB2312"/>
          <w:sz w:val="32"/>
          <w:szCs w:val="32"/>
        </w:rPr>
        <w:t>食安办应组织有关部门开展预案宣传、培训和演练，并根据实际情况，适时组织评估和修订。</w:t>
      </w:r>
      <w:r>
        <w:rPr>
          <w:rFonts w:hint="eastAsia" w:eastAsia="仿宋_GB2312"/>
          <w:sz w:val="32"/>
          <w:szCs w:val="32"/>
        </w:rPr>
        <w:t>各乡（街道）、功能板块</w:t>
      </w:r>
      <w:r>
        <w:rPr>
          <w:rFonts w:eastAsia="仿宋_GB2312"/>
          <w:sz w:val="32"/>
          <w:szCs w:val="32"/>
        </w:rPr>
        <w:t>要参照本预案，结合当地实际制定或修订食品安全事故应急预案。</w:t>
      </w:r>
    </w:p>
    <w:p>
      <w:pPr>
        <w:adjustRightInd w:val="0"/>
        <w:spacing w:line="560" w:lineRule="exact"/>
        <w:ind w:firstLine="640" w:firstLineChars="200"/>
        <w:rPr>
          <w:rFonts w:eastAsia="楷体_GB2312"/>
          <w:sz w:val="32"/>
          <w:szCs w:val="32"/>
        </w:rPr>
      </w:pPr>
      <w:r>
        <w:rPr>
          <w:rFonts w:eastAsia="楷体_GB2312"/>
          <w:sz w:val="32"/>
          <w:szCs w:val="32"/>
        </w:rPr>
        <w:t xml:space="preserve">8.2  </w:t>
      </w:r>
      <w:r>
        <w:rPr>
          <w:rFonts w:hint="eastAsia" w:ascii="楷体" w:hAnsi="楷体" w:eastAsia="楷体" w:cs="楷体"/>
          <w:sz w:val="32"/>
          <w:szCs w:val="32"/>
        </w:rPr>
        <w:t>预案解释</w:t>
      </w:r>
    </w:p>
    <w:p>
      <w:pPr>
        <w:adjustRightInd w:val="0"/>
        <w:spacing w:line="560" w:lineRule="exact"/>
        <w:ind w:firstLine="640" w:firstLineChars="200"/>
        <w:rPr>
          <w:rFonts w:eastAsia="仿宋_GB2312"/>
          <w:sz w:val="32"/>
          <w:szCs w:val="32"/>
        </w:rPr>
      </w:pPr>
      <w:r>
        <w:rPr>
          <w:rFonts w:eastAsia="仿宋_GB2312"/>
          <w:sz w:val="32"/>
          <w:szCs w:val="32"/>
        </w:rPr>
        <w:t>本预案由</w:t>
      </w:r>
      <w:r>
        <w:rPr>
          <w:rFonts w:hint="eastAsia" w:eastAsia="仿宋_GB2312"/>
          <w:sz w:val="32"/>
          <w:szCs w:val="32"/>
        </w:rPr>
        <w:t>区</w:t>
      </w:r>
      <w:r>
        <w:rPr>
          <w:rFonts w:eastAsia="仿宋_GB2312"/>
          <w:sz w:val="32"/>
          <w:szCs w:val="32"/>
        </w:rPr>
        <w:t>市场监督管理局负责解释。</w:t>
      </w:r>
    </w:p>
    <w:p>
      <w:pPr>
        <w:adjustRightInd w:val="0"/>
        <w:spacing w:line="560" w:lineRule="exact"/>
        <w:ind w:firstLine="640" w:firstLineChars="200"/>
        <w:rPr>
          <w:rFonts w:eastAsia="楷体_GB2312"/>
          <w:sz w:val="32"/>
          <w:szCs w:val="32"/>
        </w:rPr>
      </w:pPr>
      <w:r>
        <w:rPr>
          <w:rFonts w:eastAsia="楷体_GB2312"/>
          <w:sz w:val="32"/>
          <w:szCs w:val="32"/>
        </w:rPr>
        <w:t xml:space="preserve">8.3  </w:t>
      </w:r>
      <w:r>
        <w:rPr>
          <w:rFonts w:hint="eastAsia" w:ascii="楷体" w:hAnsi="楷体" w:eastAsia="楷体" w:cs="楷体"/>
          <w:sz w:val="32"/>
          <w:szCs w:val="32"/>
        </w:rPr>
        <w:t>预案实施</w:t>
      </w:r>
    </w:p>
    <w:p>
      <w:pPr>
        <w:adjustRightInd w:val="0"/>
        <w:spacing w:line="560" w:lineRule="exact"/>
        <w:ind w:firstLine="640" w:firstLineChars="200"/>
        <w:rPr>
          <w:rFonts w:eastAsia="仿宋_GB2312"/>
          <w:sz w:val="32"/>
          <w:szCs w:val="32"/>
        </w:rPr>
      </w:pPr>
      <w:r>
        <w:rPr>
          <w:rFonts w:eastAsia="仿宋_GB2312"/>
          <w:sz w:val="32"/>
          <w:szCs w:val="32"/>
        </w:rPr>
        <w:t>本预案自发布之日起施行。</w:t>
      </w:r>
    </w:p>
    <w:p>
      <w:pPr>
        <w:spacing w:line="560" w:lineRule="exact"/>
        <w:rPr>
          <w:rFonts w:eastAsia="方正黑体_GBK"/>
          <w:sz w:val="32"/>
          <w:szCs w:val="32"/>
          <w:lang w:val="zh-CN"/>
        </w:rPr>
      </w:pPr>
      <w:bookmarkStart w:id="0" w:name="_Toc440025709"/>
      <w:bookmarkStart w:id="1" w:name="_Toc443639209"/>
    </w:p>
    <w:p>
      <w:pPr>
        <w:widowControl/>
        <w:adjustRightInd w:val="0"/>
        <w:snapToGrid w:val="0"/>
        <w:spacing w:line="560" w:lineRule="exact"/>
        <w:ind w:firstLine="640" w:firstLineChars="200"/>
        <w:rPr>
          <w:rFonts w:eastAsia="仿宋_GB2312"/>
          <w:sz w:val="32"/>
          <w:szCs w:val="32"/>
          <w:lang w:val="zh-CN"/>
        </w:rPr>
      </w:pPr>
      <w:r>
        <w:rPr>
          <w:rFonts w:eastAsia="仿宋_GB2312"/>
          <w:sz w:val="32"/>
          <w:szCs w:val="32"/>
        </w:rPr>
        <w:t>附件：1．</w:t>
      </w:r>
      <w:r>
        <w:rPr>
          <w:rFonts w:eastAsia="仿宋_GB2312"/>
          <w:sz w:val="32"/>
          <w:szCs w:val="32"/>
          <w:lang w:val="zh-CN"/>
        </w:rPr>
        <w:t>食品安全事故分级标准</w:t>
      </w:r>
    </w:p>
    <w:p>
      <w:pPr>
        <w:widowControl/>
        <w:adjustRightInd w:val="0"/>
        <w:snapToGrid w:val="0"/>
        <w:spacing w:line="560" w:lineRule="exact"/>
        <w:ind w:firstLine="1600" w:firstLineChars="500"/>
        <w:rPr>
          <w:rFonts w:eastAsia="方正黑体_GBK"/>
          <w:sz w:val="32"/>
          <w:szCs w:val="32"/>
          <w:lang w:val="zh-CN"/>
        </w:rPr>
      </w:pPr>
      <w:r>
        <w:rPr>
          <w:rFonts w:eastAsia="仿宋_GB2312"/>
          <w:sz w:val="32"/>
          <w:szCs w:val="32"/>
        </w:rPr>
        <w:t>2．</w:t>
      </w:r>
      <w:r>
        <w:rPr>
          <w:rFonts w:eastAsia="仿宋_GB2312"/>
          <w:sz w:val="32"/>
          <w:szCs w:val="32"/>
          <w:lang w:val="zh-CN"/>
        </w:rPr>
        <w:t>食品安全事故应急响应流程图</w:t>
      </w:r>
    </w:p>
    <w:p>
      <w:pPr>
        <w:spacing w:line="560" w:lineRule="exact"/>
        <w:rPr>
          <w:rFonts w:eastAsia="黑体"/>
          <w:sz w:val="32"/>
          <w:szCs w:val="32"/>
        </w:rPr>
      </w:pPr>
      <w:r>
        <w:rPr>
          <w:rFonts w:eastAsia="方正黑体_GBK"/>
          <w:sz w:val="32"/>
          <w:szCs w:val="32"/>
          <w:lang w:val="zh-CN"/>
        </w:rPr>
        <w:br w:type="page"/>
      </w:r>
      <w:r>
        <w:rPr>
          <w:rFonts w:eastAsia="黑体"/>
          <w:sz w:val="32"/>
          <w:szCs w:val="32"/>
          <w:lang w:val="zh-CN"/>
        </w:rPr>
        <w:t>附件</w:t>
      </w:r>
      <w:r>
        <w:rPr>
          <w:rFonts w:eastAsia="黑体"/>
          <w:sz w:val="32"/>
          <w:szCs w:val="32"/>
        </w:rPr>
        <w:t>1</w:t>
      </w:r>
      <w:bookmarkEnd w:id="0"/>
      <w:bookmarkEnd w:id="1"/>
    </w:p>
    <w:p>
      <w:pPr>
        <w:widowControl/>
        <w:adjustRightInd w:val="0"/>
        <w:snapToGrid w:val="0"/>
        <w:spacing w:afterLines="100" w:line="560" w:lineRule="exact"/>
        <w:jc w:val="center"/>
        <w:rPr>
          <w:rFonts w:eastAsia="方正小标宋简体"/>
          <w:sz w:val="44"/>
          <w:szCs w:val="44"/>
          <w:lang w:val="zh-CN"/>
        </w:rPr>
      </w:pPr>
      <w:r>
        <w:rPr>
          <w:rFonts w:eastAsia="方正小标宋简体"/>
          <w:sz w:val="44"/>
          <w:szCs w:val="44"/>
          <w:lang w:val="zh-CN"/>
        </w:rPr>
        <w:t>食品安全事故分级标准</w:t>
      </w:r>
    </w:p>
    <w:tbl>
      <w:tblPr>
        <w:tblStyle w:val="4"/>
        <w:tblW w:w="0" w:type="auto"/>
        <w:jc w:val="center"/>
        <w:tblLayout w:type="fixed"/>
        <w:tblCellMar>
          <w:top w:w="0" w:type="dxa"/>
          <w:left w:w="108" w:type="dxa"/>
          <w:bottom w:w="0" w:type="dxa"/>
          <w:right w:w="108" w:type="dxa"/>
        </w:tblCellMar>
      </w:tblPr>
      <w:tblGrid>
        <w:gridCol w:w="1852"/>
        <w:gridCol w:w="6798"/>
      </w:tblGrid>
      <w:tr>
        <w:tblPrEx>
          <w:tblCellMar>
            <w:top w:w="0" w:type="dxa"/>
            <w:left w:w="108" w:type="dxa"/>
            <w:bottom w:w="0" w:type="dxa"/>
            <w:right w:w="108" w:type="dxa"/>
          </w:tblCellMar>
        </w:tblPrEx>
        <w:trPr>
          <w:trHeight w:val="521" w:hRule="atLeast"/>
          <w:jc w:val="center"/>
        </w:trPr>
        <w:tc>
          <w:tcPr>
            <w:tcW w:w="1852" w:type="dxa"/>
            <w:tcBorders>
              <w:top w:val="single" w:color="auto" w:sz="4" w:space="0"/>
              <w:left w:val="single" w:color="auto" w:sz="4" w:space="0"/>
              <w:bottom w:val="single" w:color="auto" w:sz="4" w:space="0"/>
              <w:right w:val="single" w:color="auto" w:sz="4" w:space="0"/>
            </w:tcBorders>
            <w:shd w:val="clear" w:color="000000" w:fill="FFFFFF"/>
            <w:vAlign w:val="center"/>
          </w:tcPr>
          <w:p>
            <w:pPr>
              <w:spacing w:line="560" w:lineRule="exact"/>
              <w:jc w:val="center"/>
              <w:rPr>
                <w:rFonts w:eastAsia="黑体"/>
                <w:sz w:val="28"/>
                <w:szCs w:val="28"/>
                <w:lang w:val="zh-CN"/>
              </w:rPr>
            </w:pPr>
            <w:r>
              <w:rPr>
                <w:rFonts w:hAnsi="黑体" w:eastAsia="黑体"/>
                <w:sz w:val="28"/>
                <w:szCs w:val="28"/>
                <w:lang w:val="zh-CN"/>
              </w:rPr>
              <w:t>事故分级</w:t>
            </w:r>
          </w:p>
        </w:tc>
        <w:tc>
          <w:tcPr>
            <w:tcW w:w="6798" w:type="dxa"/>
            <w:tcBorders>
              <w:top w:val="single" w:color="auto" w:sz="4" w:space="0"/>
              <w:left w:val="single" w:color="auto" w:sz="4" w:space="0"/>
              <w:bottom w:val="single" w:color="auto" w:sz="4" w:space="0"/>
              <w:right w:val="single" w:color="auto" w:sz="4" w:space="0"/>
            </w:tcBorders>
            <w:shd w:val="clear" w:color="000000" w:fill="FFFFFF"/>
            <w:vAlign w:val="center"/>
          </w:tcPr>
          <w:p>
            <w:pPr>
              <w:spacing w:line="560" w:lineRule="exact"/>
              <w:jc w:val="center"/>
              <w:rPr>
                <w:rFonts w:eastAsia="黑体"/>
                <w:sz w:val="28"/>
                <w:szCs w:val="28"/>
                <w:lang w:val="zh-CN"/>
              </w:rPr>
            </w:pPr>
            <w:r>
              <w:rPr>
                <w:rFonts w:hAnsi="黑体" w:eastAsia="黑体"/>
                <w:sz w:val="28"/>
                <w:szCs w:val="28"/>
                <w:lang w:val="zh-CN"/>
              </w:rPr>
              <w:t>评估指标</w:t>
            </w:r>
          </w:p>
        </w:tc>
      </w:tr>
      <w:tr>
        <w:tblPrEx>
          <w:tblCellMar>
            <w:top w:w="0" w:type="dxa"/>
            <w:left w:w="108" w:type="dxa"/>
            <w:bottom w:w="0" w:type="dxa"/>
            <w:right w:w="108" w:type="dxa"/>
          </w:tblCellMar>
        </w:tblPrEx>
        <w:trPr>
          <w:trHeight w:val="1930" w:hRule="atLeast"/>
          <w:jc w:val="center"/>
        </w:trPr>
        <w:tc>
          <w:tcPr>
            <w:tcW w:w="1852"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spacing w:line="560" w:lineRule="exact"/>
              <w:jc w:val="center"/>
              <w:rPr>
                <w:rFonts w:eastAsia="仿宋_GB2312"/>
                <w:sz w:val="28"/>
                <w:szCs w:val="28"/>
                <w:lang w:val="zh-CN"/>
              </w:rPr>
            </w:pPr>
            <w:r>
              <w:rPr>
                <w:rFonts w:eastAsia="仿宋_GB2312"/>
                <w:sz w:val="28"/>
                <w:szCs w:val="28"/>
                <w:lang w:val="zh-CN"/>
              </w:rPr>
              <w:t>特别重大</w:t>
            </w:r>
          </w:p>
        </w:tc>
        <w:tc>
          <w:tcPr>
            <w:tcW w:w="6798"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spacing w:line="360" w:lineRule="exact"/>
              <w:rPr>
                <w:rFonts w:eastAsia="仿宋_GB2312"/>
                <w:sz w:val="28"/>
                <w:szCs w:val="28"/>
                <w:lang w:val="zh-CN"/>
              </w:rPr>
            </w:pPr>
            <w:r>
              <w:rPr>
                <w:rFonts w:eastAsia="仿宋_GB2312"/>
                <w:sz w:val="28"/>
                <w:szCs w:val="28"/>
                <w:lang w:val="zh-CN"/>
              </w:rPr>
              <w:t>（1）事故影响范围涉及2个以上省份或国（境）外（含港澳台地区），造成特别严重健康损害后果的；或经评估认为事故危害特别严重的；</w:t>
            </w:r>
          </w:p>
          <w:p>
            <w:pPr>
              <w:adjustRightInd w:val="0"/>
              <w:snapToGrid w:val="0"/>
              <w:spacing w:line="360" w:lineRule="exact"/>
              <w:rPr>
                <w:rFonts w:eastAsia="仿宋_GB2312"/>
                <w:sz w:val="28"/>
                <w:szCs w:val="28"/>
                <w:lang w:val="zh-CN"/>
              </w:rPr>
            </w:pPr>
            <w:r>
              <w:rPr>
                <w:rFonts w:eastAsia="仿宋_GB2312"/>
                <w:sz w:val="28"/>
                <w:szCs w:val="28"/>
                <w:lang w:val="zh-CN"/>
              </w:rPr>
              <w:t>（2）一起食品安全事故出现</w:t>
            </w:r>
            <w:r>
              <w:rPr>
                <w:rFonts w:eastAsia="仿宋_GB2312"/>
                <w:sz w:val="28"/>
                <w:szCs w:val="28"/>
              </w:rPr>
              <w:t>30</w:t>
            </w:r>
            <w:r>
              <w:rPr>
                <w:rFonts w:eastAsia="仿宋_GB2312"/>
                <w:sz w:val="28"/>
                <w:szCs w:val="28"/>
                <w:lang w:val="zh-CN"/>
              </w:rPr>
              <w:t>人以上死亡的；</w:t>
            </w:r>
          </w:p>
          <w:p>
            <w:pPr>
              <w:adjustRightInd w:val="0"/>
              <w:snapToGrid w:val="0"/>
              <w:spacing w:line="360" w:lineRule="exact"/>
              <w:rPr>
                <w:rFonts w:eastAsia="仿宋_GB2312"/>
                <w:sz w:val="28"/>
                <w:szCs w:val="28"/>
                <w:lang w:val="zh-CN"/>
              </w:rPr>
            </w:pPr>
            <w:r>
              <w:rPr>
                <w:rFonts w:eastAsia="仿宋_GB2312"/>
                <w:sz w:val="28"/>
                <w:szCs w:val="28"/>
                <w:lang w:val="zh-CN"/>
              </w:rPr>
              <w:t>（3）国务院认定的其他特别重大级别食品安全事故。</w:t>
            </w:r>
          </w:p>
        </w:tc>
      </w:tr>
      <w:tr>
        <w:tblPrEx>
          <w:tblCellMar>
            <w:top w:w="0" w:type="dxa"/>
            <w:left w:w="108" w:type="dxa"/>
            <w:bottom w:w="0" w:type="dxa"/>
            <w:right w:w="108" w:type="dxa"/>
          </w:tblCellMar>
        </w:tblPrEx>
        <w:trPr>
          <w:trHeight w:val="3480" w:hRule="atLeast"/>
          <w:jc w:val="center"/>
        </w:trPr>
        <w:tc>
          <w:tcPr>
            <w:tcW w:w="1852"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spacing w:line="560" w:lineRule="exact"/>
              <w:jc w:val="center"/>
              <w:rPr>
                <w:rFonts w:eastAsia="仿宋_GB2312"/>
                <w:sz w:val="28"/>
                <w:szCs w:val="28"/>
                <w:lang w:val="zh-CN"/>
              </w:rPr>
            </w:pPr>
            <w:r>
              <w:rPr>
                <w:rFonts w:eastAsia="仿宋_GB2312"/>
                <w:sz w:val="28"/>
                <w:szCs w:val="28"/>
                <w:lang w:val="zh-CN"/>
              </w:rPr>
              <w:t>重大</w:t>
            </w:r>
          </w:p>
        </w:tc>
        <w:tc>
          <w:tcPr>
            <w:tcW w:w="6798" w:type="dxa"/>
            <w:tcBorders>
              <w:top w:val="single" w:color="auto" w:sz="4" w:space="0"/>
              <w:left w:val="single" w:color="auto" w:sz="4" w:space="0"/>
              <w:bottom w:val="single" w:color="auto" w:sz="4" w:space="0"/>
              <w:right w:val="single" w:color="auto" w:sz="4" w:space="0"/>
            </w:tcBorders>
            <w:shd w:val="clear" w:color="000000" w:fill="FFFFFF"/>
            <w:vAlign w:val="center"/>
          </w:tcPr>
          <w:p>
            <w:pPr>
              <w:numPr>
                <w:ilvl w:val="0"/>
                <w:numId w:val="1"/>
              </w:numPr>
              <w:adjustRightInd w:val="0"/>
              <w:snapToGrid w:val="0"/>
              <w:spacing w:line="360" w:lineRule="exact"/>
              <w:rPr>
                <w:rFonts w:eastAsia="仿宋_GB2312"/>
                <w:sz w:val="28"/>
                <w:szCs w:val="28"/>
                <w:lang w:val="zh-CN"/>
              </w:rPr>
            </w:pPr>
            <w:r>
              <w:rPr>
                <w:rFonts w:eastAsia="仿宋_GB2312"/>
                <w:sz w:val="28"/>
                <w:szCs w:val="28"/>
                <w:lang w:val="zh-CN"/>
              </w:rPr>
              <w:t>事故影响范围涉及2个以上设区市，造成或经评估认为可能造成对社会公众健康产生严重损害的食品安全事故；</w:t>
            </w:r>
          </w:p>
          <w:p>
            <w:pPr>
              <w:adjustRightInd w:val="0"/>
              <w:snapToGrid w:val="0"/>
              <w:spacing w:line="360" w:lineRule="exact"/>
              <w:rPr>
                <w:rFonts w:eastAsia="仿宋_GB2312"/>
                <w:sz w:val="28"/>
                <w:szCs w:val="28"/>
                <w:lang w:val="zh-CN"/>
              </w:rPr>
            </w:pPr>
            <w:r>
              <w:rPr>
                <w:rFonts w:eastAsia="仿宋_GB2312"/>
                <w:sz w:val="28"/>
                <w:szCs w:val="28"/>
                <w:lang w:val="zh-CN"/>
              </w:rPr>
              <w:t>（2）发现在我国首次出现的新的污染物引起的食品安全事故，造成严重健康损害后果，并有扩散趋势的；</w:t>
            </w:r>
          </w:p>
          <w:p>
            <w:pPr>
              <w:adjustRightInd w:val="0"/>
              <w:snapToGrid w:val="0"/>
              <w:spacing w:line="360" w:lineRule="exact"/>
              <w:rPr>
                <w:rFonts w:eastAsia="仿宋_GB2312"/>
                <w:sz w:val="28"/>
                <w:szCs w:val="28"/>
                <w:lang w:val="zh-CN"/>
              </w:rPr>
            </w:pPr>
            <w:r>
              <w:rPr>
                <w:rFonts w:eastAsia="仿宋_GB2312"/>
                <w:sz w:val="28"/>
                <w:szCs w:val="28"/>
                <w:lang w:val="zh-CN"/>
              </w:rPr>
              <w:t>（3）一起食品安全事故造成健康损害人数在100人以上并出现死亡病例；或出现10人以上、</w:t>
            </w:r>
            <w:r>
              <w:rPr>
                <w:rFonts w:eastAsia="仿宋_GB2312"/>
                <w:sz w:val="28"/>
                <w:szCs w:val="28"/>
              </w:rPr>
              <w:t>30</w:t>
            </w:r>
            <w:r>
              <w:rPr>
                <w:rFonts w:eastAsia="仿宋_GB2312"/>
                <w:sz w:val="28"/>
                <w:szCs w:val="28"/>
                <w:lang w:val="zh-CN"/>
              </w:rPr>
              <w:t>人以下死亡的；</w:t>
            </w:r>
          </w:p>
          <w:p>
            <w:pPr>
              <w:adjustRightInd w:val="0"/>
              <w:snapToGrid w:val="0"/>
              <w:spacing w:line="360" w:lineRule="exact"/>
              <w:rPr>
                <w:rFonts w:eastAsia="仿宋_GB2312"/>
                <w:sz w:val="28"/>
                <w:szCs w:val="28"/>
                <w:lang w:val="zh-CN"/>
              </w:rPr>
            </w:pPr>
            <w:r>
              <w:rPr>
                <w:rFonts w:eastAsia="仿宋_GB2312"/>
                <w:sz w:val="28"/>
                <w:szCs w:val="28"/>
                <w:lang w:val="zh-CN"/>
              </w:rPr>
              <w:t xml:space="preserve">（4）省级人民政府认定的其他重大级别食品安全事故。 </w:t>
            </w:r>
          </w:p>
        </w:tc>
      </w:tr>
      <w:tr>
        <w:tblPrEx>
          <w:tblCellMar>
            <w:top w:w="0" w:type="dxa"/>
            <w:left w:w="108" w:type="dxa"/>
            <w:bottom w:w="0" w:type="dxa"/>
            <w:right w:w="108" w:type="dxa"/>
          </w:tblCellMar>
        </w:tblPrEx>
        <w:trPr>
          <w:trHeight w:val="2176" w:hRule="atLeast"/>
          <w:jc w:val="center"/>
        </w:trPr>
        <w:tc>
          <w:tcPr>
            <w:tcW w:w="1852"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spacing w:line="560" w:lineRule="exact"/>
              <w:jc w:val="center"/>
              <w:rPr>
                <w:rFonts w:eastAsia="仿宋_GB2312"/>
                <w:sz w:val="28"/>
                <w:szCs w:val="28"/>
                <w:lang w:val="zh-CN"/>
              </w:rPr>
            </w:pPr>
            <w:r>
              <w:rPr>
                <w:rFonts w:eastAsia="仿宋_GB2312"/>
                <w:sz w:val="28"/>
                <w:szCs w:val="28"/>
                <w:lang w:val="zh-CN"/>
              </w:rPr>
              <w:t>较大</w:t>
            </w:r>
          </w:p>
        </w:tc>
        <w:tc>
          <w:tcPr>
            <w:tcW w:w="6798"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spacing w:line="360" w:lineRule="exact"/>
              <w:rPr>
                <w:rFonts w:eastAsia="仿宋_GB2312"/>
                <w:sz w:val="28"/>
                <w:szCs w:val="28"/>
                <w:lang w:val="zh-CN"/>
              </w:rPr>
            </w:pPr>
            <w:r>
              <w:rPr>
                <w:rFonts w:eastAsia="仿宋_GB2312"/>
                <w:sz w:val="28"/>
                <w:szCs w:val="28"/>
                <w:lang w:val="zh-CN"/>
              </w:rPr>
              <w:t>（1）事故影响范围涉及2个以上县（市、区），已造成严重健康损害后果的；</w:t>
            </w:r>
          </w:p>
          <w:p>
            <w:pPr>
              <w:adjustRightInd w:val="0"/>
              <w:snapToGrid w:val="0"/>
              <w:spacing w:line="360" w:lineRule="exact"/>
              <w:rPr>
                <w:rFonts w:eastAsia="仿宋_GB2312"/>
                <w:sz w:val="28"/>
                <w:szCs w:val="28"/>
                <w:lang w:val="zh-CN"/>
              </w:rPr>
            </w:pPr>
            <w:r>
              <w:rPr>
                <w:rFonts w:eastAsia="仿宋_GB2312"/>
                <w:sz w:val="28"/>
                <w:szCs w:val="28"/>
                <w:lang w:val="zh-CN"/>
              </w:rPr>
              <w:t>（2）一起食品安全事故造成健康损害人数在100人以上；或出现</w:t>
            </w:r>
            <w:r>
              <w:rPr>
                <w:rFonts w:eastAsia="仿宋_GB2312"/>
                <w:sz w:val="28"/>
                <w:szCs w:val="28"/>
              </w:rPr>
              <w:t>10人以下</w:t>
            </w:r>
            <w:r>
              <w:rPr>
                <w:rFonts w:eastAsia="仿宋_GB2312"/>
                <w:sz w:val="28"/>
                <w:szCs w:val="28"/>
                <w:lang w:val="zh-CN"/>
              </w:rPr>
              <w:t>死亡病例的；</w:t>
            </w:r>
          </w:p>
          <w:p>
            <w:pPr>
              <w:adjustRightInd w:val="0"/>
              <w:snapToGrid w:val="0"/>
              <w:spacing w:line="360" w:lineRule="exact"/>
              <w:rPr>
                <w:rFonts w:eastAsia="仿宋_GB2312"/>
                <w:sz w:val="28"/>
                <w:szCs w:val="28"/>
                <w:lang w:val="zh-CN"/>
              </w:rPr>
            </w:pPr>
            <w:r>
              <w:rPr>
                <w:rFonts w:eastAsia="仿宋_GB2312"/>
                <w:sz w:val="28"/>
                <w:szCs w:val="28"/>
                <w:lang w:val="zh-CN"/>
              </w:rPr>
              <w:t>（3）设区</w:t>
            </w:r>
            <w:r>
              <w:rPr>
                <w:rFonts w:hint="eastAsia" w:eastAsia="仿宋_GB2312"/>
                <w:sz w:val="28"/>
                <w:szCs w:val="28"/>
                <w:lang w:val="zh-CN"/>
              </w:rPr>
              <w:t>市政府</w:t>
            </w:r>
            <w:r>
              <w:rPr>
                <w:rFonts w:eastAsia="仿宋_GB2312"/>
                <w:sz w:val="28"/>
                <w:szCs w:val="28"/>
                <w:lang w:val="zh-CN"/>
              </w:rPr>
              <w:t>认定的其他较大级别食品安全事故。</w:t>
            </w:r>
          </w:p>
        </w:tc>
      </w:tr>
      <w:tr>
        <w:tblPrEx>
          <w:tblCellMar>
            <w:top w:w="0" w:type="dxa"/>
            <w:left w:w="108" w:type="dxa"/>
            <w:bottom w:w="0" w:type="dxa"/>
            <w:right w:w="108" w:type="dxa"/>
          </w:tblCellMar>
        </w:tblPrEx>
        <w:trPr>
          <w:trHeight w:val="2520" w:hRule="atLeast"/>
          <w:jc w:val="center"/>
        </w:trPr>
        <w:tc>
          <w:tcPr>
            <w:tcW w:w="1852"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spacing w:line="560" w:lineRule="exact"/>
              <w:jc w:val="center"/>
              <w:rPr>
                <w:rFonts w:eastAsia="仿宋_GB2312"/>
                <w:sz w:val="28"/>
                <w:szCs w:val="28"/>
                <w:lang w:val="zh-CN"/>
              </w:rPr>
            </w:pPr>
            <w:r>
              <w:rPr>
                <w:rFonts w:eastAsia="仿宋_GB2312"/>
                <w:sz w:val="28"/>
                <w:szCs w:val="28"/>
                <w:lang w:val="zh-CN"/>
              </w:rPr>
              <w:t>一般</w:t>
            </w:r>
          </w:p>
        </w:tc>
        <w:tc>
          <w:tcPr>
            <w:tcW w:w="6798"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spacing w:line="360" w:lineRule="exact"/>
              <w:rPr>
                <w:rFonts w:eastAsia="仿宋_GB2312"/>
                <w:sz w:val="28"/>
                <w:szCs w:val="28"/>
                <w:lang w:val="zh-CN"/>
              </w:rPr>
            </w:pPr>
            <w:r>
              <w:rPr>
                <w:rFonts w:eastAsia="仿宋_GB2312"/>
                <w:sz w:val="28"/>
                <w:szCs w:val="28"/>
                <w:lang w:val="zh-CN"/>
              </w:rPr>
              <w:t>（1）存在健康损害的污染食品，在一个县（市、区）行政区内已造成严重健康损害后果的</w:t>
            </w:r>
            <w:r>
              <w:rPr>
                <w:rFonts w:eastAsia="仿宋_GB2312"/>
                <w:sz w:val="28"/>
                <w:szCs w:val="28"/>
              </w:rPr>
              <w:t>;</w:t>
            </w:r>
            <w:r>
              <w:rPr>
                <w:rFonts w:eastAsia="仿宋_GB2312"/>
                <w:sz w:val="28"/>
                <w:szCs w:val="28"/>
                <w:lang w:val="zh-CN"/>
              </w:rPr>
              <w:br w:type="textWrapping"/>
            </w:r>
            <w:r>
              <w:rPr>
                <w:rFonts w:eastAsia="仿宋_GB2312"/>
                <w:sz w:val="28"/>
                <w:szCs w:val="28"/>
                <w:lang w:val="zh-CN"/>
              </w:rPr>
              <w:t>（2）一起食品安全事故造成健康损害人数在30人以上、</w:t>
            </w:r>
            <w:r>
              <w:rPr>
                <w:rFonts w:eastAsia="仿宋_GB2312"/>
                <w:sz w:val="28"/>
                <w:szCs w:val="28"/>
              </w:rPr>
              <w:t>100</w:t>
            </w:r>
            <w:r>
              <w:rPr>
                <w:rFonts w:eastAsia="仿宋_GB2312"/>
                <w:sz w:val="28"/>
                <w:szCs w:val="28"/>
                <w:lang w:val="zh-CN"/>
              </w:rPr>
              <w:t>人以下，且未出现死亡病例的；</w:t>
            </w:r>
          </w:p>
          <w:p>
            <w:pPr>
              <w:adjustRightInd w:val="0"/>
              <w:snapToGrid w:val="0"/>
              <w:spacing w:line="360" w:lineRule="exact"/>
              <w:rPr>
                <w:rFonts w:eastAsia="仿宋_GB2312"/>
                <w:sz w:val="28"/>
                <w:szCs w:val="28"/>
                <w:lang w:val="zh-CN"/>
              </w:rPr>
            </w:pPr>
            <w:r>
              <w:rPr>
                <w:rFonts w:eastAsia="仿宋_GB2312"/>
                <w:sz w:val="28"/>
                <w:szCs w:val="28"/>
                <w:lang w:val="zh-CN"/>
              </w:rPr>
              <w:t>（3）县（市、区）人民政府认定的其他一般级别食品安全事故。</w:t>
            </w:r>
          </w:p>
        </w:tc>
      </w:tr>
    </w:tbl>
    <w:p>
      <w:pPr>
        <w:spacing w:beforeLines="100" w:line="560" w:lineRule="exact"/>
        <w:ind w:firstLine="140" w:firstLineChars="50"/>
        <w:rPr>
          <w:rFonts w:ascii="楷体" w:hAnsi="楷体" w:eastAsia="楷体" w:cs="楷体"/>
          <w:sz w:val="28"/>
          <w:szCs w:val="28"/>
        </w:rPr>
      </w:pPr>
      <w:r>
        <w:rPr>
          <w:rFonts w:hint="eastAsia" w:ascii="楷体" w:hAnsi="楷体" w:eastAsia="楷体" w:cs="楷体"/>
          <w:sz w:val="28"/>
          <w:szCs w:val="28"/>
        </w:rPr>
        <w:t>注：“以上”含本数、“以下”不含本数。</w:t>
      </w:r>
    </w:p>
    <w:p>
      <w:pPr>
        <w:spacing w:line="560" w:lineRule="exact"/>
        <w:rPr>
          <w:rFonts w:eastAsia="方正黑体_GBK"/>
          <w:sz w:val="32"/>
          <w:szCs w:val="32"/>
        </w:rPr>
      </w:pPr>
      <w:r>
        <w:rPr>
          <w:rFonts w:eastAsia="方正黑体_GBK"/>
          <w:sz w:val="32"/>
          <w:szCs w:val="32"/>
        </w:rPr>
        <w:br w:type="page"/>
      </w:r>
      <w:r>
        <w:rPr>
          <w:rFonts w:eastAsia="方正黑体_GBK"/>
          <w:sz w:val="32"/>
          <w:szCs w:val="32"/>
        </w:rPr>
        <w:t>附件2</w:t>
      </w:r>
    </w:p>
    <w:p>
      <w:pPr>
        <w:widowControl/>
        <w:adjustRightInd w:val="0"/>
        <w:snapToGrid w:val="0"/>
        <w:spacing w:afterLines="100" w:line="560" w:lineRule="exact"/>
        <w:jc w:val="center"/>
        <w:rPr>
          <w:rFonts w:eastAsia="方正小标宋简体"/>
          <w:sz w:val="44"/>
          <w:szCs w:val="44"/>
          <w:lang w:val="zh-CN"/>
        </w:rPr>
      </w:pPr>
      <w:r>
        <w:rPr>
          <w:rFonts w:eastAsia="方正仿宋_GBK"/>
          <w:sz w:val="28"/>
          <w:szCs w:val="28"/>
        </w:rPr>
        <w:pict>
          <v:shape id="_x0000_s1026" o:spid="_x0000_s1026" o:spt="75" type="#_x0000_t75" style="position:absolute;left:0pt;margin-left:0pt;margin-top:23.45pt;height:619.2pt;width:456.85pt;z-index:251659264;mso-width-relative:page;mso-height-relative:page;" o:ole="t" filled="f" o:preferrelative="t" stroked="f" coordsize="21600,21600">
            <v:path/>
            <v:fill on="f" focussize="0,0"/>
            <v:stroke on="f" joinstyle="miter"/>
            <v:imagedata r:id="rId5" croptop="4683f" o:title=""/>
            <o:lock v:ext="edit" aspectratio="t"/>
          </v:shape>
          <o:OLEObject Type="Embed" ProgID="Word.Document.8" ShapeID="_x0000_s1026" DrawAspect="Content" ObjectID="_1468075725" r:id="rId4">
            <o:LockedField>false</o:LockedField>
          </o:OLEObject>
        </w:pict>
      </w:r>
      <w:r>
        <w:rPr>
          <w:rFonts w:eastAsia="方正小标宋简体"/>
          <w:sz w:val="44"/>
          <w:szCs w:val="44"/>
          <w:lang w:val="zh-CN"/>
        </w:rPr>
        <w:t>食品安全事故应急响应流程图</w:t>
      </w:r>
    </w:p>
    <w:p>
      <w:pPr>
        <w:spacing w:line="560" w:lineRule="exact"/>
        <w:ind w:firstLine="552"/>
        <w:rPr>
          <w:rFonts w:eastAsia="方正仿宋_GBK"/>
          <w:sz w:val="28"/>
          <w:szCs w:val="28"/>
        </w:rPr>
      </w:pPr>
    </w:p>
    <w:p>
      <w:pPr>
        <w:spacing w:line="560" w:lineRule="exact"/>
        <w:ind w:firstLine="552"/>
        <w:rPr>
          <w:rFonts w:eastAsia="方正仿宋_GBK"/>
          <w:sz w:val="28"/>
          <w:szCs w:val="28"/>
        </w:rPr>
      </w:pPr>
    </w:p>
    <w:p>
      <w:pPr>
        <w:spacing w:line="560" w:lineRule="exact"/>
        <w:ind w:firstLine="552"/>
        <w:rPr>
          <w:rFonts w:eastAsia="方正仿宋_GBK"/>
          <w:sz w:val="28"/>
          <w:szCs w:val="28"/>
        </w:rPr>
      </w:pPr>
    </w:p>
    <w:p>
      <w:pPr>
        <w:spacing w:line="560" w:lineRule="exact"/>
      </w:pPr>
    </w:p>
    <w:p>
      <w:pPr>
        <w:spacing w:line="560" w:lineRule="exact"/>
      </w:pPr>
    </w:p>
    <w:p>
      <w:pPr>
        <w:spacing w:line="560" w:lineRule="exact"/>
      </w:pPr>
    </w:p>
    <w:p>
      <w:pPr>
        <w:spacing w:line="560" w:lineRule="exact"/>
      </w:pPr>
    </w:p>
    <w:p>
      <w:pPr>
        <w:spacing w:line="560" w:lineRule="exact"/>
      </w:pPr>
    </w:p>
    <w:p>
      <w:pPr>
        <w:spacing w:line="560" w:lineRule="exact"/>
      </w:pPr>
    </w:p>
    <w:p>
      <w:pPr>
        <w:spacing w:line="560" w:lineRule="exact"/>
      </w:pPr>
    </w:p>
    <w:p>
      <w:pPr>
        <w:spacing w:line="560" w:lineRule="exact"/>
      </w:pPr>
    </w:p>
    <w:p>
      <w:pPr>
        <w:spacing w:line="560" w:lineRule="exact"/>
      </w:pPr>
    </w:p>
    <w:p>
      <w:pPr>
        <w:spacing w:line="560" w:lineRule="exact"/>
      </w:pPr>
    </w:p>
    <w:p>
      <w:pPr>
        <w:spacing w:line="560" w:lineRule="exact"/>
      </w:pPr>
    </w:p>
    <w:p>
      <w:pPr>
        <w:spacing w:line="560" w:lineRule="exact"/>
      </w:pPr>
    </w:p>
    <w:p>
      <w:pPr>
        <w:spacing w:line="560" w:lineRule="exact"/>
      </w:pPr>
    </w:p>
    <w:p>
      <w:pPr>
        <w:spacing w:line="560" w:lineRule="exact"/>
      </w:pPr>
    </w:p>
    <w:p>
      <w:pPr>
        <w:spacing w:line="560" w:lineRule="exact"/>
      </w:pPr>
    </w:p>
    <w:p>
      <w:pPr>
        <w:spacing w:line="560" w:lineRule="exact"/>
      </w:pPr>
    </w:p>
    <w:p>
      <w:bookmarkStart w:id="2" w:name="_GoBack"/>
      <w:bookmarkEnd w:id="2"/>
    </w:p>
    <w:sectPr>
      <w:pgSz w:w="11906" w:h="16838"/>
      <w:pgMar w:top="2098" w:right="1474" w:bottom="1984" w:left="1587" w:header="851" w:footer="992" w:gutter="0"/>
      <w:cols w:space="0" w:num="1"/>
      <w:rtlGutter w:val="0"/>
      <w:docGrid w:type="linesAndChars" w:linePitch="318" w:charSpace="12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singleLevel"/>
    <w:tmpl w:val="0000000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18562B"/>
    <w:rsid w:val="26692FC6"/>
    <w:rsid w:val="3318562B"/>
    <w:rsid w:val="51F517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utoSpaceDE w:val="0"/>
      <w:autoSpaceDN w:val="0"/>
      <w:snapToGrid w:val="0"/>
      <w:spacing w:before="340" w:after="330" w:line="578" w:lineRule="atLeast"/>
      <w:ind w:firstLine="624"/>
      <w:outlineLvl w:val="0"/>
    </w:pPr>
    <w:rPr>
      <w:rFonts w:eastAsia="方正仿宋_GBK"/>
      <w:b/>
      <w:snapToGrid w:val="0"/>
      <w:kern w:val="44"/>
      <w:sz w:val="44"/>
      <w:szCs w:val="20"/>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w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2021-04-07T07:50:00Z</dcterms:created>
  <dc:creator>NTKO</dc:creator>
  <cp:lastModifiedBy>NTKO</cp:lastModifiedBy>
  <dcterms:modified xsi:type="dcterms:W3CDTF">2021-04-07T07:50:19Z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4DF69902C802499382273E2446B2AA52</vt:lpwstr>
  </property>
</Properties>
</file>