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3A9BB">
      <w:pPr>
        <w:pStyle w:val="3"/>
        <w:ind w:left="0" w:leftChars="0" w:firstLine="0" w:firstLineChars="0"/>
        <w:rPr>
          <w:rFonts w:hint="default"/>
          <w:lang w:val="en-US" w:eastAsia="zh-CN"/>
        </w:rPr>
      </w:pPr>
    </w:p>
    <w:p w14:paraId="0F7E13DB">
      <w:pPr>
        <w:pStyle w:val="8"/>
        <w:rPr>
          <w:rFonts w:hint="default" w:ascii="Times New Roman" w:hAnsi="Times New Roman" w:eastAsia="方正小标宋_GBK" w:cs="Times New Roman"/>
          <w:sz w:val="44"/>
          <w:szCs w:val="44"/>
          <w:lang w:val="en-US" w:eastAsia="zh-CN"/>
        </w:rPr>
      </w:pPr>
    </w:p>
    <w:p w14:paraId="77E224FA">
      <w:pPr>
        <w:pStyle w:val="3"/>
        <w:rPr>
          <w:rFonts w:hint="default"/>
          <w:lang w:val="en-US" w:eastAsia="zh-CN"/>
        </w:rPr>
      </w:pPr>
    </w:p>
    <w:p w14:paraId="5B8ABD37">
      <w:pPr>
        <w:pStyle w:val="3"/>
        <w:ind w:left="0" w:leftChars="0" w:firstLine="0" w:firstLineChars="0"/>
        <w:rPr>
          <w:rFonts w:hint="default"/>
          <w:lang w:val="en-US" w:eastAsia="zh-CN"/>
        </w:rPr>
      </w:pPr>
    </w:p>
    <w:p w14:paraId="3BEA0FE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sz w:val="44"/>
          <w:szCs w:val="44"/>
          <w:lang w:val="en-US" w:eastAsia="zh-CN"/>
        </w:rPr>
      </w:pPr>
    </w:p>
    <w:p w14:paraId="4DDD6A52">
      <w:pPr>
        <w:pStyle w:val="8"/>
        <w:rPr>
          <w:rFonts w:hint="default"/>
          <w:sz w:val="52"/>
          <w:szCs w:val="52"/>
          <w:lang w:val="en-US" w:eastAsia="zh-CN"/>
        </w:rPr>
      </w:pPr>
    </w:p>
    <w:p w14:paraId="1F503B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52"/>
          <w:szCs w:val="52"/>
          <w:lang w:val="en-US" w:eastAsia="zh-CN"/>
        </w:rPr>
      </w:pPr>
      <w:r>
        <w:rPr>
          <w:rFonts w:hint="default" w:ascii="Times New Roman" w:hAnsi="Times New Roman" w:eastAsia="方正小标宋_GBK" w:cs="Times New Roman"/>
          <w:sz w:val="52"/>
          <w:szCs w:val="52"/>
          <w:lang w:val="en-US" w:eastAsia="zh-CN"/>
        </w:rPr>
        <w:t>连云区“十四五</w:t>
      </w:r>
      <w:r>
        <w:rPr>
          <w:rFonts w:hint="default" w:ascii="Times New Roman" w:hAnsi="Times New Roman" w:eastAsia="方正仿宋_GBK" w:cs="Times New Roman"/>
          <w:sz w:val="52"/>
          <w:szCs w:val="52"/>
          <w:lang w:val="en-US" w:eastAsia="zh-CN"/>
        </w:rPr>
        <w:t>”</w:t>
      </w:r>
      <w:r>
        <w:rPr>
          <w:rFonts w:hint="default" w:ascii="Times New Roman" w:hAnsi="Times New Roman" w:eastAsia="方正小标宋_GBK" w:cs="Times New Roman"/>
          <w:sz w:val="52"/>
          <w:szCs w:val="52"/>
          <w:lang w:val="en-US" w:eastAsia="zh-CN"/>
        </w:rPr>
        <w:t>医疗卫生专项规划</w:t>
      </w:r>
    </w:p>
    <w:p w14:paraId="6A93729B">
      <w:pPr>
        <w:ind w:left="0" w:leftChars="0" w:firstLine="0" w:firstLineChars="0"/>
        <w:jc w:val="center"/>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Cs w:val="0"/>
          <w:color w:val="auto"/>
          <w:kern w:val="2"/>
          <w:sz w:val="32"/>
          <w:szCs w:val="32"/>
          <w:highlight w:val="none"/>
          <w:lang w:val="en-US" w:eastAsia="zh-CN" w:bidi="ar-SA"/>
        </w:rPr>
        <w:t>（202</w:t>
      </w:r>
      <w:r>
        <w:rPr>
          <w:rFonts w:hint="eastAsia" w:ascii="Times New Roman" w:hAnsi="Times New Roman" w:eastAsia="楷体_GB2312" w:cs="Times New Roman"/>
          <w:bCs w:val="0"/>
          <w:color w:val="auto"/>
          <w:kern w:val="2"/>
          <w:sz w:val="32"/>
          <w:szCs w:val="32"/>
          <w:highlight w:val="none"/>
          <w:lang w:val="en-US" w:eastAsia="zh-CN" w:bidi="ar-SA"/>
        </w:rPr>
        <w:t>1</w:t>
      </w:r>
      <w:r>
        <w:rPr>
          <w:rFonts w:hint="default" w:ascii="Times New Roman" w:hAnsi="Times New Roman" w:eastAsia="楷体_GB2312" w:cs="Times New Roman"/>
          <w:bCs w:val="0"/>
          <w:color w:val="auto"/>
          <w:kern w:val="2"/>
          <w:sz w:val="32"/>
          <w:szCs w:val="32"/>
          <w:highlight w:val="none"/>
          <w:lang w:val="en-US" w:eastAsia="zh-CN" w:bidi="ar-SA"/>
        </w:rPr>
        <w:t>-2025）</w:t>
      </w:r>
    </w:p>
    <w:p w14:paraId="114AE8E9">
      <w:pPr>
        <w:pStyle w:val="8"/>
        <w:rPr>
          <w:rFonts w:hint="default" w:ascii="Times New Roman" w:hAnsi="Times New Roman" w:eastAsia="方正仿宋_GBK" w:cs="Times New Roman"/>
          <w:sz w:val="32"/>
          <w:szCs w:val="32"/>
        </w:rPr>
      </w:pPr>
    </w:p>
    <w:p w14:paraId="355108CF">
      <w:pPr>
        <w:pStyle w:val="3"/>
        <w:ind w:left="0" w:leftChars="0" w:firstLine="0" w:firstLineChars="0"/>
        <w:jc w:val="both"/>
        <w:rPr>
          <w:rFonts w:hint="eastAsia" w:ascii="Times New Roman" w:hAnsi="Times New Roman" w:eastAsia="方正仿宋_GBK" w:cs="Times New Roman"/>
          <w:sz w:val="32"/>
          <w:szCs w:val="32"/>
          <w:lang w:eastAsia="zh-CN"/>
        </w:rPr>
      </w:pPr>
    </w:p>
    <w:p w14:paraId="22EAB4E4">
      <w:pPr>
        <w:pStyle w:val="8"/>
        <w:rPr>
          <w:rFonts w:hint="default" w:ascii="Times New Roman" w:hAnsi="Times New Roman" w:eastAsia="方正仿宋_GBK" w:cs="Times New Roman"/>
          <w:sz w:val="32"/>
          <w:szCs w:val="32"/>
        </w:rPr>
      </w:pPr>
    </w:p>
    <w:p w14:paraId="3BF17048">
      <w:pPr>
        <w:pStyle w:val="3"/>
        <w:ind w:left="0" w:leftChars="0" w:firstLine="0" w:firstLineChars="0"/>
        <w:jc w:val="both"/>
        <w:rPr>
          <w:rFonts w:hint="default"/>
        </w:rPr>
      </w:pPr>
    </w:p>
    <w:p w14:paraId="0EB7C022">
      <w:pPr>
        <w:rPr>
          <w:rFonts w:hint="default"/>
        </w:rPr>
      </w:pPr>
    </w:p>
    <w:p w14:paraId="707A1159">
      <w:pPr>
        <w:pStyle w:val="8"/>
        <w:rPr>
          <w:rFonts w:hint="default"/>
        </w:rPr>
      </w:pPr>
    </w:p>
    <w:p w14:paraId="54C7C794">
      <w:pPr>
        <w:pStyle w:val="3"/>
        <w:ind w:left="0" w:leftChars="0" w:firstLine="0" w:firstLineChars="0"/>
        <w:rPr>
          <w:rFonts w:hint="default"/>
        </w:rPr>
      </w:pPr>
    </w:p>
    <w:p w14:paraId="44488255">
      <w:pPr>
        <w:rPr>
          <w:rFonts w:hint="default"/>
        </w:rPr>
      </w:pPr>
    </w:p>
    <w:p w14:paraId="3BCD705E">
      <w:pPr>
        <w:pStyle w:val="8"/>
        <w:rPr>
          <w:rFonts w:hint="default"/>
        </w:rPr>
      </w:pPr>
    </w:p>
    <w:p w14:paraId="5437461C">
      <w:pPr>
        <w:pStyle w:val="3"/>
        <w:ind w:left="0" w:leftChars="0" w:firstLine="0" w:firstLineChars="0"/>
        <w:rPr>
          <w:rFonts w:hint="default"/>
        </w:rPr>
      </w:pPr>
    </w:p>
    <w:p w14:paraId="151C63DA">
      <w:pPr>
        <w:rPr>
          <w:rFonts w:hint="default"/>
        </w:rPr>
      </w:pPr>
    </w:p>
    <w:p w14:paraId="4C5F8F3E">
      <w:pPr>
        <w:pStyle w:val="2"/>
        <w:rPr>
          <w:rFonts w:hint="default"/>
        </w:rPr>
      </w:pPr>
    </w:p>
    <w:p w14:paraId="4B5A9610">
      <w:pPr>
        <w:rPr>
          <w:rFonts w:hint="default"/>
        </w:rPr>
      </w:pPr>
    </w:p>
    <w:p w14:paraId="68E99B70">
      <w:pPr>
        <w:pStyle w:val="2"/>
        <w:rPr>
          <w:rFonts w:hint="default"/>
        </w:rPr>
      </w:pPr>
    </w:p>
    <w:p w14:paraId="028990FC">
      <w:pPr>
        <w:rPr>
          <w:rFonts w:hint="default"/>
        </w:rPr>
      </w:pPr>
    </w:p>
    <w:p w14:paraId="7D769880">
      <w:pPr>
        <w:pStyle w:val="2"/>
        <w:rPr>
          <w:rFonts w:hint="default"/>
        </w:rPr>
      </w:pPr>
    </w:p>
    <w:p w14:paraId="61FA3037">
      <w:pPr>
        <w:rPr>
          <w:rFonts w:hint="default"/>
        </w:rPr>
      </w:pPr>
    </w:p>
    <w:p w14:paraId="21F692B9">
      <w:pPr>
        <w:pStyle w:val="3"/>
        <w:ind w:left="0" w:leftChars="0" w:firstLine="0" w:firstLineChars="0"/>
        <w:rPr>
          <w:rFonts w:hint="default"/>
        </w:rPr>
      </w:pPr>
    </w:p>
    <w:p w14:paraId="1EBA5566">
      <w:pPr>
        <w:pStyle w:val="8"/>
        <w:jc w:val="center"/>
        <w:rPr>
          <w:rFonts w:hint="default"/>
          <w:lang w:val="en-US" w:eastAsia="zh-CN"/>
        </w:rPr>
      </w:pPr>
    </w:p>
    <w:p w14:paraId="49263E01">
      <w:pPr>
        <w:pStyle w:val="8"/>
        <w:rPr>
          <w:rFonts w:hint="default" w:ascii="Times New Roman" w:hAnsi="Times New Roman" w:eastAsia="方正楷体_GBK" w:cs="Times New Roman"/>
          <w:sz w:val="32"/>
          <w:szCs w:val="32"/>
          <w:lang w:val="en-US" w:eastAsia="zh-CN"/>
        </w:rPr>
      </w:pPr>
    </w:p>
    <w:p w14:paraId="34DF2313">
      <w:pPr>
        <w:spacing w:line="560" w:lineRule="exact"/>
        <w:ind w:left="0" w:leftChars="0" w:firstLine="0" w:firstLineChars="0"/>
        <w:jc w:val="center"/>
        <w:rPr>
          <w:rFonts w:hint="default" w:ascii="方正楷体_GBK" w:hAnsi="Times New Roman" w:eastAsia="方正楷体_GBK"/>
          <w:w w:val="90"/>
          <w:sz w:val="36"/>
          <w:szCs w:val="36"/>
          <w:lang w:val="en-US" w:eastAsia="zh-CN"/>
        </w:rPr>
      </w:pPr>
      <w:r>
        <w:rPr>
          <w:rFonts w:hint="eastAsia" w:ascii="方正楷体_GBK" w:hAnsi="楷体_GB2312" w:eastAsia="方正楷体_GBK"/>
          <w:w w:val="90"/>
          <w:sz w:val="36"/>
          <w:szCs w:val="36"/>
        </w:rPr>
        <w:t>连云区</w:t>
      </w:r>
      <w:r>
        <w:rPr>
          <w:rFonts w:hint="eastAsia" w:ascii="方正楷体_GBK" w:hAnsi="楷体_GB2312" w:eastAsia="方正楷体_GBK"/>
          <w:w w:val="90"/>
          <w:sz w:val="36"/>
          <w:szCs w:val="36"/>
          <w:lang w:val="en-US" w:eastAsia="zh-CN"/>
        </w:rPr>
        <w:t>卫生健康委员会</w:t>
      </w:r>
    </w:p>
    <w:p w14:paraId="3CF9680A">
      <w:pPr>
        <w:rPr>
          <w:rFonts w:hint="default"/>
          <w:lang w:val="en-US" w:eastAsia="zh-CN"/>
        </w:rPr>
        <w:sectPr>
          <w:pgSz w:w="11906" w:h="16838"/>
          <w:pgMar w:top="2098" w:right="1474" w:bottom="1984" w:left="1587" w:header="851" w:footer="992" w:gutter="0"/>
          <w:pgNumType w:fmt="numberInDash"/>
          <w:cols w:space="0" w:num="1"/>
          <w:rtlGutter w:val="0"/>
          <w:docGrid w:type="lines" w:linePitch="312" w:charSpace="0"/>
        </w:sectPr>
      </w:pPr>
    </w:p>
    <w:p w14:paraId="2DC84BCF">
      <w:pPr>
        <w:pStyle w:val="8"/>
        <w:rPr>
          <w:rFonts w:hint="default"/>
          <w:lang w:val="en-US" w:eastAsia="zh-CN"/>
        </w:rPr>
        <w:sectPr>
          <w:footerReference r:id="rId3" w:type="default"/>
          <w:pgSz w:w="11906" w:h="16838"/>
          <w:pgMar w:top="2098" w:right="1474" w:bottom="1984" w:left="1587" w:header="851" w:footer="992" w:gutter="0"/>
          <w:pgNumType w:fmt="numberInDash" w:start="1"/>
          <w:cols w:space="0" w:num="1"/>
          <w:rtlGutter w:val="0"/>
          <w:docGrid w:type="lines" w:linePitch="312" w:charSpace="0"/>
        </w:sectPr>
      </w:pPr>
    </w:p>
    <w:p w14:paraId="6259E390">
      <w:pPr>
        <w:pStyle w:val="3"/>
        <w:rPr>
          <w:rFonts w:hint="default"/>
          <w:lang w:val="en-US" w:eastAsia="zh-CN"/>
        </w:rPr>
      </w:pPr>
    </w:p>
    <w:sdt>
      <w:sdtPr>
        <w:rPr>
          <w:rFonts w:ascii="宋体" w:hAnsi="宋体" w:eastAsia="宋体" w:cstheme="minorBidi"/>
          <w:kern w:val="2"/>
          <w:sz w:val="21"/>
          <w:szCs w:val="24"/>
          <w:lang w:val="en-US" w:eastAsia="zh-CN" w:bidi="ar-SA"/>
        </w:rPr>
        <w:id w:val="147470948"/>
        <w15:color w:val="DBDBDB"/>
        <w:docPartObj>
          <w:docPartGallery w:val="Table of Contents"/>
          <w:docPartUnique/>
        </w:docPartObj>
      </w:sdtPr>
      <w:sdtEndPr>
        <w:rPr>
          <w:rFonts w:ascii="宋体" w:hAnsi="宋体" w:eastAsia="宋体" w:cstheme="minorBidi"/>
          <w:b/>
          <w:kern w:val="2"/>
          <w:sz w:val="21"/>
          <w:szCs w:val="24"/>
          <w:lang w:val="en-US" w:eastAsia="zh-CN" w:bidi="ar-SA"/>
        </w:rPr>
      </w:sdtEndPr>
      <w:sdtContent>
        <w:p w14:paraId="0F2D8A22">
          <w:pPr>
            <w:keepNext w:val="0"/>
            <w:keepLines w:val="0"/>
            <w:pageBreakBefore w:val="0"/>
            <w:widowControl w:val="0"/>
            <w:kinsoku/>
            <w:wordWrap/>
            <w:overflowPunct/>
            <w:topLinePunct w:val="0"/>
            <w:autoSpaceDE/>
            <w:autoSpaceDN/>
            <w:bidi w:val="0"/>
            <w:adjustRightInd w:val="0"/>
            <w:snapToGrid w:val="0"/>
            <w:spacing w:before="0" w:beforeLines="0" w:after="0" w:afterLines="0" w:line="460" w:lineRule="exact"/>
            <w:ind w:left="0" w:leftChars="0" w:right="0" w:rightChars="0" w:firstLine="0" w:firstLineChars="0"/>
            <w:jc w:val="center"/>
            <w:textAlignment w:val="auto"/>
          </w:pPr>
          <w:r>
            <w:rPr>
              <w:rFonts w:hint="eastAsia" w:ascii="黑体" w:hAnsi="黑体" w:eastAsia="黑体" w:cs="黑体"/>
              <w:sz w:val="36"/>
              <w:szCs w:val="36"/>
            </w:rPr>
            <w:t>目</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录</w:t>
          </w:r>
        </w:p>
        <w:p w14:paraId="3FC88D50">
          <w:pPr>
            <w:pStyle w:val="7"/>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textAlignment w:val="auto"/>
          </w:pPr>
          <w:r>
            <w:fldChar w:fldCharType="begin"/>
          </w:r>
          <w:r>
            <w:instrText xml:space="preserve">TOC \o "1-2" \h \u </w:instrText>
          </w:r>
          <w:r>
            <w:fldChar w:fldCharType="separate"/>
          </w:r>
          <w:r>
            <w:rPr>
              <w:rFonts w:hint="eastAsia" w:ascii="宋体" w:hAnsi="宋体" w:eastAsia="宋体" w:cs="宋体"/>
              <w:b/>
              <w:bCs/>
              <w:sz w:val="24"/>
              <w:szCs w:val="32"/>
            </w:rPr>
            <w:fldChar w:fldCharType="begin"/>
          </w:r>
          <w:r>
            <w:rPr>
              <w:rFonts w:hint="eastAsia" w:ascii="宋体" w:hAnsi="宋体" w:eastAsia="宋体" w:cs="宋体"/>
              <w:b/>
              <w:bCs/>
              <w:sz w:val="24"/>
              <w:szCs w:val="32"/>
            </w:rPr>
            <w:instrText xml:space="preserve"> HYPERLINK \l _Toc32129 </w:instrText>
          </w:r>
          <w:r>
            <w:rPr>
              <w:rFonts w:hint="eastAsia" w:ascii="宋体" w:hAnsi="宋体" w:eastAsia="宋体" w:cs="宋体"/>
              <w:b/>
              <w:bCs/>
              <w:sz w:val="24"/>
              <w:szCs w:val="32"/>
            </w:rPr>
            <w:fldChar w:fldCharType="separate"/>
          </w:r>
          <w:r>
            <w:rPr>
              <w:rFonts w:hint="eastAsia" w:ascii="宋体" w:hAnsi="宋体" w:eastAsia="宋体" w:cs="宋体"/>
              <w:b/>
              <w:bCs/>
              <w:sz w:val="24"/>
              <w:szCs w:val="40"/>
              <w:lang w:val="en-US" w:eastAsia="zh-CN"/>
            </w:rPr>
            <w:t>第一章  总  则</w:t>
          </w:r>
          <w:r>
            <w:rPr>
              <w:rFonts w:hint="eastAsia" w:ascii="宋体" w:hAnsi="宋体" w:eastAsia="宋体" w:cs="宋体"/>
              <w:b/>
              <w:bCs/>
              <w:sz w:val="24"/>
              <w:szCs w:val="32"/>
            </w:rPr>
            <w:tab/>
          </w:r>
          <w:r>
            <w:rPr>
              <w:rFonts w:hint="default" w:ascii="Times New Roman" w:hAnsi="Times New Roman" w:eastAsia="宋体" w:cs="Times New Roman"/>
              <w:b w:val="0"/>
              <w:bCs w:val="0"/>
              <w:sz w:val="24"/>
              <w:szCs w:val="32"/>
            </w:rPr>
            <w:fldChar w:fldCharType="begin"/>
          </w:r>
          <w:r>
            <w:rPr>
              <w:rFonts w:hint="default" w:ascii="Times New Roman" w:hAnsi="Times New Roman" w:eastAsia="宋体" w:cs="Times New Roman"/>
              <w:b w:val="0"/>
              <w:bCs w:val="0"/>
              <w:sz w:val="24"/>
              <w:szCs w:val="32"/>
            </w:rPr>
            <w:instrText xml:space="preserve"> PAGEREF _Toc32129 \h </w:instrText>
          </w:r>
          <w:r>
            <w:rPr>
              <w:rFonts w:hint="default" w:ascii="Times New Roman" w:hAnsi="Times New Roman" w:eastAsia="宋体" w:cs="Times New Roman"/>
              <w:b w:val="0"/>
              <w:bCs w:val="0"/>
              <w:sz w:val="24"/>
              <w:szCs w:val="32"/>
            </w:rPr>
            <w:fldChar w:fldCharType="separate"/>
          </w:r>
          <w:r>
            <w:rPr>
              <w:rFonts w:hint="default" w:ascii="Times New Roman" w:hAnsi="Times New Roman" w:eastAsia="宋体" w:cs="Times New Roman"/>
              <w:b w:val="0"/>
              <w:bCs w:val="0"/>
              <w:sz w:val="24"/>
              <w:szCs w:val="32"/>
            </w:rPr>
            <w:t>2</w:t>
          </w:r>
          <w:r>
            <w:rPr>
              <w:rFonts w:hint="default" w:ascii="Times New Roman" w:hAnsi="Times New Roman" w:eastAsia="宋体" w:cs="Times New Roman"/>
              <w:b w:val="0"/>
              <w:bCs w:val="0"/>
              <w:sz w:val="24"/>
              <w:szCs w:val="32"/>
            </w:rPr>
            <w:fldChar w:fldCharType="end"/>
          </w:r>
          <w:r>
            <w:rPr>
              <w:rFonts w:hint="eastAsia" w:ascii="宋体" w:hAnsi="宋体" w:eastAsia="宋体" w:cs="宋体"/>
              <w:b/>
              <w:bCs/>
              <w:sz w:val="24"/>
              <w:szCs w:val="32"/>
            </w:rPr>
            <w:fldChar w:fldCharType="end"/>
          </w:r>
        </w:p>
        <w:p w14:paraId="0119A58E">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_Toc31901 </w:instrText>
          </w:r>
          <w:r>
            <w:rPr>
              <w:rFonts w:hint="eastAsia" w:ascii="宋体" w:hAnsi="宋体" w:eastAsia="宋体" w:cs="宋体"/>
              <w:sz w:val="24"/>
              <w:szCs w:val="32"/>
            </w:rPr>
            <w:fldChar w:fldCharType="separate"/>
          </w:r>
          <w:r>
            <w:rPr>
              <w:rFonts w:hint="eastAsia" w:ascii="宋体" w:hAnsi="宋体" w:eastAsia="宋体" w:cs="宋体"/>
              <w:sz w:val="24"/>
              <w:szCs w:val="40"/>
              <w:lang w:val="en-US" w:eastAsia="zh-CN"/>
            </w:rPr>
            <w:t>第一节  前  言</w:t>
          </w:r>
          <w:r>
            <w:rPr>
              <w:rFonts w:hint="eastAsia" w:ascii="宋体" w:hAnsi="宋体" w:eastAsia="宋体" w:cs="宋体"/>
              <w:sz w:val="24"/>
              <w:szCs w:val="32"/>
            </w:rPr>
            <w:tab/>
          </w:r>
          <w:r>
            <w:rPr>
              <w:rFonts w:hint="default" w:ascii="Times New Roman" w:hAnsi="Times New Roman" w:eastAsia="宋体" w:cs="Times New Roman"/>
              <w:sz w:val="24"/>
              <w:szCs w:val="32"/>
            </w:rPr>
            <w:fldChar w:fldCharType="begin"/>
          </w:r>
          <w:r>
            <w:rPr>
              <w:rFonts w:hint="default" w:ascii="Times New Roman" w:hAnsi="Times New Roman" w:eastAsia="宋体" w:cs="Times New Roman"/>
              <w:sz w:val="24"/>
              <w:szCs w:val="32"/>
            </w:rPr>
            <w:instrText xml:space="preserve"> PAGEREF _Toc31901 \h </w:instrText>
          </w:r>
          <w:r>
            <w:rPr>
              <w:rFonts w:hint="default" w:ascii="Times New Roman" w:hAnsi="Times New Roman" w:eastAsia="宋体" w:cs="Times New Roman"/>
              <w:sz w:val="24"/>
              <w:szCs w:val="32"/>
            </w:rPr>
            <w:fldChar w:fldCharType="separate"/>
          </w:r>
          <w:r>
            <w:rPr>
              <w:rFonts w:hint="default" w:ascii="Times New Roman" w:hAnsi="Times New Roman" w:eastAsia="宋体" w:cs="Times New Roman"/>
              <w:sz w:val="24"/>
              <w:szCs w:val="32"/>
            </w:rPr>
            <w:t>2</w:t>
          </w:r>
          <w:r>
            <w:rPr>
              <w:rFonts w:hint="default" w:ascii="Times New Roman" w:hAnsi="Times New Roman" w:eastAsia="宋体" w:cs="Times New Roman"/>
              <w:sz w:val="24"/>
              <w:szCs w:val="32"/>
            </w:rPr>
            <w:fldChar w:fldCharType="end"/>
          </w:r>
          <w:r>
            <w:rPr>
              <w:rFonts w:hint="eastAsia" w:ascii="宋体" w:hAnsi="宋体" w:eastAsia="宋体" w:cs="宋体"/>
              <w:sz w:val="24"/>
              <w:szCs w:val="32"/>
            </w:rPr>
            <w:fldChar w:fldCharType="end"/>
          </w:r>
        </w:p>
        <w:p w14:paraId="5BD8DE2C">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_Toc2068 </w:instrText>
          </w:r>
          <w:r>
            <w:rPr>
              <w:rFonts w:hint="eastAsia" w:ascii="宋体" w:hAnsi="宋体" w:eastAsia="宋体" w:cs="宋体"/>
              <w:sz w:val="24"/>
              <w:szCs w:val="32"/>
            </w:rPr>
            <w:fldChar w:fldCharType="separate"/>
          </w:r>
          <w:r>
            <w:rPr>
              <w:rFonts w:hint="eastAsia" w:ascii="宋体" w:hAnsi="宋体" w:eastAsia="宋体" w:cs="宋体"/>
              <w:sz w:val="24"/>
              <w:szCs w:val="40"/>
              <w:lang w:val="en-US" w:eastAsia="zh-CN"/>
            </w:rPr>
            <w:t>第二节  规划领域</w:t>
          </w:r>
          <w:r>
            <w:rPr>
              <w:rFonts w:hint="eastAsia" w:ascii="宋体" w:hAnsi="宋体" w:eastAsia="宋体" w:cs="宋体"/>
              <w:sz w:val="24"/>
              <w:szCs w:val="32"/>
            </w:rPr>
            <w:tab/>
          </w:r>
          <w:r>
            <w:rPr>
              <w:rFonts w:hint="eastAsia" w:ascii="Times New Roman" w:hAnsi="Times New Roman" w:eastAsia="宋体" w:cs="Times New Roman"/>
              <w:sz w:val="24"/>
              <w:szCs w:val="32"/>
            </w:rPr>
            <w:fldChar w:fldCharType="begin"/>
          </w:r>
          <w:r>
            <w:rPr>
              <w:rFonts w:hint="eastAsia" w:ascii="Times New Roman" w:hAnsi="Times New Roman" w:eastAsia="宋体" w:cs="Times New Roman"/>
              <w:sz w:val="24"/>
              <w:szCs w:val="32"/>
            </w:rPr>
            <w:instrText xml:space="preserve"> PAGEREF _Toc2068 \h </w:instrText>
          </w:r>
          <w:r>
            <w:rPr>
              <w:rFonts w:hint="eastAsia" w:ascii="Times New Roman" w:hAnsi="Times New Roman" w:eastAsia="宋体" w:cs="Times New Roman"/>
              <w:sz w:val="24"/>
              <w:szCs w:val="32"/>
            </w:rPr>
            <w:fldChar w:fldCharType="separate"/>
          </w:r>
          <w:r>
            <w:rPr>
              <w:rFonts w:hint="eastAsia" w:ascii="Times New Roman" w:hAnsi="Times New Roman" w:eastAsia="宋体" w:cs="Times New Roman"/>
              <w:sz w:val="24"/>
              <w:szCs w:val="32"/>
            </w:rPr>
            <w:t>2</w:t>
          </w:r>
          <w:r>
            <w:rPr>
              <w:rFonts w:hint="eastAsia" w:ascii="Times New Roman" w:hAnsi="Times New Roman" w:eastAsia="宋体" w:cs="Times New Roman"/>
              <w:sz w:val="24"/>
              <w:szCs w:val="32"/>
            </w:rPr>
            <w:fldChar w:fldCharType="end"/>
          </w:r>
          <w:r>
            <w:rPr>
              <w:rFonts w:hint="eastAsia" w:ascii="宋体" w:hAnsi="宋体" w:eastAsia="宋体" w:cs="宋体"/>
              <w:sz w:val="24"/>
              <w:szCs w:val="32"/>
            </w:rPr>
            <w:fldChar w:fldCharType="end"/>
          </w:r>
        </w:p>
        <w:p w14:paraId="40F00FC2">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_Toc15486 </w:instrText>
          </w:r>
          <w:r>
            <w:rPr>
              <w:rFonts w:hint="eastAsia" w:ascii="宋体" w:hAnsi="宋体" w:eastAsia="宋体" w:cs="宋体"/>
              <w:sz w:val="24"/>
              <w:szCs w:val="32"/>
            </w:rPr>
            <w:fldChar w:fldCharType="separate"/>
          </w:r>
          <w:r>
            <w:rPr>
              <w:rFonts w:hint="eastAsia" w:ascii="宋体" w:hAnsi="宋体" w:eastAsia="宋体" w:cs="宋体"/>
              <w:sz w:val="24"/>
              <w:szCs w:val="40"/>
              <w:lang w:val="en-US" w:eastAsia="zh-CN"/>
            </w:rPr>
            <w:t>第三节  规划依据</w:t>
          </w:r>
          <w:r>
            <w:rPr>
              <w:rFonts w:hint="eastAsia" w:ascii="宋体" w:hAnsi="宋体" w:eastAsia="宋体" w:cs="宋体"/>
              <w:sz w:val="24"/>
              <w:szCs w:val="32"/>
            </w:rPr>
            <w:tab/>
          </w:r>
          <w:r>
            <w:rPr>
              <w:rFonts w:hint="eastAsia" w:ascii="Times New Roman" w:hAnsi="Times New Roman" w:eastAsia="宋体" w:cs="Times New Roman"/>
              <w:sz w:val="24"/>
              <w:szCs w:val="32"/>
            </w:rPr>
            <w:fldChar w:fldCharType="begin"/>
          </w:r>
          <w:r>
            <w:rPr>
              <w:rFonts w:hint="eastAsia" w:ascii="Times New Roman" w:hAnsi="Times New Roman" w:eastAsia="宋体" w:cs="Times New Roman"/>
              <w:sz w:val="24"/>
              <w:szCs w:val="32"/>
            </w:rPr>
            <w:instrText xml:space="preserve"> PAGEREF _Toc15486 \h </w:instrText>
          </w:r>
          <w:r>
            <w:rPr>
              <w:rFonts w:hint="eastAsia" w:ascii="Times New Roman" w:hAnsi="Times New Roman" w:eastAsia="宋体" w:cs="Times New Roman"/>
              <w:sz w:val="24"/>
              <w:szCs w:val="32"/>
            </w:rPr>
            <w:fldChar w:fldCharType="separate"/>
          </w:r>
          <w:r>
            <w:rPr>
              <w:rFonts w:hint="eastAsia" w:ascii="Times New Roman" w:hAnsi="Times New Roman" w:eastAsia="宋体" w:cs="Times New Roman"/>
              <w:sz w:val="24"/>
              <w:szCs w:val="32"/>
            </w:rPr>
            <w:t>2</w:t>
          </w:r>
          <w:r>
            <w:rPr>
              <w:rFonts w:hint="eastAsia" w:ascii="Times New Roman" w:hAnsi="Times New Roman" w:eastAsia="宋体" w:cs="Times New Roman"/>
              <w:sz w:val="24"/>
              <w:szCs w:val="32"/>
            </w:rPr>
            <w:fldChar w:fldCharType="end"/>
          </w:r>
          <w:r>
            <w:rPr>
              <w:rFonts w:hint="eastAsia" w:ascii="宋体" w:hAnsi="宋体" w:eastAsia="宋体" w:cs="宋体"/>
              <w:sz w:val="24"/>
              <w:szCs w:val="32"/>
            </w:rPr>
            <w:fldChar w:fldCharType="end"/>
          </w:r>
        </w:p>
        <w:p w14:paraId="3F5176DE">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_Toc1854 </w:instrText>
          </w:r>
          <w:r>
            <w:rPr>
              <w:rFonts w:hint="eastAsia" w:ascii="宋体" w:hAnsi="宋体" w:eastAsia="宋体" w:cs="宋体"/>
              <w:sz w:val="24"/>
              <w:szCs w:val="32"/>
            </w:rPr>
            <w:fldChar w:fldCharType="separate"/>
          </w:r>
          <w:r>
            <w:rPr>
              <w:rFonts w:hint="eastAsia" w:ascii="宋体" w:hAnsi="宋体" w:eastAsia="宋体" w:cs="宋体"/>
              <w:sz w:val="24"/>
              <w:szCs w:val="40"/>
              <w:lang w:val="en-US" w:eastAsia="zh-CN"/>
            </w:rPr>
            <w:t>第四节  规划目的</w:t>
          </w:r>
          <w:r>
            <w:rPr>
              <w:rFonts w:hint="eastAsia" w:ascii="宋体" w:hAnsi="宋体" w:eastAsia="宋体" w:cs="宋体"/>
              <w:sz w:val="24"/>
              <w:szCs w:val="32"/>
            </w:rPr>
            <w:tab/>
          </w:r>
          <w:r>
            <w:rPr>
              <w:rFonts w:hint="eastAsia" w:ascii="Times New Roman" w:hAnsi="Times New Roman" w:eastAsia="宋体" w:cs="Times New Roman"/>
              <w:sz w:val="24"/>
              <w:szCs w:val="32"/>
            </w:rPr>
            <w:fldChar w:fldCharType="begin"/>
          </w:r>
          <w:r>
            <w:rPr>
              <w:rFonts w:hint="eastAsia" w:ascii="Times New Roman" w:hAnsi="Times New Roman" w:eastAsia="宋体" w:cs="Times New Roman"/>
              <w:sz w:val="24"/>
              <w:szCs w:val="32"/>
            </w:rPr>
            <w:instrText xml:space="preserve"> PAGEREF _Toc1854 \h </w:instrText>
          </w:r>
          <w:r>
            <w:rPr>
              <w:rFonts w:hint="eastAsia" w:ascii="Times New Roman" w:hAnsi="Times New Roman" w:eastAsia="宋体" w:cs="Times New Roman"/>
              <w:sz w:val="24"/>
              <w:szCs w:val="32"/>
            </w:rPr>
            <w:fldChar w:fldCharType="separate"/>
          </w:r>
          <w:r>
            <w:rPr>
              <w:rFonts w:hint="eastAsia" w:ascii="Times New Roman" w:hAnsi="Times New Roman" w:eastAsia="宋体" w:cs="Times New Roman"/>
              <w:sz w:val="24"/>
              <w:szCs w:val="32"/>
            </w:rPr>
            <w:t>3</w:t>
          </w:r>
          <w:r>
            <w:rPr>
              <w:rFonts w:hint="eastAsia" w:ascii="Times New Roman" w:hAnsi="Times New Roman" w:eastAsia="宋体" w:cs="Times New Roman"/>
              <w:sz w:val="24"/>
              <w:szCs w:val="32"/>
            </w:rPr>
            <w:fldChar w:fldCharType="end"/>
          </w:r>
          <w:r>
            <w:rPr>
              <w:rFonts w:hint="eastAsia" w:ascii="宋体" w:hAnsi="宋体" w:eastAsia="宋体" w:cs="宋体"/>
              <w:sz w:val="24"/>
              <w:szCs w:val="32"/>
            </w:rPr>
            <w:fldChar w:fldCharType="end"/>
          </w:r>
        </w:p>
        <w:p w14:paraId="3EF3F3E3">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_Toc27057 </w:instrText>
          </w:r>
          <w:r>
            <w:rPr>
              <w:rFonts w:hint="eastAsia" w:ascii="宋体" w:hAnsi="宋体" w:eastAsia="宋体" w:cs="宋体"/>
              <w:sz w:val="24"/>
              <w:szCs w:val="32"/>
            </w:rPr>
            <w:fldChar w:fldCharType="separate"/>
          </w:r>
          <w:r>
            <w:rPr>
              <w:rFonts w:hint="eastAsia" w:ascii="宋体" w:hAnsi="宋体" w:eastAsia="宋体" w:cs="宋体"/>
              <w:sz w:val="24"/>
              <w:szCs w:val="40"/>
              <w:lang w:val="en-US" w:eastAsia="zh-CN"/>
            </w:rPr>
            <w:t>第五节  规划期限</w:t>
          </w:r>
          <w:r>
            <w:rPr>
              <w:rFonts w:hint="eastAsia" w:ascii="宋体" w:hAnsi="宋体" w:eastAsia="宋体" w:cs="宋体"/>
              <w:sz w:val="24"/>
              <w:szCs w:val="32"/>
            </w:rPr>
            <w:tab/>
          </w:r>
          <w:r>
            <w:rPr>
              <w:rFonts w:hint="eastAsia" w:ascii="Times New Roman" w:hAnsi="Times New Roman" w:eastAsia="宋体" w:cs="Times New Roman"/>
              <w:sz w:val="24"/>
              <w:szCs w:val="32"/>
            </w:rPr>
            <w:fldChar w:fldCharType="begin"/>
          </w:r>
          <w:r>
            <w:rPr>
              <w:rFonts w:hint="eastAsia" w:ascii="Times New Roman" w:hAnsi="Times New Roman" w:eastAsia="宋体" w:cs="Times New Roman"/>
              <w:sz w:val="24"/>
              <w:szCs w:val="32"/>
            </w:rPr>
            <w:instrText xml:space="preserve"> PAGEREF _Toc27057 \h </w:instrText>
          </w:r>
          <w:r>
            <w:rPr>
              <w:rFonts w:hint="eastAsia" w:ascii="Times New Roman" w:hAnsi="Times New Roman" w:eastAsia="宋体" w:cs="Times New Roman"/>
              <w:sz w:val="24"/>
              <w:szCs w:val="32"/>
            </w:rPr>
            <w:fldChar w:fldCharType="separate"/>
          </w:r>
          <w:r>
            <w:rPr>
              <w:rFonts w:hint="eastAsia" w:ascii="Times New Roman" w:hAnsi="Times New Roman" w:eastAsia="宋体" w:cs="Times New Roman"/>
              <w:sz w:val="24"/>
              <w:szCs w:val="32"/>
            </w:rPr>
            <w:t>3</w:t>
          </w:r>
          <w:r>
            <w:rPr>
              <w:rFonts w:hint="eastAsia" w:ascii="Times New Roman" w:hAnsi="Times New Roman" w:eastAsia="宋体" w:cs="Times New Roman"/>
              <w:sz w:val="24"/>
              <w:szCs w:val="32"/>
            </w:rPr>
            <w:fldChar w:fldCharType="end"/>
          </w:r>
          <w:r>
            <w:rPr>
              <w:rFonts w:hint="eastAsia" w:ascii="宋体" w:hAnsi="宋体" w:eastAsia="宋体" w:cs="宋体"/>
              <w:sz w:val="24"/>
              <w:szCs w:val="32"/>
            </w:rPr>
            <w:fldChar w:fldCharType="end"/>
          </w:r>
        </w:p>
        <w:p w14:paraId="4FEB07F1">
          <w:pPr>
            <w:pStyle w:val="7"/>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fldChar w:fldCharType="begin"/>
          </w:r>
          <w:r>
            <w:rPr>
              <w:rFonts w:hint="eastAsia" w:ascii="宋体" w:hAnsi="宋体" w:eastAsia="宋体" w:cs="宋体"/>
              <w:b/>
              <w:bCs/>
              <w:sz w:val="24"/>
              <w:szCs w:val="32"/>
            </w:rPr>
            <w:instrText xml:space="preserve"> HYPERLINK \l _Toc18992 </w:instrText>
          </w:r>
          <w:r>
            <w:rPr>
              <w:rFonts w:hint="eastAsia" w:ascii="宋体" w:hAnsi="宋体" w:eastAsia="宋体" w:cs="宋体"/>
              <w:b/>
              <w:bCs/>
              <w:sz w:val="24"/>
              <w:szCs w:val="32"/>
            </w:rPr>
            <w:fldChar w:fldCharType="separate"/>
          </w:r>
          <w:r>
            <w:rPr>
              <w:rFonts w:hint="default" w:ascii="宋体" w:hAnsi="宋体" w:eastAsia="宋体" w:cs="宋体"/>
              <w:b/>
              <w:bCs/>
              <w:sz w:val="24"/>
              <w:szCs w:val="32"/>
              <w:lang w:val="en-US" w:eastAsia="zh-CN"/>
            </w:rPr>
            <w:t>第二章  发展基础和面临形势</w:t>
          </w:r>
          <w:r>
            <w:rPr>
              <w:rFonts w:hint="eastAsia" w:ascii="宋体" w:hAnsi="宋体" w:eastAsia="宋体" w:cs="宋体"/>
              <w:b/>
              <w:bCs/>
              <w:sz w:val="24"/>
              <w:szCs w:val="32"/>
            </w:rPr>
            <w:tab/>
          </w:r>
          <w:r>
            <w:rPr>
              <w:rFonts w:hint="default" w:ascii="Times New Roman" w:hAnsi="Times New Roman" w:eastAsia="宋体" w:cs="Times New Roman"/>
              <w:b w:val="0"/>
              <w:bCs w:val="0"/>
              <w:sz w:val="24"/>
              <w:szCs w:val="32"/>
            </w:rPr>
            <w:fldChar w:fldCharType="begin"/>
          </w:r>
          <w:r>
            <w:rPr>
              <w:rFonts w:hint="default" w:ascii="Times New Roman" w:hAnsi="Times New Roman" w:eastAsia="宋体" w:cs="Times New Roman"/>
              <w:b w:val="0"/>
              <w:bCs w:val="0"/>
              <w:sz w:val="24"/>
              <w:szCs w:val="32"/>
            </w:rPr>
            <w:instrText xml:space="preserve"> PAGEREF _Toc18992 \h </w:instrText>
          </w:r>
          <w:r>
            <w:rPr>
              <w:rFonts w:hint="default" w:ascii="Times New Roman" w:hAnsi="Times New Roman" w:eastAsia="宋体" w:cs="Times New Roman"/>
              <w:b w:val="0"/>
              <w:bCs w:val="0"/>
              <w:sz w:val="24"/>
              <w:szCs w:val="32"/>
            </w:rPr>
            <w:fldChar w:fldCharType="separate"/>
          </w:r>
          <w:r>
            <w:rPr>
              <w:rFonts w:hint="default" w:ascii="Times New Roman" w:hAnsi="Times New Roman" w:eastAsia="宋体" w:cs="Times New Roman"/>
              <w:b w:val="0"/>
              <w:bCs w:val="0"/>
              <w:sz w:val="24"/>
              <w:szCs w:val="32"/>
            </w:rPr>
            <w:t>4</w:t>
          </w:r>
          <w:r>
            <w:rPr>
              <w:rFonts w:hint="default" w:ascii="Times New Roman" w:hAnsi="Times New Roman" w:eastAsia="宋体" w:cs="Times New Roman"/>
              <w:b w:val="0"/>
              <w:bCs w:val="0"/>
              <w:sz w:val="24"/>
              <w:szCs w:val="32"/>
            </w:rPr>
            <w:fldChar w:fldCharType="end"/>
          </w:r>
          <w:r>
            <w:rPr>
              <w:rFonts w:hint="eastAsia" w:ascii="宋体" w:hAnsi="宋体" w:eastAsia="宋体" w:cs="宋体"/>
              <w:b/>
              <w:bCs/>
              <w:sz w:val="24"/>
              <w:szCs w:val="32"/>
            </w:rPr>
            <w:fldChar w:fldCharType="end"/>
          </w:r>
        </w:p>
        <w:p w14:paraId="6CFAC4D4">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_Toc24929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第六</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“十三五”发展成绩</w:t>
          </w:r>
          <w:r>
            <w:rPr>
              <w:rFonts w:hint="eastAsia" w:ascii="宋体" w:hAnsi="宋体" w:eastAsia="宋体" w:cs="宋体"/>
              <w:sz w:val="24"/>
              <w:szCs w:val="32"/>
            </w:rPr>
            <w:tab/>
          </w:r>
          <w:r>
            <w:rPr>
              <w:rFonts w:hint="eastAsia" w:ascii="Times New Roman" w:hAnsi="Times New Roman" w:eastAsia="宋体" w:cs="Times New Roman"/>
              <w:sz w:val="24"/>
              <w:szCs w:val="32"/>
            </w:rPr>
            <w:fldChar w:fldCharType="begin"/>
          </w:r>
          <w:r>
            <w:rPr>
              <w:rFonts w:hint="eastAsia" w:ascii="Times New Roman" w:hAnsi="Times New Roman" w:eastAsia="宋体" w:cs="Times New Roman"/>
              <w:sz w:val="24"/>
              <w:szCs w:val="32"/>
            </w:rPr>
            <w:instrText xml:space="preserve"> PAGEREF _Toc24929 \h </w:instrText>
          </w:r>
          <w:r>
            <w:rPr>
              <w:rFonts w:hint="eastAsia" w:ascii="Times New Roman" w:hAnsi="Times New Roman" w:eastAsia="宋体" w:cs="Times New Roman"/>
              <w:sz w:val="24"/>
              <w:szCs w:val="32"/>
            </w:rPr>
            <w:fldChar w:fldCharType="separate"/>
          </w:r>
          <w:r>
            <w:rPr>
              <w:rFonts w:hint="eastAsia" w:ascii="Times New Roman" w:hAnsi="Times New Roman" w:eastAsia="宋体" w:cs="Times New Roman"/>
              <w:sz w:val="24"/>
              <w:szCs w:val="32"/>
            </w:rPr>
            <w:t>4</w:t>
          </w:r>
          <w:r>
            <w:rPr>
              <w:rFonts w:hint="eastAsia" w:ascii="Times New Roman" w:hAnsi="Times New Roman" w:eastAsia="宋体" w:cs="Times New Roman"/>
              <w:sz w:val="24"/>
              <w:szCs w:val="32"/>
            </w:rPr>
            <w:fldChar w:fldCharType="end"/>
          </w:r>
          <w:r>
            <w:rPr>
              <w:rFonts w:hint="eastAsia" w:ascii="宋体" w:hAnsi="宋体" w:eastAsia="宋体" w:cs="宋体"/>
              <w:sz w:val="24"/>
              <w:szCs w:val="32"/>
            </w:rPr>
            <w:fldChar w:fldCharType="end"/>
          </w:r>
        </w:p>
        <w:p w14:paraId="23C9626D">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_Toc16694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第七</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“十四五”宏观环境和发展趋势</w:t>
          </w:r>
          <w:r>
            <w:rPr>
              <w:rFonts w:hint="eastAsia" w:ascii="宋体" w:hAnsi="宋体" w:eastAsia="宋体" w:cs="宋体"/>
              <w:sz w:val="24"/>
              <w:szCs w:val="32"/>
            </w:rPr>
            <w:tab/>
          </w:r>
          <w:r>
            <w:rPr>
              <w:rFonts w:hint="eastAsia" w:ascii="Times New Roman" w:hAnsi="Times New Roman" w:eastAsia="宋体" w:cs="Times New Roman"/>
              <w:sz w:val="24"/>
              <w:szCs w:val="32"/>
            </w:rPr>
            <w:fldChar w:fldCharType="begin"/>
          </w:r>
          <w:r>
            <w:rPr>
              <w:rFonts w:hint="eastAsia" w:ascii="Times New Roman" w:hAnsi="Times New Roman" w:eastAsia="宋体" w:cs="Times New Roman"/>
              <w:sz w:val="24"/>
              <w:szCs w:val="32"/>
            </w:rPr>
            <w:instrText xml:space="preserve"> PAGEREF _Toc16694 \h </w:instrText>
          </w:r>
          <w:r>
            <w:rPr>
              <w:rFonts w:hint="eastAsia" w:ascii="Times New Roman" w:hAnsi="Times New Roman" w:eastAsia="宋体" w:cs="Times New Roman"/>
              <w:sz w:val="24"/>
              <w:szCs w:val="32"/>
            </w:rPr>
            <w:fldChar w:fldCharType="separate"/>
          </w:r>
          <w:r>
            <w:rPr>
              <w:rFonts w:hint="eastAsia" w:ascii="Times New Roman" w:hAnsi="Times New Roman" w:eastAsia="宋体" w:cs="Times New Roman"/>
              <w:sz w:val="24"/>
              <w:szCs w:val="32"/>
            </w:rPr>
            <w:t>12</w:t>
          </w:r>
          <w:r>
            <w:rPr>
              <w:rFonts w:hint="eastAsia" w:ascii="Times New Roman" w:hAnsi="Times New Roman" w:eastAsia="宋体" w:cs="Times New Roman"/>
              <w:sz w:val="24"/>
              <w:szCs w:val="32"/>
            </w:rPr>
            <w:fldChar w:fldCharType="end"/>
          </w:r>
          <w:r>
            <w:rPr>
              <w:rFonts w:hint="eastAsia" w:ascii="宋体" w:hAnsi="宋体" w:eastAsia="宋体" w:cs="宋体"/>
              <w:sz w:val="24"/>
              <w:szCs w:val="32"/>
            </w:rPr>
            <w:fldChar w:fldCharType="end"/>
          </w:r>
        </w:p>
        <w:p w14:paraId="2A79B2EC">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_Toc812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第八</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“十四五”面临的机遇挑战</w:t>
          </w:r>
          <w:r>
            <w:rPr>
              <w:rFonts w:hint="eastAsia" w:ascii="宋体" w:hAnsi="宋体" w:eastAsia="宋体" w:cs="宋体"/>
              <w:sz w:val="24"/>
              <w:szCs w:val="32"/>
            </w:rPr>
            <w:tab/>
          </w:r>
          <w:r>
            <w:rPr>
              <w:rFonts w:hint="eastAsia" w:ascii="Times New Roman" w:hAnsi="Times New Roman" w:eastAsia="宋体" w:cs="Times New Roman"/>
              <w:sz w:val="24"/>
              <w:szCs w:val="32"/>
            </w:rPr>
            <w:fldChar w:fldCharType="begin"/>
          </w:r>
          <w:r>
            <w:rPr>
              <w:rFonts w:hint="eastAsia" w:ascii="Times New Roman" w:hAnsi="Times New Roman" w:eastAsia="宋体" w:cs="Times New Roman"/>
              <w:sz w:val="24"/>
              <w:szCs w:val="32"/>
            </w:rPr>
            <w:instrText xml:space="preserve"> PAGEREF _Toc812 \h </w:instrText>
          </w:r>
          <w:r>
            <w:rPr>
              <w:rFonts w:hint="eastAsia" w:ascii="Times New Roman" w:hAnsi="Times New Roman" w:eastAsia="宋体" w:cs="Times New Roman"/>
              <w:sz w:val="24"/>
              <w:szCs w:val="32"/>
            </w:rPr>
            <w:fldChar w:fldCharType="separate"/>
          </w:r>
          <w:r>
            <w:rPr>
              <w:rFonts w:hint="eastAsia" w:ascii="Times New Roman" w:hAnsi="Times New Roman" w:eastAsia="宋体" w:cs="Times New Roman"/>
              <w:sz w:val="24"/>
              <w:szCs w:val="32"/>
            </w:rPr>
            <w:t>13</w:t>
          </w:r>
          <w:r>
            <w:rPr>
              <w:rFonts w:hint="eastAsia" w:ascii="Times New Roman" w:hAnsi="Times New Roman" w:eastAsia="宋体" w:cs="Times New Roman"/>
              <w:sz w:val="24"/>
              <w:szCs w:val="32"/>
            </w:rPr>
            <w:fldChar w:fldCharType="end"/>
          </w:r>
          <w:r>
            <w:rPr>
              <w:rFonts w:hint="eastAsia" w:ascii="宋体" w:hAnsi="宋体" w:eastAsia="宋体" w:cs="宋体"/>
              <w:sz w:val="24"/>
              <w:szCs w:val="32"/>
            </w:rPr>
            <w:fldChar w:fldCharType="end"/>
          </w:r>
        </w:p>
        <w:p w14:paraId="210BECF7">
          <w:pPr>
            <w:pStyle w:val="7"/>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fldChar w:fldCharType="begin"/>
          </w:r>
          <w:r>
            <w:rPr>
              <w:rFonts w:hint="eastAsia" w:ascii="宋体" w:hAnsi="宋体" w:eastAsia="宋体" w:cs="宋体"/>
              <w:b/>
              <w:bCs/>
              <w:sz w:val="24"/>
              <w:szCs w:val="32"/>
            </w:rPr>
            <w:instrText xml:space="preserve"> HYPERLINK \l _Toc25562 </w:instrText>
          </w:r>
          <w:r>
            <w:rPr>
              <w:rFonts w:hint="eastAsia" w:ascii="宋体" w:hAnsi="宋体" w:eastAsia="宋体" w:cs="宋体"/>
              <w:b/>
              <w:bCs/>
              <w:sz w:val="24"/>
              <w:szCs w:val="32"/>
            </w:rPr>
            <w:fldChar w:fldCharType="separate"/>
          </w:r>
          <w:r>
            <w:rPr>
              <w:rFonts w:hint="default" w:ascii="宋体" w:hAnsi="宋体" w:eastAsia="宋体" w:cs="宋体"/>
              <w:b/>
              <w:bCs/>
              <w:sz w:val="24"/>
              <w:szCs w:val="32"/>
              <w:lang w:val="en-US" w:eastAsia="zh-CN"/>
            </w:rPr>
            <w:t>第三章  总体思路和总则目标</w:t>
          </w:r>
          <w:r>
            <w:rPr>
              <w:rFonts w:hint="eastAsia" w:ascii="宋体" w:hAnsi="宋体" w:eastAsia="宋体" w:cs="宋体"/>
              <w:b/>
              <w:bCs/>
              <w:sz w:val="24"/>
              <w:szCs w:val="32"/>
            </w:rPr>
            <w:tab/>
          </w:r>
          <w:r>
            <w:rPr>
              <w:rFonts w:hint="default" w:ascii="Times New Roman" w:hAnsi="Times New Roman" w:eastAsia="宋体" w:cs="Times New Roman"/>
              <w:kern w:val="2"/>
              <w:sz w:val="24"/>
              <w:szCs w:val="32"/>
              <w:lang w:val="en-US" w:eastAsia="zh-CN" w:bidi="ar-SA"/>
            </w:rPr>
            <w:fldChar w:fldCharType="begin"/>
          </w:r>
          <w:r>
            <w:rPr>
              <w:rFonts w:hint="default" w:ascii="Times New Roman" w:hAnsi="Times New Roman" w:eastAsia="宋体" w:cs="Times New Roman"/>
              <w:kern w:val="2"/>
              <w:sz w:val="24"/>
              <w:szCs w:val="32"/>
              <w:lang w:val="en-US" w:eastAsia="zh-CN" w:bidi="ar-SA"/>
            </w:rPr>
            <w:instrText xml:space="preserve"> PAGEREF _Toc25562 \h </w:instrText>
          </w:r>
          <w:r>
            <w:rPr>
              <w:rFonts w:hint="default" w:ascii="Times New Roman" w:hAnsi="Times New Roman" w:eastAsia="宋体" w:cs="Times New Roman"/>
              <w:kern w:val="2"/>
              <w:sz w:val="24"/>
              <w:szCs w:val="32"/>
              <w:lang w:val="en-US" w:eastAsia="zh-CN" w:bidi="ar-SA"/>
            </w:rPr>
            <w:fldChar w:fldCharType="separate"/>
          </w:r>
          <w:r>
            <w:rPr>
              <w:rFonts w:hint="default" w:ascii="Times New Roman" w:hAnsi="Times New Roman" w:eastAsia="宋体" w:cs="Times New Roman"/>
              <w:kern w:val="2"/>
              <w:sz w:val="24"/>
              <w:szCs w:val="32"/>
              <w:lang w:val="en-US" w:eastAsia="zh-CN" w:bidi="ar-SA"/>
            </w:rPr>
            <w:t>15</w:t>
          </w:r>
          <w:r>
            <w:rPr>
              <w:rFonts w:hint="default" w:ascii="Times New Roman" w:hAnsi="Times New Roman" w:eastAsia="宋体" w:cs="Times New Roman"/>
              <w:kern w:val="2"/>
              <w:sz w:val="24"/>
              <w:szCs w:val="32"/>
              <w:lang w:val="en-US" w:eastAsia="zh-CN" w:bidi="ar-SA"/>
            </w:rPr>
            <w:fldChar w:fldCharType="end"/>
          </w:r>
          <w:r>
            <w:rPr>
              <w:rFonts w:hint="eastAsia" w:ascii="宋体" w:hAnsi="宋体" w:eastAsia="宋体" w:cs="宋体"/>
              <w:b/>
              <w:bCs/>
              <w:sz w:val="24"/>
              <w:szCs w:val="32"/>
            </w:rPr>
            <w:fldChar w:fldCharType="end"/>
          </w:r>
        </w:p>
        <w:p w14:paraId="7103812F">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_Toc11605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第九</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指导思想</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_Toc11605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15</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048BD15A">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_Toc12481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基本原则</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_Toc12481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15</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1A0260E9">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_Toc24467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第十一</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发展目标</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_Toc24467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16</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34C823F4">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_Toc24013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第十二</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主要指标</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_Toc24013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18</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50FF31D0">
          <w:pPr>
            <w:pStyle w:val="7"/>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fldChar w:fldCharType="begin"/>
          </w:r>
          <w:r>
            <w:rPr>
              <w:rFonts w:hint="eastAsia" w:ascii="宋体" w:hAnsi="宋体" w:eastAsia="宋体" w:cs="宋体"/>
              <w:b/>
              <w:bCs/>
              <w:sz w:val="24"/>
              <w:szCs w:val="32"/>
            </w:rPr>
            <w:instrText xml:space="preserve"> HYPERLINK \l _Toc24889 </w:instrText>
          </w:r>
          <w:r>
            <w:rPr>
              <w:rFonts w:hint="eastAsia" w:ascii="宋体" w:hAnsi="宋体" w:eastAsia="宋体" w:cs="宋体"/>
              <w:b/>
              <w:bCs/>
              <w:sz w:val="24"/>
              <w:szCs w:val="32"/>
            </w:rPr>
            <w:fldChar w:fldCharType="separate"/>
          </w:r>
          <w:r>
            <w:rPr>
              <w:rFonts w:hint="default" w:ascii="宋体" w:hAnsi="宋体" w:eastAsia="宋体" w:cs="宋体"/>
              <w:b/>
              <w:bCs/>
              <w:sz w:val="24"/>
              <w:szCs w:val="32"/>
              <w:lang w:val="en-US" w:eastAsia="zh-CN"/>
            </w:rPr>
            <w:t>第四章  发展重点和主要任务</w:t>
          </w:r>
          <w:r>
            <w:rPr>
              <w:rFonts w:hint="eastAsia" w:ascii="宋体" w:hAnsi="宋体" w:eastAsia="宋体" w:cs="宋体"/>
              <w:b/>
              <w:bCs/>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_Toc24889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20</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b/>
              <w:bCs/>
              <w:sz w:val="24"/>
              <w:szCs w:val="32"/>
            </w:rPr>
            <w:fldChar w:fldCharType="end"/>
          </w:r>
        </w:p>
        <w:p w14:paraId="2DDC7F42">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_Toc16917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第十三</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医疗卫生体系规划</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_Toc16917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20</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004A051A">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_Toc28113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第十四</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公共卫生体系规划</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_Toc28113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22</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6D29AB97">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_Toc4256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第十五</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人才队伍建设</w:t>
          </w:r>
          <w:r>
            <w:rPr>
              <w:rFonts w:hint="eastAsia" w:ascii="宋体" w:hAnsi="宋体" w:eastAsia="宋体" w:cs="宋体"/>
              <w:sz w:val="24"/>
              <w:szCs w:val="32"/>
              <w:lang w:val="en-US" w:eastAsia="zh-CN"/>
            </w:rPr>
            <w:t>规划</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_Toc4256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23</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25A9E4D6">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_Toc17247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第十六</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家庭发展支持体系</w:t>
          </w:r>
          <w:r>
            <w:rPr>
              <w:rFonts w:hint="eastAsia" w:ascii="宋体" w:hAnsi="宋体" w:eastAsia="宋体" w:cs="宋体"/>
              <w:sz w:val="24"/>
              <w:szCs w:val="32"/>
              <w:lang w:val="en-US" w:eastAsia="zh-CN"/>
            </w:rPr>
            <w:t>规划</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_Toc17247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23</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270CBC64">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_Toc29199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第十七</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健康城市建设</w:t>
          </w:r>
          <w:r>
            <w:rPr>
              <w:rFonts w:hint="eastAsia" w:ascii="宋体" w:hAnsi="宋体" w:eastAsia="宋体" w:cs="宋体"/>
              <w:sz w:val="24"/>
              <w:szCs w:val="32"/>
              <w:lang w:val="en-US" w:eastAsia="zh-CN"/>
            </w:rPr>
            <w:t>规划</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_Toc29199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23</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23FC25B3">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_Toc2020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第十八</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现代卫生监管体系</w:t>
          </w:r>
          <w:r>
            <w:rPr>
              <w:rFonts w:hint="eastAsia" w:ascii="宋体" w:hAnsi="宋体" w:eastAsia="宋体" w:cs="宋体"/>
              <w:sz w:val="24"/>
              <w:szCs w:val="32"/>
              <w:lang w:val="en-US" w:eastAsia="zh-CN"/>
            </w:rPr>
            <w:t>规划</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_Toc2020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24</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5E852A6D">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_Toc15523 </w:instrText>
          </w:r>
          <w:r>
            <w:rPr>
              <w:rFonts w:hint="eastAsia" w:ascii="宋体" w:hAnsi="宋体" w:eastAsia="宋体" w:cs="宋体"/>
              <w:sz w:val="24"/>
              <w:szCs w:val="32"/>
            </w:rPr>
            <w:fldChar w:fldCharType="separate"/>
          </w:r>
          <w:r>
            <w:rPr>
              <w:rFonts w:hint="default" w:ascii="宋体" w:hAnsi="宋体" w:eastAsia="宋体" w:cs="宋体"/>
              <w:sz w:val="24"/>
              <w:szCs w:val="32"/>
              <w:lang w:val="en-US" w:eastAsia="zh-CN"/>
            </w:rPr>
            <w:t>第十九</w:t>
          </w:r>
          <w:r>
            <w:rPr>
              <w:rFonts w:hint="eastAsia" w:ascii="宋体" w:hAnsi="宋体" w:eastAsia="宋体" w:cs="宋体"/>
              <w:sz w:val="24"/>
              <w:szCs w:val="32"/>
              <w:lang w:val="en-US" w:eastAsia="zh-CN"/>
            </w:rPr>
            <w:t>节</w:t>
          </w:r>
          <w:r>
            <w:rPr>
              <w:rFonts w:hint="default" w:ascii="宋体" w:hAnsi="宋体" w:eastAsia="宋体" w:cs="宋体"/>
              <w:sz w:val="24"/>
              <w:szCs w:val="32"/>
              <w:lang w:val="en-US" w:eastAsia="zh-CN"/>
            </w:rPr>
            <w:t xml:space="preserve">  重大工程</w:t>
          </w:r>
          <w:r>
            <w:rPr>
              <w:rFonts w:hint="eastAsia" w:ascii="宋体" w:hAnsi="宋体" w:eastAsia="宋体" w:cs="宋体"/>
              <w:sz w:val="24"/>
              <w:szCs w:val="32"/>
              <w:lang w:val="en-US" w:eastAsia="zh-CN"/>
            </w:rPr>
            <w:t>建设</w:t>
          </w:r>
          <w:r>
            <w:rPr>
              <w:rFonts w:hint="default" w:ascii="宋体" w:hAnsi="宋体" w:eastAsia="宋体" w:cs="宋体"/>
              <w:sz w:val="24"/>
              <w:szCs w:val="32"/>
              <w:lang w:val="en-US" w:eastAsia="zh-CN"/>
            </w:rPr>
            <w:t>项目</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_Toc15523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25</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7AD4A480">
          <w:pPr>
            <w:pStyle w:val="7"/>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fldChar w:fldCharType="begin"/>
          </w:r>
          <w:r>
            <w:rPr>
              <w:rFonts w:hint="eastAsia" w:ascii="宋体" w:hAnsi="宋体" w:eastAsia="宋体" w:cs="宋体"/>
              <w:b/>
              <w:bCs/>
              <w:sz w:val="24"/>
              <w:szCs w:val="32"/>
            </w:rPr>
            <w:instrText xml:space="preserve"> HYPERLINK \l _Toc26592 </w:instrText>
          </w:r>
          <w:r>
            <w:rPr>
              <w:rFonts w:hint="eastAsia" w:ascii="宋体" w:hAnsi="宋体" w:eastAsia="宋体" w:cs="宋体"/>
              <w:b/>
              <w:bCs/>
              <w:sz w:val="24"/>
              <w:szCs w:val="32"/>
            </w:rPr>
            <w:fldChar w:fldCharType="separate"/>
          </w:r>
          <w:r>
            <w:rPr>
              <w:rFonts w:hint="eastAsia" w:ascii="宋体" w:hAnsi="宋体" w:eastAsia="宋体" w:cs="宋体"/>
              <w:b/>
              <w:bCs/>
              <w:sz w:val="24"/>
              <w:szCs w:val="32"/>
              <w:lang w:val="en-US" w:eastAsia="zh-CN"/>
            </w:rPr>
            <w:t>第五章  规划实施措施</w:t>
          </w:r>
          <w:r>
            <w:rPr>
              <w:rFonts w:hint="eastAsia" w:ascii="宋体" w:hAnsi="宋体" w:eastAsia="宋体" w:cs="宋体"/>
              <w:b/>
              <w:bCs/>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_Toc26592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27</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b/>
              <w:bCs/>
              <w:sz w:val="24"/>
              <w:szCs w:val="32"/>
            </w:rPr>
            <w:fldChar w:fldCharType="end"/>
          </w:r>
        </w:p>
        <w:p w14:paraId="7F84D6AA">
          <w:pPr>
            <w:pStyle w:val="9"/>
            <w:keepNext w:val="0"/>
            <w:keepLines w:val="0"/>
            <w:pageBreakBefore w:val="0"/>
            <w:widowControl w:val="0"/>
            <w:tabs>
              <w:tab w:val="right" w:leader="dot" w:pos="8845"/>
            </w:tabs>
            <w:kinsoku/>
            <w:wordWrap/>
            <w:overflowPunct/>
            <w:topLinePunct w:val="0"/>
            <w:autoSpaceDE/>
            <w:autoSpaceDN/>
            <w:bidi w:val="0"/>
            <w:adjustRightInd w:val="0"/>
            <w:snapToGrid w:val="0"/>
            <w:spacing w:line="460" w:lineRule="exact"/>
            <w:ind w:firstLine="480" w:firstLineChars="200"/>
            <w:textAlignment w:val="auto"/>
          </w:pP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\l _Toc17713 </w:instrText>
          </w:r>
          <w:r>
            <w:rPr>
              <w:rFonts w:hint="eastAsia" w:ascii="宋体" w:hAnsi="宋体" w:eastAsia="宋体" w:cs="宋体"/>
              <w:sz w:val="24"/>
              <w:szCs w:val="32"/>
            </w:rPr>
            <w:fldChar w:fldCharType="separate"/>
          </w:r>
          <w:r>
            <w:rPr>
              <w:rFonts w:hint="eastAsia" w:ascii="宋体" w:hAnsi="宋体" w:eastAsia="宋体" w:cs="宋体"/>
              <w:sz w:val="24"/>
              <w:szCs w:val="32"/>
              <w:lang w:val="en-US" w:eastAsia="zh-CN"/>
            </w:rPr>
            <w:t>第二十节  规划实施保障</w:t>
          </w:r>
          <w:r>
            <w:rPr>
              <w:rFonts w:hint="eastAsia" w:ascii="宋体" w:hAnsi="宋体" w:eastAsia="宋体" w:cs="宋体"/>
              <w:sz w:val="24"/>
              <w:szCs w:val="32"/>
            </w:rPr>
            <w:tab/>
          </w:r>
          <w:r>
            <w:rPr>
              <w:rFonts w:hint="eastAsia" w:ascii="Times New Roman" w:hAnsi="Times New Roman" w:eastAsia="宋体" w:cs="Times New Roman"/>
              <w:kern w:val="2"/>
              <w:sz w:val="24"/>
              <w:szCs w:val="32"/>
              <w:lang w:val="en-US" w:eastAsia="zh-CN" w:bidi="ar-SA"/>
            </w:rPr>
            <w:fldChar w:fldCharType="begin"/>
          </w:r>
          <w:r>
            <w:rPr>
              <w:rFonts w:hint="eastAsia" w:ascii="Times New Roman" w:hAnsi="Times New Roman" w:eastAsia="宋体" w:cs="Times New Roman"/>
              <w:kern w:val="2"/>
              <w:sz w:val="24"/>
              <w:szCs w:val="32"/>
              <w:lang w:val="en-US" w:eastAsia="zh-CN" w:bidi="ar-SA"/>
            </w:rPr>
            <w:instrText xml:space="preserve"> PAGEREF _Toc17713 \h </w:instrText>
          </w:r>
          <w:r>
            <w:rPr>
              <w:rFonts w:hint="eastAsia" w:ascii="Times New Roman" w:hAnsi="Times New Roman" w:eastAsia="宋体" w:cs="Times New Roman"/>
              <w:kern w:val="2"/>
              <w:sz w:val="24"/>
              <w:szCs w:val="32"/>
              <w:lang w:val="en-US" w:eastAsia="zh-CN" w:bidi="ar-SA"/>
            </w:rPr>
            <w:fldChar w:fldCharType="separate"/>
          </w:r>
          <w:r>
            <w:rPr>
              <w:rFonts w:hint="eastAsia" w:ascii="Times New Roman" w:hAnsi="Times New Roman" w:eastAsia="宋体" w:cs="Times New Roman"/>
              <w:kern w:val="2"/>
              <w:sz w:val="24"/>
              <w:szCs w:val="32"/>
              <w:lang w:val="en-US" w:eastAsia="zh-CN" w:bidi="ar-SA"/>
            </w:rPr>
            <w:t>27</w:t>
          </w:r>
          <w:r>
            <w:rPr>
              <w:rFonts w:hint="eastAsia" w:ascii="Times New Roman" w:hAnsi="Times New Roman" w:eastAsia="宋体" w:cs="Times New Roman"/>
              <w:kern w:val="2"/>
              <w:sz w:val="24"/>
              <w:szCs w:val="32"/>
              <w:lang w:val="en-US" w:eastAsia="zh-CN" w:bidi="ar-SA"/>
            </w:rPr>
            <w:fldChar w:fldCharType="end"/>
          </w:r>
          <w:r>
            <w:rPr>
              <w:rFonts w:hint="eastAsia" w:ascii="宋体" w:hAnsi="宋体" w:eastAsia="宋体" w:cs="宋体"/>
              <w:sz w:val="24"/>
              <w:szCs w:val="32"/>
            </w:rPr>
            <w:fldChar w:fldCharType="end"/>
          </w:r>
        </w:p>
        <w:p w14:paraId="34816DE7">
          <w:pPr>
            <w:keepNext w:val="0"/>
            <w:keepLines w:val="0"/>
            <w:pageBreakBefore w:val="0"/>
            <w:widowControl w:val="0"/>
            <w:kinsoku/>
            <w:wordWrap/>
            <w:overflowPunct/>
            <w:topLinePunct w:val="0"/>
            <w:autoSpaceDE/>
            <w:autoSpaceDN/>
            <w:bidi w:val="0"/>
            <w:adjustRightInd w:val="0"/>
            <w:snapToGrid w:val="0"/>
            <w:spacing w:line="460" w:lineRule="exact"/>
            <w:textAlignment w:val="auto"/>
          </w:pPr>
          <w:r>
            <w:fldChar w:fldCharType="end"/>
          </w:r>
        </w:p>
      </w:sdtContent>
    </w:sdt>
    <w:p w14:paraId="74E3E91D">
      <w:pPr>
        <w:rPr>
          <w:rFonts w:hint="default" w:ascii="Times New Roman" w:hAnsi="Times New Roman" w:eastAsia="方正宋黑_GBK" w:cs="Times New Roman"/>
          <w:sz w:val="32"/>
          <w:szCs w:val="32"/>
          <w:lang w:val="en-US" w:eastAsia="zh-CN"/>
        </w:rPr>
      </w:pPr>
      <w:r>
        <w:rPr>
          <w:rFonts w:hint="default" w:ascii="Times New Roman" w:hAnsi="Times New Roman" w:eastAsia="方正宋黑_GBK" w:cs="Times New Roman"/>
          <w:sz w:val="32"/>
          <w:szCs w:val="32"/>
          <w:lang w:val="en-US" w:eastAsia="zh-CN"/>
        </w:rPr>
        <w:br w:type="page"/>
      </w:r>
    </w:p>
    <w:p w14:paraId="3D8594E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黑体" w:hAnsi="黑体" w:eastAsia="黑体" w:cs="黑体"/>
          <w:sz w:val="32"/>
          <w:szCs w:val="32"/>
          <w:lang w:val="en-US" w:eastAsia="zh-CN"/>
        </w:rPr>
      </w:pPr>
      <w:bookmarkStart w:id="0" w:name="_Toc32129"/>
      <w:r>
        <w:rPr>
          <w:rFonts w:hint="eastAsia" w:ascii="黑体" w:hAnsi="黑体" w:eastAsia="黑体" w:cs="黑体"/>
          <w:sz w:val="32"/>
          <w:szCs w:val="32"/>
          <w:lang w:val="en-US" w:eastAsia="zh-CN"/>
        </w:rPr>
        <w:t>第一章  总  则</w:t>
      </w:r>
      <w:bookmarkEnd w:id="0"/>
    </w:p>
    <w:p w14:paraId="135BF2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楷体" w:hAnsi="楷体" w:eastAsia="楷体" w:cs="楷体"/>
          <w:sz w:val="32"/>
          <w:szCs w:val="32"/>
          <w:lang w:val="en-US" w:eastAsia="zh-CN"/>
        </w:rPr>
      </w:pPr>
      <w:bookmarkStart w:id="1" w:name="_Toc31901"/>
      <w:r>
        <w:rPr>
          <w:rFonts w:hint="eastAsia" w:ascii="楷体" w:hAnsi="楷体" w:eastAsia="楷体" w:cs="楷体"/>
          <w:sz w:val="32"/>
          <w:szCs w:val="32"/>
          <w:lang w:val="en-US" w:eastAsia="zh-CN"/>
        </w:rPr>
        <w:t>第一节  前  言</w:t>
      </w:r>
      <w:bookmarkEnd w:id="1"/>
    </w:p>
    <w:p w14:paraId="2101DC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仿宋" w:cs="Times New Roman"/>
          <w:b w:val="0"/>
          <w:bCs/>
          <w:color w:val="auto"/>
          <w:sz w:val="32"/>
          <w:szCs w:val="32"/>
          <w:highlight w:val="none"/>
          <w:lang w:val="en-US" w:eastAsia="zh-CN"/>
        </w:rPr>
        <w:t>1.为深入贯彻党的十九大和十九届二中、三中、四中、五中全会精神，全面</w:t>
      </w:r>
      <w:r>
        <w:rPr>
          <w:rFonts w:hint="eastAsia" w:ascii="Times New Roman" w:hAnsi="Times New Roman" w:eastAsia="仿宋" w:cs="Times New Roman"/>
          <w:b w:val="0"/>
          <w:bCs/>
          <w:color w:val="auto"/>
          <w:sz w:val="32"/>
          <w:szCs w:val="32"/>
          <w:highlight w:val="none"/>
          <w:lang w:val="en-US" w:eastAsia="zh-CN"/>
        </w:rPr>
        <w:t>贯彻</w:t>
      </w:r>
      <w:r>
        <w:rPr>
          <w:rFonts w:hint="default" w:ascii="Times New Roman" w:hAnsi="Times New Roman" w:eastAsia="仿宋" w:cs="Times New Roman"/>
          <w:b w:val="0"/>
          <w:bCs/>
          <w:color w:val="auto"/>
          <w:sz w:val="32"/>
          <w:szCs w:val="32"/>
          <w:highlight w:val="none"/>
          <w:lang w:val="en-US" w:eastAsia="zh-CN"/>
        </w:rPr>
        <w:t>落实</w:t>
      </w:r>
      <w:bookmarkStart w:id="25" w:name="_GoBack"/>
      <w:bookmarkEnd w:id="25"/>
      <w:r>
        <w:rPr>
          <w:rFonts w:hint="default" w:ascii="Times New Roman" w:hAnsi="Times New Roman" w:eastAsia="仿宋" w:cs="Times New Roman"/>
          <w:b w:val="0"/>
          <w:bCs/>
          <w:color w:val="auto"/>
          <w:sz w:val="32"/>
          <w:szCs w:val="32"/>
          <w:highlight w:val="none"/>
          <w:lang w:val="en-US" w:eastAsia="zh-CN"/>
        </w:rPr>
        <w:t>习近平新时代中国特色社会主义思想特别是习近平总书记对江苏工作重要讲话指示精神，深入践行“争当表率、争做示范、走在前列”新使命新要求，全面开启建设社会主义现代化新征程、奋力谱写“强富美高”新篇章的关键阶段。根据《中共中央关于制定国民经济和社会发展第十四个五年规划和二〇三五年远景目标的建议》、《中共江苏省委关于制定江苏省国民经济和社会发展第十四个五年规划和二〇三五年远景目标的建议》、《江苏省国民经济和社会发展第十四个五年规划和二〇三五年远景目标纲要》以及《连云港市国民经济和社会发展第十四个五年规划纲要和二〇三五年远景目标》，连云区卫生健康委员会牢固树立“大卫生、大健康”理念，坚持把人民健康放在优先发展的战略位置，坚持“四个全面”战略布局，坚持稳中求进工作总基调，着力推进医疗卫生体制改革，优化配置医疗卫生资源，加强公共卫生应急能力建设，深入推进“健康城市”建设，不断提高卫生健康服务水平。</w:t>
      </w:r>
    </w:p>
    <w:p w14:paraId="373656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2" w:name="_Toc2068"/>
      <w:r>
        <w:rPr>
          <w:rFonts w:hint="default" w:ascii="楷体" w:hAnsi="楷体" w:eastAsia="楷体" w:cs="楷体"/>
          <w:sz w:val="32"/>
          <w:szCs w:val="32"/>
          <w:lang w:val="en-US" w:eastAsia="zh-CN"/>
        </w:rPr>
        <w:t>第二</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规划领域</w:t>
      </w:r>
      <w:bookmarkEnd w:id="2"/>
    </w:p>
    <w:p w14:paraId="426390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w:t>
      </w:r>
      <w:r>
        <w:rPr>
          <w:rFonts w:hint="default" w:ascii="仿宋_GB2312" w:hAnsi="仿宋_GB2312" w:eastAsia="仿宋_GB2312" w:cs="仿宋_GB2312"/>
          <w:b w:val="0"/>
          <w:bCs/>
          <w:color w:val="auto"/>
          <w:sz w:val="32"/>
          <w:szCs w:val="32"/>
          <w:highlight w:val="none"/>
          <w:lang w:val="en-US" w:eastAsia="zh-CN"/>
        </w:rPr>
        <w:t>本次规划的医疗卫生专项领域包含医疗体系和公共卫生体系。本次规划按医疗体系和公共卫生体系的架构进行布局。</w:t>
      </w:r>
    </w:p>
    <w:p w14:paraId="2CCE99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3" w:name="_Toc15486"/>
      <w:r>
        <w:rPr>
          <w:rFonts w:hint="default" w:ascii="楷体" w:hAnsi="楷体" w:eastAsia="楷体" w:cs="楷体"/>
          <w:sz w:val="32"/>
          <w:szCs w:val="32"/>
          <w:lang w:val="en-US" w:eastAsia="zh-CN"/>
        </w:rPr>
        <w:t>第三</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规划依据</w:t>
      </w:r>
      <w:bookmarkEnd w:id="3"/>
    </w:p>
    <w:p w14:paraId="40FA34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根据《中共中央关于制定国民经济和社会发展第十四个五年规划和二〇三五年远景目标的建议》、《中共江苏省委关于制定江苏省国民经济和社会发展第十四个五年规划和二〇三五年远景目标的建议》、《江苏省国民经济和社会发展第十四个五年规划和二〇三五年远景目标纲要》以及《连云港市国民经济和社会发展第十四个五年规划纲要和二〇三五年远景目标》。</w:t>
      </w:r>
    </w:p>
    <w:p w14:paraId="20DF97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4" w:name="_Toc1854"/>
      <w:r>
        <w:rPr>
          <w:rFonts w:hint="default" w:ascii="楷体" w:hAnsi="楷体" w:eastAsia="楷体" w:cs="楷体"/>
          <w:sz w:val="32"/>
          <w:szCs w:val="32"/>
          <w:lang w:val="en-US" w:eastAsia="zh-CN"/>
        </w:rPr>
        <w:t>第四</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规划目的</w:t>
      </w:r>
      <w:bookmarkEnd w:id="4"/>
    </w:p>
    <w:p w14:paraId="2890E7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4.把保障人民健康放在优先发展的战略位置，坚持预防为主的方针，深入实施健康中国行动，完善国民健康促进政策，织牢国家公共卫生防护网，为人民提供全方位全生命期健康服务。</w:t>
      </w:r>
    </w:p>
    <w:p w14:paraId="06B413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5" w:name="_Toc27057"/>
      <w:r>
        <w:rPr>
          <w:rFonts w:hint="default" w:ascii="楷体" w:hAnsi="楷体" w:eastAsia="楷体" w:cs="楷体"/>
          <w:sz w:val="32"/>
          <w:szCs w:val="32"/>
          <w:lang w:val="en-US" w:eastAsia="zh-CN"/>
        </w:rPr>
        <w:t>第五</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规划期限</w:t>
      </w:r>
      <w:bookmarkEnd w:id="5"/>
    </w:p>
    <w:p w14:paraId="2842B3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5.本规划期限为2021年—2025年。</w:t>
      </w:r>
    </w:p>
    <w:p w14:paraId="1EAAB43F">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br w:type="page"/>
      </w:r>
    </w:p>
    <w:p w14:paraId="4B59BA2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黑体" w:hAnsi="黑体" w:eastAsia="黑体" w:cs="黑体"/>
          <w:sz w:val="32"/>
          <w:szCs w:val="32"/>
          <w:lang w:val="en-US" w:eastAsia="zh-CN"/>
        </w:rPr>
      </w:pPr>
      <w:bookmarkStart w:id="6" w:name="_Toc18992"/>
      <w:r>
        <w:rPr>
          <w:rFonts w:hint="default" w:ascii="黑体" w:hAnsi="黑体" w:eastAsia="黑体" w:cs="黑体"/>
          <w:sz w:val="32"/>
          <w:szCs w:val="32"/>
          <w:lang w:val="en-US" w:eastAsia="zh-CN"/>
        </w:rPr>
        <w:t>第二章  发展基础和面临形势</w:t>
      </w:r>
      <w:bookmarkEnd w:id="6"/>
    </w:p>
    <w:p w14:paraId="66B841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7" w:name="_Toc24929"/>
      <w:r>
        <w:rPr>
          <w:rFonts w:hint="default" w:ascii="楷体" w:hAnsi="楷体" w:eastAsia="楷体" w:cs="楷体"/>
          <w:sz w:val="32"/>
          <w:szCs w:val="32"/>
          <w:lang w:val="en-US" w:eastAsia="zh-CN"/>
        </w:rPr>
        <w:t>第六</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“十三五”发展成绩</w:t>
      </w:r>
      <w:bookmarkEnd w:id="7"/>
    </w:p>
    <w:p w14:paraId="25220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6.“十三五”期间，连云区卫健委坚持以深化医改为重点，以人民健康为中心，拓展内涵、提升能力，抓好重点工作落实，完成市政府目标办对县区绩效目标中卫生健康考评任务、市卫健委下达的24大类140项重点工作、基本公共卫生14类55项服务项目以及区委区政府下达的各项目标任务，不断推动基本公共卫生服务均等化，推动卫生健康事业取得新进展。</w:t>
      </w:r>
    </w:p>
    <w:p w14:paraId="7364B3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7.加快卫生机构建设，提升基层医疗服务能力。8家社区卫生服务中心除滨海中心外均已达到省级建设标准，完成既定目标的87.5%。加快海州湾社区卫生服务中心建设，核定中心事业编制12名，协调在连云新城国际商务中心2楼解决中心办公业务用房约1000平方米。加大对区疾控中心和8个社区卫生服务中心软硬件设施配备投入、提档升级。目前，区疾控中心实验室配备A类检验检测仪器设备28种58台（件），开展A类检验检测项目55项，先后通过省质监局组织的实验室资质认定、食品检验机构资质认定和市卫健委组织的艾滋病筛查实验室资质认定考核。2016至2019年，先后投入470万对8家社区卫生服务中心进行业务用房改造，进一步优化了就医环境。云山蓝卡中心于2018年7月底完成全部装修并实行蓝卡健康托管运行。2019年11月中旬，全区8家社区卫生服务中心已全部按要求建成标准化儿童预防接种门诊。2020年，在墟沟、云山、连岛、宿城建设完成标准中医诊疗区的基础上，进一步改造连云社区卫生服务站，将其打造成全区一流的中医诊疗区。板桥、高公岛按照省建设标准建成中医诊疗区。</w:t>
      </w:r>
    </w:p>
    <w:p w14:paraId="275E1C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8.组织实施人才“强基工程”，加强基层卫生人才队伍建设。“十三五”以来，连云区卫健委把基层卫生人才队伍建设作为基础性工程，在卫生人才培养目标与规划、经费安排、编制增加、人员招录、待遇提高等方面为卫生人才提供有利条件，进一步加大基层卫生人才队伍建设。2018年制定了《连云区社区卫生服务中心绩效管理实施意见》，将社区中心医务人员绩效工资总量提高至基准线的1.5倍，实行多劳多得、优绩优酬的绩效考核办法。连云区卫健委下属社区卫生服务中心公开招录六次，共招录基层医务人员63人，组织参加市级适宜卫生技术培训180人次，联合区财政、人社部门开展省、市、区级基层卫生优秀骨干人才遴选工作，遴选出省、市级优秀基层卫生骨干48人，区级基层卫生骨干30人，对合格遴选骨干补助费用全部发放到位。做好农村订单定向医学生免费培养工作，招收农村订单定向医学生16人，进一步加强卫健委系统人才队伍的储备。</w:t>
      </w:r>
    </w:p>
    <w:p w14:paraId="0D295F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9.加强基层健康信息化建设</w:t>
      </w:r>
      <w:r>
        <w:rPr>
          <w:rFonts w:hint="eastAsia" w:ascii="Times New Roman" w:hAnsi="Times New Roman" w:eastAsia="方正仿宋_GBK" w:cs="Times New Roman"/>
          <w:b w:val="0"/>
          <w:bCs/>
          <w:color w:val="auto"/>
          <w:sz w:val="32"/>
          <w:szCs w:val="32"/>
          <w:highlight w:val="none"/>
          <w:lang w:val="en-US" w:eastAsia="zh-CN"/>
        </w:rPr>
        <w:t>，</w:t>
      </w:r>
      <w:r>
        <w:rPr>
          <w:rFonts w:hint="default" w:ascii="Times New Roman" w:hAnsi="Times New Roman" w:eastAsia="方正仿宋_GBK" w:cs="Times New Roman"/>
          <w:b w:val="0"/>
          <w:bCs/>
          <w:color w:val="auto"/>
          <w:sz w:val="32"/>
          <w:szCs w:val="32"/>
          <w:highlight w:val="none"/>
          <w:lang w:val="en-US" w:eastAsia="zh-CN"/>
        </w:rPr>
        <w:t>努力提升服务信息化水平。推进智慧医疗相关平台建设，全区各中心都与市东方医院建设了远程医疗信息系统；各中心已完成影像系统安装，连岛、滨海、墟沟三家社区卫生服务中心已完成检验系统的安装工作；2018年陆续上线居民健康管理系统、中医馆健康信息平台、家庭医生签约系统、分级诊疗系统和统一支付平台等便民服务信息系统，进一步提高基层社区卫生服务中心的信息化水平。全面推广电子健康卡应用，2019年完成电子健康卡硬件设备采购、软件系统安装，推进电子健康卡的应用工作，使各中心能够更规范的建立居民电子健康档案。引进蓝卡健康，以云山中心为试点，共同打造“互联网+医疗健康”服务模式，为居民提供家庭医生签约、分级诊疗和医养结合等配套服务。完善区域健康信息平台，配合市卫健委升级全民健康信息平台，全区继续推广居民电子健康档案及各信息系统使用，提高数据上传质量。</w:t>
      </w:r>
    </w:p>
    <w:p w14:paraId="367019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10.广泛深入开展健康促进工作。结合健康城市创建工作，开展健康支持性环境创建。截止目前，我区已建成创建省级健康街道2家，健康村/社区33家，省级健康促进医院3家，健康单位10家，健康小屋实现社区卫生服务中心全覆盖，建成“栖霞路健康示范一条街”、健康主题公园2个和健康步道11条；健康学校16所。全区8个街道、各中小学校、各级医疗卫生机构健康教育宣传栏覆盖率100%，健康教育活动室覆盖率100%。居民健康素养水平稳步提升。根据省市要求，每年开展居民健康素养调查工作，2016年连云区居民健康素养水平达20.9%，2017年达23.27%，2018年达24.72%，2019年达43.64%</w:t>
      </w:r>
      <w:r>
        <w:rPr>
          <w:rFonts w:hint="eastAsia" w:ascii="Times New Roman" w:hAnsi="Times New Roman" w:eastAsia="方正仿宋_GBK" w:cs="Times New Roman"/>
          <w:b w:val="0"/>
          <w:bCs/>
          <w:color w:val="auto"/>
          <w:sz w:val="32"/>
          <w:szCs w:val="32"/>
          <w:highlight w:val="none"/>
          <w:lang w:val="en-US" w:eastAsia="zh-CN"/>
        </w:rPr>
        <w:t>，</w:t>
      </w:r>
      <w:r>
        <w:rPr>
          <w:rFonts w:hint="default" w:ascii="Times New Roman" w:hAnsi="Times New Roman" w:eastAsia="方正仿宋_GBK" w:cs="Times New Roman"/>
          <w:b w:val="0"/>
          <w:bCs/>
          <w:color w:val="auto"/>
          <w:sz w:val="32"/>
          <w:szCs w:val="32"/>
          <w:highlight w:val="none"/>
          <w:lang w:val="en-US" w:eastAsia="zh-CN"/>
        </w:rPr>
        <w:t>2020年达34.89%。认真开展健康教育咨询和讲座活动，全区各级医疗卫生机构每年开展各类咨询、讲座200余次，覆盖街道社区达100%。</w:t>
      </w:r>
    </w:p>
    <w:p w14:paraId="7DCAF5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11.完成省级卫生应急和慢病综合防控示范区创建验收。2017年12月，连云区顺利通过省级卫生应急工作规范区验收。2019年，全区8个街道全部完成卫生应急工作规范街道创建工作，实现了卫生应急工作规范街道全覆盖。2015年12月，连云区顺利通过省级慢病综合防控示范区验收并积极筹备国家级慢病综合防控示范区创建工作，先后印发了《连云区卫生计生系统慢性病综合防治管理三年行动计划（2018-2020年）》、《连云区创建国家级慢性非传染性疾病综合防控示范区工作方案》（连区政办发〔2018〕130号）、《连云区卫健系统创建国家慢性病综合防控示范区工作方案》。</w:t>
      </w:r>
    </w:p>
    <w:p w14:paraId="262857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12.实施基层医疗卫生服务“三个一”工程。自2015年印发《连云区实施“三个一”工程工作方案》（连区卫〔2015〕98号），大力实施“三个一”工程，创新家庭医生服务内涵，细化重点签约人群的不同服务需求，为签约居民打造个性化、人性化的家庭医生服务。优先做好老年人、孕产妇、0－6岁儿童、残疾人等特殊人群签约服务工作，引导居民在基层医疗机构首诊，强化社区家庭医生制度的实施。组建家庭医生团队34个，团队成员136人，开展家庭医生签约服务的社区卫生服务中心比例达100%；全人群、重点人群签约服务覆盖率分别是45.7%、75.1%；各中心自主制定个性化家庭医生签约包20余种，个性化签约人数16562人。累计建立电子健康档案132529份，居民规范化电子建档率达86.45%。连云区卫健委、墟沟社区卫生服务中心、云山社区卫生服务中心获批江苏省家庭医生服务创新单位。连云区卫健委获得江苏省家庭医生签约服务模式创新举措优秀奖。</w:t>
      </w:r>
    </w:p>
    <w:p w14:paraId="709C73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13.加快构建分级诊疗模式。深化紧密型医联体建设，加强协作联动。组建联合团队，医联体向基层派驻中级以上职称的执行主任、护理总长16人次（在基层脱产工作1年），依据医联体专家特长编入基层34个签约团队，组成了1+3+N特色模式即“全科医生+社区护士、公卫医师、医技人员+医联体N个科室专家”。市财政对到基层服务的医联体专家，补助每人每年2万元。推行同质化管理，医联体专家参与签约质控管理，通过服务标准、医疗规范等专项培训，实现三级医院的同质化管理，提升群众的认同感和满意度。</w:t>
      </w:r>
    </w:p>
    <w:p w14:paraId="328735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14.加强妇幼健康服务，促进母婴安全。一是整合资源，提升妇幼工作服务品质。在出生缺陷干预等各项重点工作中，我区在目标人群摸底、孕产信息掌握、叶酸发放、各项筛查服务、发现缺陷儿的处置等环节分工明确，形成我区特有的融合服务模式。二是扎实推进健康宝贝工程。自2018年1月1日起，市政府推行以提高出生人口素质为目的的健康宝贝工程，实施以来，我区建立健全了宝贝工程组织机构和工作机制，将其纳入年度重点目标。通过健康宝贝工程的推进，有效提高早孕建卡率、孕期保健率，降低出生缺陷发生率和婴儿死亡率。“十三五”时期全区孕产妇死亡率保持低位，婴儿死亡率、5岁以下儿童死亡率近几年持续保持低位。三是进一步推进妇儿救治能力建设。进一步加强全区孕产妇和新生儿危急重症救治中心建设，在东方医院建成市级孕产妇危急重症救治中心和新生儿危急重症救治中心，有效提升东部城区母婴救治能力。四是认真实施妇幼基本公卫服务。加强孕产妇艾滋病、梅毒和乙肝检测工作。全面提升基层硬件建设水平，加强妇幼人才培训，基层规范化妇儿保门诊率达75%。深入开展“两癌”筛查工作，增加检查项目、扩大检查人群等相关做法得到市级充分肯定。严格执行避孕节育免费服务，深化PAC服务，群众满意度保持高位。</w:t>
      </w:r>
    </w:p>
    <w:p w14:paraId="0A514A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15.奋力助推行政执法全过程记录制度实施工作。推广试行《连云区卫生监督所执法全过程记录制度（试行）》等30项工作制度，以现场执法记录仪、书面文字记录材料为主，询问调查室作为有效的补充，同时辅以其他有效的现场记录手段，所有的行政执法均可实现全过程回溯。</w:t>
      </w:r>
    </w:p>
    <w:p w14:paraId="2EA389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16.扎实推进墟沟街道卫生监督试点工作。以“优化结构、健全网络、稳定队伍、发挥效能”为目标，加快基层卫生计生监督执法资源整合，开展并推进墟沟街道卫生监督试点工作。于2018年6月底前完成方案制定，办公用房的改造及办公设备的添置工作，7月底形成初步运行体系，并召开全市现场会，2019年形成完善的运行体系，并在全区推进卫生监督三级网络建设工作；联合墟沟街道召开街道2019年卫生监督工作会议，提升了街道及社区层面监管体系内涵建设。</w:t>
      </w:r>
    </w:p>
    <w:p w14:paraId="511470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17.公共场所卫生许可实行告知承诺及加强事中事后监管。2019年率先对公共场所卫生许可实行告知承诺制，并成功发出全省首张公共场所告知承诺制卫生许可证，截止目前已发出200余张告知承诺制许可证，累计节省相对人办证时间3000余天，大大提高了审批效率。强化“双随机、一公开”监管，畅通投诉举报渠道依法及时处理投诉举报，做到全程监管无死角。</w:t>
      </w:r>
    </w:p>
    <w:p w14:paraId="3A05A1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18.稳妥实施全面两孩政策，促进人口长期均衡发展。自2016年1月1日正式实施全面两孩政策。全面推进生育服务证制度改革，取消两孩以内生育审批制度，实行生育服务登记制度。利用信息系统及互联网，简化程序和环节，进一步简化再生育审批，审批时限压缩在7个工作日以内，并全面推行承诺制，切实解决群众办证难问题。自2016年实施全面两孩政策以来，截止2020年10月，全区共计出生7048人，“十二五”同期增长33.16%；其中二孩及以上共计出生3293人，比“十二五”同期增长309.07%；二孩及以上占比46.72%，比“十二五”同期的15.21%有明显增长。2016年到2020年10月，全区出生人口性别比103.82，属正常数值范围。</w:t>
      </w:r>
    </w:p>
    <w:p w14:paraId="28BC63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19.完善计生利导机制，促进计生家庭发展。一是计划生育奖励扶助政策全面落实。2016—2020上半年，全区已发放农村奖励扶助金280人78.318万元、特扶金180人549.91万元、城镇企业职工退休一次性奖励金2275人次共计293.92万元。实行独生子女父母奖励金转保险制度，每年全区奖励金转保险达16万元以上。建立计划生育公益金制度，区级每年设立专项资金20万元用于帮扶计生困难家庭、计生困难家庭优秀考生、失独家庭、节育手术并发症等家庭。二是计生特殊家庭精准扶助关怀服务深入开展。对计生特殊家庭全面实行“连心卡”制度和联系人制度，为他们精准提供“经济扶助、养老保障、医疗保障、生活帮扶”等政策服务，妥善解决他们的生活照料、养老保障、大病治疗和精神慰藉等问题。完善特殊家庭基础信息库，实现计生特殊家庭联系人、家庭签约医生、就医绿色通道、精神抚慰“四个”全覆盖。目前，全区失独家庭联系人制度全覆盖，常住我区的计生特殊家庭全部实行家庭医生签约服务协议，并建立规范的电子健康档案，建立就医绿色通道，落实医疗减免政策（两免三减半四优先）。开展“情暖计生特困家庭—生育关怀行动”，为他们购买综合保险，“十三五”期间，已有91人次因病、意外等原因向保险公司理赔，保险公司共发放理赔款28.36万元。另外我区还依托“连心家园”成立由心理咨询师参与的志愿者服务队伍，为失独家庭开展心理疏导和精神慰藉活动，组织他们参加公益活动，让他们融入社会，重拾生活信心，2019年成功创建墟沟滨海社区省连心家园优秀项目点。三是开展幸福家庭创建活动。按照“文明、健康、优生、致富、奉献”主题要求，围绕“人人健康、家家幸福”目标，以计划生育家庭需求为导向，全面落实家庭健康保健、科学育儿、青少年健康发展、养老照护等指导服务。各街道结合实际开展新家庭计划，开展村居、示范户创建活动；出台《连云区计划生育家庭科学育儿试点工作实施方案》</w:t>
      </w:r>
      <w:r>
        <w:rPr>
          <w:rFonts w:hint="eastAsia" w:ascii="Times New Roman" w:hAnsi="Times New Roman" w:eastAsia="方正仿宋_GBK" w:cs="Times New Roman"/>
          <w:b w:val="0"/>
          <w:bCs/>
          <w:color w:val="auto"/>
          <w:sz w:val="32"/>
          <w:szCs w:val="32"/>
          <w:highlight w:val="none"/>
          <w:lang w:val="en-US" w:eastAsia="zh-CN"/>
        </w:rPr>
        <w:t>，</w:t>
      </w:r>
      <w:r>
        <w:rPr>
          <w:rFonts w:hint="default" w:ascii="Times New Roman" w:hAnsi="Times New Roman" w:eastAsia="方正仿宋_GBK" w:cs="Times New Roman"/>
          <w:b w:val="0"/>
          <w:bCs/>
          <w:color w:val="auto"/>
          <w:sz w:val="32"/>
          <w:szCs w:val="32"/>
          <w:highlight w:val="none"/>
          <w:lang w:val="en-US" w:eastAsia="zh-CN"/>
        </w:rPr>
        <w:t>通过家长课堂，开展系列知识讲座，推行科学育儿知识，依托各社区卫生服务中心母婴保健服务，为新生儿家庭开展上门指导服务，全方位提升家长科学教养的能力。四是促进流动人口基本服务均等化。按国家基本公共卫生服务要求和省市《关于加快推进流动人口基本公共卫生计生服务均等化工作的意见》文件精神，将流动人口纳入与户籍人口一样同服务、同宣传、同管理。开展流动人口健康促进示范企业、示范学校和健康家庭建设活动，其中南巷小学入选2017年全国第一批流动人口健康促进示范学校。</w:t>
      </w:r>
    </w:p>
    <w:p w14:paraId="225088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20.开展医养结合试点工作，实现社区居家养老服务中心医疗服务全覆盖。针对全区养老机构不同特点，采取不同医疗服务模式，推进医养结合工作。社区卫生服务中心与各街道区域性居家养老中心或日间照料中心签订合作协议，并辐射到各村居的居家养老服务中心，社区卫生服务中心定期组织医护人员为辖区高龄、空巢、生活半自理和有特殊困难的老年人提供医疗保健服务和定期检查，弥补家庭照料的缺失和不足。</w:t>
      </w:r>
    </w:p>
    <w:p w14:paraId="050ECA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8" w:name="_Toc16694"/>
      <w:r>
        <w:rPr>
          <w:rFonts w:hint="default" w:ascii="楷体" w:hAnsi="楷体" w:eastAsia="楷体" w:cs="楷体"/>
          <w:sz w:val="32"/>
          <w:szCs w:val="32"/>
          <w:lang w:val="en-US" w:eastAsia="zh-CN"/>
        </w:rPr>
        <w:t>第七</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“十四五”宏观环境和发展趋势</w:t>
      </w:r>
      <w:bookmarkEnd w:id="8"/>
    </w:p>
    <w:p w14:paraId="7B8AC3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21.“十四五”时期是我国全面建成小康社会、实现第一个百年奋斗目标之后，乘势而上开启全面建设社会主义现代化国家新征程、向第二个百年奋斗目标进军的第一个五年。是高举习近平新时代中国特色社会主义思想伟大旗帜，全面落实“争当表率、争做示范、走在前列”使命担当，开启社会主义现代化建设新征程的第一个五年，是奋力推进“高质发展、后发先至”的关键五年。</w:t>
      </w:r>
    </w:p>
    <w:p w14:paraId="425BAC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22.随着国内外环境变化及区域竞争压力增强，发展中面临的挑战和不确定因素不断增强。必须把“两争一前列”作为谋划“十四五”发展的总目标、总纲领、总要求，坚持“高质发展、后发先至”主题主线，在全面开启社会主义现代化建设新征程中把握主动权、赢得新发展，进入高质量发展期。</w:t>
      </w:r>
    </w:p>
    <w:p w14:paraId="6A4939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9" w:name="_Toc812"/>
      <w:r>
        <w:rPr>
          <w:rFonts w:hint="default" w:ascii="楷体" w:hAnsi="楷体" w:eastAsia="楷体" w:cs="楷体"/>
          <w:sz w:val="32"/>
          <w:szCs w:val="32"/>
          <w:lang w:val="en-US" w:eastAsia="zh-CN"/>
        </w:rPr>
        <w:t>第八</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“十四五”面临的机遇挑战</w:t>
      </w:r>
      <w:bookmarkEnd w:id="9"/>
    </w:p>
    <w:p w14:paraId="06732A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23.“十四五”时期是我国全面建成小康社会、实现第一个百年奋斗目标之后，乘势而上开启全面建设社会主义现代化国家新征程、向第二个百年奋斗目标进军的第一个五年。当前及今后一个时期，我国仍然处于重要战略机遇期，但机遇和挑战都有新的发展变化，需要认清形势，把握规律，迎难而上，在危机中育先机、于变局中开新局。</w:t>
      </w:r>
    </w:p>
    <w:p w14:paraId="20F08A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人民健康是民族昌盛和国家富强的重要标志。党的十九大作出了实施健康中国战略的重大决策部署，充分体现了对维护人民健康的坚定决心。卫生健康工作迎来前所未有的发展机遇，卫生与健康工作新方针成为新时代卫生健康事业改革发展的指南；把人民健康放在优先发展的战略地位和“将健康融入所有政策”，使得卫生与健康的地位更加突出；“大健康”理念是卫生与健康事业发展的重大创新，提供全方位、全生命周期的健康服务是卫生健康的时代使命。为积极应对当前突出健康问题，必须关口前移，采取有效干预措施，努力使群众不生病、少生病，提高生活质量，延长健康寿命。</w:t>
      </w:r>
    </w:p>
    <w:p w14:paraId="4343E1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当前我区经济和社会正处于转型期，居民疾病与健康问题快速转变。提供的卫生健康服务尚不能满足人民日益增长的美好健康生活需要，健康连云建设统筹推进力度需要进一步加大，以治病为中心转变为以人民健康为中心的体制机制尚未完全形成，医改破冰的体制机制障碍亟待突破，医疗卫生资源不平衡不充分的问题还比较突出，疾病预防控制体系不够完善，重大疾病防治体系不够健全，基层卫生机构服务能力仍需加强，行业监管面临新的挑战，群众对医疗卫生服务的满意度有待提高等。</w:t>
      </w:r>
    </w:p>
    <w:p w14:paraId="5F9358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方正仿宋_GBK" w:cs="Times New Roman"/>
          <w:sz w:val="32"/>
          <w:szCs w:val="32"/>
          <w:lang w:val="en-US" w:eastAsia="zh-CN"/>
        </w:rPr>
      </w:pPr>
    </w:p>
    <w:p w14:paraId="3D39A2A1">
      <w:pPr>
        <w:rPr>
          <w:rFonts w:hint="default" w:ascii="Times New Roman" w:hAnsi="Times New Roman" w:eastAsia="方正宋黑_GBK" w:cs="Times New Roman"/>
          <w:sz w:val="32"/>
          <w:szCs w:val="32"/>
          <w:lang w:val="en-US" w:eastAsia="zh-CN"/>
        </w:rPr>
      </w:pPr>
      <w:r>
        <w:rPr>
          <w:rFonts w:hint="default" w:ascii="Times New Roman" w:hAnsi="Times New Roman" w:eastAsia="方正宋黑_GBK" w:cs="Times New Roman"/>
          <w:sz w:val="32"/>
          <w:szCs w:val="32"/>
          <w:lang w:val="en-US" w:eastAsia="zh-CN"/>
        </w:rPr>
        <w:br w:type="page"/>
      </w:r>
    </w:p>
    <w:p w14:paraId="652C3FB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黑体" w:hAnsi="黑体" w:eastAsia="黑体" w:cs="黑体"/>
          <w:sz w:val="32"/>
          <w:szCs w:val="32"/>
          <w:lang w:val="en-US" w:eastAsia="zh-CN"/>
        </w:rPr>
      </w:pPr>
      <w:bookmarkStart w:id="10" w:name="_Toc25562"/>
      <w:r>
        <w:rPr>
          <w:rFonts w:hint="default" w:ascii="黑体" w:hAnsi="黑体" w:eastAsia="黑体" w:cs="黑体"/>
          <w:sz w:val="32"/>
          <w:szCs w:val="32"/>
          <w:lang w:val="en-US" w:eastAsia="zh-CN"/>
        </w:rPr>
        <w:t>第三章  总体思路和总则目标</w:t>
      </w:r>
      <w:bookmarkEnd w:id="10"/>
    </w:p>
    <w:p w14:paraId="04ABBC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11" w:name="_Toc11605"/>
      <w:r>
        <w:rPr>
          <w:rFonts w:hint="default" w:ascii="楷体" w:hAnsi="楷体" w:eastAsia="楷体" w:cs="楷体"/>
          <w:sz w:val="32"/>
          <w:szCs w:val="32"/>
          <w:lang w:val="en-US" w:eastAsia="zh-CN"/>
        </w:rPr>
        <w:t>第九</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指导思想</w:t>
      </w:r>
      <w:bookmarkEnd w:id="11"/>
    </w:p>
    <w:p w14:paraId="4AB1AF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24.“十四五”时期（2021-2025年），连云区卫生健康委员会将高举习近平新时代中国特色社会主义思想伟大旗帜，全面贯彻党的十九大和十九届二中、三中、四中、五中全会精神和习近平总书记在江苏考察时的重要讲话精神，认真落实省委省政府各项决策部署，统筹推进“五位一体”总体布局，协调推进“四个全面”战略布局，坚定不移贯彻新发展理念，把“两争一前列”作为“十四五”发展的总目标、总纲领、总要求。始终坚持以“高质发展、后发先至”为主题主线，牢固树立“大卫生、大健康”理念，坚持把人民健康放在优先发展的战略位置，坚持“四个全面”战略布局，坚持稳中求进工作总基调，着力推进医疗卫生体制改革，优化配置医疗卫生资源，加强公共卫生应急能力建设，深入推进“健康城市”建设，不断提高卫生健康服务水平。</w:t>
      </w:r>
    </w:p>
    <w:p w14:paraId="14B054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12" w:name="_Toc12481"/>
      <w:r>
        <w:rPr>
          <w:rFonts w:hint="default" w:ascii="楷体" w:hAnsi="楷体" w:eastAsia="楷体" w:cs="楷体"/>
          <w:sz w:val="32"/>
          <w:szCs w:val="32"/>
          <w:lang w:val="en-US" w:eastAsia="zh-CN"/>
        </w:rPr>
        <w:t>第十</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基本原则</w:t>
      </w:r>
      <w:bookmarkEnd w:id="12"/>
    </w:p>
    <w:p w14:paraId="4AE784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25.坚持以人为本和事业发展相统一。卫健事业以为人民健康服务、永续发展为宗旨，以保障人民健康权益为中心，遵循公益性的原则，不能以牺牲人民群众利益为代价，要把基本医疗卫生制度作为公共产品向城乡居民提供，努力实现人民病有所医和家庭协调发展。</w:t>
      </w:r>
    </w:p>
    <w:p w14:paraId="004E0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26.坚持政府主导和社会参与相结合。强化政府在基本医疗卫生制度中的责任，维护公共医疗卫生的公益性。注重发挥市场机制作用，充分调动社会力量的积极性和创造性，提高医疗卫生运行效率和服务水平，满足人民群众多层次、多元化医疗卫生服务需求。</w:t>
      </w:r>
    </w:p>
    <w:p w14:paraId="7F0A10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27.坚持目标导向和问题导向相兼顾。既立足当前，正视卫生健康事业发展存在的问题和薄弱环节，又以实现健康连云的目标作为刚性目标，迎难而上，攻艰克难，破解发展难题，不断满足人民群众的需求，提高满意度。</w:t>
      </w:r>
    </w:p>
    <w:p w14:paraId="0C849F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28.坚持全面规划和突出重点相协调。既着眼于加快建设现代医疗卫生体系和人口均衡发展的各个方面，又突出抓好薄弱环节和优势领域，科学合理确定各类资源的数量、规模及布局，注重提高医疗卫生健康服务质量和水平，注重发挥信息化在卫健事业发展的引领和推动作用。</w:t>
      </w:r>
    </w:p>
    <w:p w14:paraId="289D30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13" w:name="_Toc24467"/>
      <w:r>
        <w:rPr>
          <w:rFonts w:hint="default" w:ascii="楷体" w:hAnsi="楷体" w:eastAsia="楷体" w:cs="楷体"/>
          <w:sz w:val="32"/>
          <w:szCs w:val="32"/>
          <w:lang w:val="en-US" w:eastAsia="zh-CN"/>
        </w:rPr>
        <w:t>第十一</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发展目标</w:t>
      </w:r>
      <w:bookmarkEnd w:id="13"/>
    </w:p>
    <w:p w14:paraId="06BD81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29.坚持以统筹安全与发展为前提，筑牢公共卫生安全防护网。着眼于防范卫生健康领域重大风险，完善重大疫情防控体制机制，织密公共卫生安全防护网，打造公共卫生安全地区。实施新建连云区公共卫生中心、连云区卫生应急能力提升工程等一批建设项目，强化突发公共卫生事件医疗救治和应急处置能力。完善多点触发机制，稳固公共卫生基层网点，建立高效的医防协同机制，全面提升疾病预防控制体系建设的专业化、规范化、现代化水平。</w:t>
      </w:r>
    </w:p>
    <w:p w14:paraId="646B70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30.坚持以建设健康连云为目标，打造健康城市示范市。健全完善健康连云港推进机制和平台体系，全面推进健康环境建设系列行动计划，优化重大疾病防控策略，加快实现基本公共卫生服务均等化，强化全生命周期健康服务。积极应对人口老龄化和低生育率趋势，深化医养结合，加强老年和妇女儿童医疗卫生服务体系建设，完善普惠托育服务体系，进一步缩小城乡区域人群间的健康差异，不断提升城乡居民健康素养水平。</w:t>
      </w:r>
    </w:p>
    <w:p w14:paraId="5B6A9A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31.坚持以“三医联动”为抓手，保持公立医院综合改革走在前。以改革为动力，提升医疗机构服务质量，以公益性为价值导向，进一步完善分级诊疗制度，健全现代医院管理制度，强化医疗卫生行业综合监管，促进基本医疗卫生制度更加成熟定型。</w:t>
      </w:r>
    </w:p>
    <w:p w14:paraId="6486B4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32.坚持以建设健康发展先行区为载体，培育健康服务产业新业态。推进中医药文化宣传和传承创新，加快“互联网+中医药服务贸易”融合发展。加快发展健康养老、托育等服务业，大力培育“养老+健康+旅游”等健康服务新业态，在建设健康服务先行区特色载体、培育新型医养健康业态等方面，形成创新实践案例。</w:t>
      </w:r>
    </w:p>
    <w:p w14:paraId="34DD31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33.坚持均衡布局、精准下沉原则，推进优质资源的科学配置，规范城市紧密型医联体建设，覆盖所有社区卫生服务中心。以强基层、打基础为重点，提升区域医疗卫生服务能力。创新人才激励机制，建立卫生健康高端人才队伍，培养引进一批中青年科技人才、医学重点人才。</w:t>
      </w:r>
    </w:p>
    <w:p w14:paraId="7B00A9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34.坚持以提升卫生健康数字化赋能为支撑，争当智慧化健康服务领跑者。健全“互联网+医疗健康”服务体系，深化全民健康信息平台应用，完善智慧手机APP全流程就医诊疗服务，强化看病就医“一码通”，推进“一站式”结算服务，打造掌上医疗健康服务新生态。推进“一体化”共享服务，完善线上线下一体化医疗服务模式。以医疗卫生行业和互联网医疗服务监管为重点，建立以平台数据应用为基础的绩效评价综合系统，建设卫生健康全方位、数字化的治理新平台。</w:t>
      </w:r>
    </w:p>
    <w:p w14:paraId="69DA4E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14" w:name="_Toc24013"/>
      <w:r>
        <w:rPr>
          <w:rFonts w:hint="default" w:ascii="楷体" w:hAnsi="楷体" w:eastAsia="楷体" w:cs="楷体"/>
          <w:sz w:val="32"/>
          <w:szCs w:val="32"/>
          <w:lang w:val="en-US" w:eastAsia="zh-CN"/>
        </w:rPr>
        <w:t>第十二</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主要指标</w:t>
      </w:r>
      <w:bookmarkEnd w:id="14"/>
    </w:p>
    <w:p w14:paraId="2B41E3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“十四五”卫生健康主要发展指标</w:t>
      </w:r>
    </w:p>
    <w:tbl>
      <w:tblPr>
        <w:tblStyle w:val="11"/>
        <w:tblW w:w="8935" w:type="dxa"/>
        <w:tblInd w:w="-59" w:type="dxa"/>
        <w:tblLayout w:type="fixed"/>
        <w:tblCellMar>
          <w:top w:w="0" w:type="dxa"/>
          <w:left w:w="0" w:type="dxa"/>
          <w:bottom w:w="0" w:type="dxa"/>
          <w:right w:w="0" w:type="dxa"/>
        </w:tblCellMar>
      </w:tblPr>
      <w:tblGrid>
        <w:gridCol w:w="628"/>
        <w:gridCol w:w="695"/>
        <w:gridCol w:w="4036"/>
        <w:gridCol w:w="641"/>
        <w:gridCol w:w="961"/>
        <w:gridCol w:w="1003"/>
        <w:gridCol w:w="881"/>
        <w:gridCol w:w="90"/>
      </w:tblGrid>
      <w:tr w14:paraId="03563201">
        <w:tblPrEx>
          <w:tblCellMar>
            <w:top w:w="0" w:type="dxa"/>
            <w:left w:w="0" w:type="dxa"/>
            <w:bottom w:w="0" w:type="dxa"/>
            <w:right w:w="0" w:type="dxa"/>
          </w:tblCellMar>
        </w:tblPrEx>
        <w:trPr>
          <w:gridAfter w:val="1"/>
          <w:wAfter w:w="90" w:type="dxa"/>
          <w:trHeight w:val="662" w:hRule="atLeast"/>
        </w:trPr>
        <w:tc>
          <w:tcPr>
            <w:tcW w:w="628" w:type="dxa"/>
            <w:tcBorders>
              <w:top w:val="single" w:color="auto" w:sz="4" w:space="0"/>
              <w:left w:val="single" w:color="auto" w:sz="4" w:space="0"/>
              <w:bottom w:val="nil"/>
              <w:right w:val="nil"/>
            </w:tcBorders>
            <w:shd w:val="clear" w:color="auto" w:fill="FFFFFF"/>
            <w:vAlign w:val="center"/>
          </w:tcPr>
          <w:p w14:paraId="3D91AD5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kern w:val="0"/>
                <w:sz w:val="24"/>
                <w:szCs w:val="32"/>
              </w:rPr>
            </w:pPr>
            <w:r>
              <w:rPr>
                <w:rFonts w:hint="default" w:ascii="Times New Roman" w:hAnsi="Times New Roman" w:eastAsia="方正仿宋_GBK" w:cs="Times New Roman"/>
                <w:b/>
                <w:kern w:val="0"/>
                <w:sz w:val="24"/>
                <w:szCs w:val="32"/>
                <w:lang w:eastAsia="en-US"/>
              </w:rPr>
              <w:t>领域</w:t>
            </w:r>
          </w:p>
        </w:tc>
        <w:tc>
          <w:tcPr>
            <w:tcW w:w="695" w:type="dxa"/>
            <w:tcBorders>
              <w:top w:val="single" w:color="auto" w:sz="4" w:space="0"/>
              <w:left w:val="single" w:color="auto" w:sz="4" w:space="0"/>
              <w:bottom w:val="single" w:color="auto" w:sz="4" w:space="0"/>
              <w:right w:val="nil"/>
            </w:tcBorders>
            <w:shd w:val="clear" w:color="auto" w:fill="FFFFFF"/>
            <w:vAlign w:val="center"/>
          </w:tcPr>
          <w:p w14:paraId="6D175B8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kern w:val="0"/>
                <w:sz w:val="24"/>
                <w:szCs w:val="32"/>
              </w:rPr>
            </w:pPr>
            <w:r>
              <w:rPr>
                <w:rFonts w:hint="default" w:ascii="Times New Roman" w:hAnsi="Times New Roman" w:eastAsia="方正仿宋_GBK" w:cs="Times New Roman"/>
                <w:b/>
                <w:kern w:val="0"/>
                <w:sz w:val="24"/>
                <w:szCs w:val="32"/>
                <w:lang w:eastAsia="en-US"/>
              </w:rPr>
              <w:t>序号</w:t>
            </w:r>
          </w:p>
        </w:tc>
        <w:tc>
          <w:tcPr>
            <w:tcW w:w="4036" w:type="dxa"/>
            <w:tcBorders>
              <w:top w:val="single" w:color="auto" w:sz="4" w:space="0"/>
              <w:left w:val="single" w:color="auto" w:sz="4" w:space="0"/>
              <w:bottom w:val="nil"/>
              <w:right w:val="nil"/>
            </w:tcBorders>
            <w:shd w:val="clear" w:color="auto" w:fill="FFFFFF"/>
            <w:vAlign w:val="center"/>
          </w:tcPr>
          <w:p w14:paraId="39023A9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kern w:val="0"/>
                <w:sz w:val="24"/>
                <w:szCs w:val="32"/>
              </w:rPr>
            </w:pPr>
            <w:r>
              <w:rPr>
                <w:rFonts w:hint="default" w:ascii="Times New Roman" w:hAnsi="Times New Roman" w:eastAsia="方正仿宋_GBK" w:cs="Times New Roman"/>
                <w:b/>
                <w:kern w:val="0"/>
                <w:sz w:val="24"/>
                <w:szCs w:val="32"/>
                <w:lang w:eastAsia="en-US"/>
              </w:rPr>
              <w:t>主要指标</w:t>
            </w:r>
          </w:p>
        </w:tc>
        <w:tc>
          <w:tcPr>
            <w:tcW w:w="641" w:type="dxa"/>
            <w:tcBorders>
              <w:top w:val="single" w:color="auto" w:sz="4" w:space="0"/>
              <w:left w:val="single" w:color="auto" w:sz="4" w:space="0"/>
              <w:bottom w:val="nil"/>
              <w:right w:val="nil"/>
            </w:tcBorders>
            <w:shd w:val="clear" w:color="auto" w:fill="FFFFFF"/>
            <w:vAlign w:val="center"/>
          </w:tcPr>
          <w:p w14:paraId="68DB09F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kern w:val="0"/>
                <w:sz w:val="24"/>
                <w:szCs w:val="32"/>
              </w:rPr>
            </w:pPr>
            <w:r>
              <w:rPr>
                <w:rFonts w:hint="default" w:ascii="Times New Roman" w:hAnsi="Times New Roman" w:eastAsia="方正仿宋_GBK" w:cs="Times New Roman"/>
                <w:b/>
                <w:kern w:val="0"/>
                <w:sz w:val="24"/>
                <w:szCs w:val="32"/>
                <w:lang w:val="zh-CN"/>
              </w:rPr>
              <w:t>单位</w:t>
            </w:r>
          </w:p>
        </w:tc>
        <w:tc>
          <w:tcPr>
            <w:tcW w:w="961" w:type="dxa"/>
            <w:tcBorders>
              <w:top w:val="single" w:color="auto" w:sz="4" w:space="0"/>
              <w:left w:val="single" w:color="auto" w:sz="4" w:space="0"/>
              <w:bottom w:val="nil"/>
              <w:right w:val="nil"/>
            </w:tcBorders>
            <w:shd w:val="clear" w:color="auto" w:fill="FFFFFF"/>
            <w:vAlign w:val="center"/>
          </w:tcPr>
          <w:p w14:paraId="40B0592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kern w:val="0"/>
                <w:sz w:val="24"/>
                <w:szCs w:val="32"/>
              </w:rPr>
            </w:pPr>
            <w:r>
              <w:rPr>
                <w:rFonts w:hint="default" w:ascii="Times New Roman" w:hAnsi="Times New Roman" w:eastAsia="方正仿宋_GBK" w:cs="Times New Roman"/>
                <w:b/>
                <w:bCs/>
                <w:kern w:val="0"/>
                <w:sz w:val="24"/>
                <w:szCs w:val="32"/>
                <w:lang w:val="zh-CN"/>
              </w:rPr>
              <w:t>2020年</w:t>
            </w:r>
          </w:p>
        </w:tc>
        <w:tc>
          <w:tcPr>
            <w:tcW w:w="1003" w:type="dxa"/>
            <w:tcBorders>
              <w:top w:val="single" w:color="auto" w:sz="4" w:space="0"/>
              <w:left w:val="single" w:color="auto" w:sz="4" w:space="0"/>
              <w:bottom w:val="nil"/>
              <w:right w:val="nil"/>
            </w:tcBorders>
            <w:shd w:val="clear" w:color="auto" w:fill="FFFFFF"/>
            <w:vAlign w:val="center"/>
          </w:tcPr>
          <w:p w14:paraId="455511D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kern w:val="0"/>
                <w:sz w:val="24"/>
                <w:szCs w:val="32"/>
              </w:rPr>
            </w:pPr>
            <w:r>
              <w:rPr>
                <w:rFonts w:hint="default" w:ascii="Times New Roman" w:hAnsi="Times New Roman" w:eastAsia="方正仿宋_GBK" w:cs="Times New Roman"/>
                <w:b/>
                <w:bCs/>
                <w:kern w:val="0"/>
                <w:sz w:val="24"/>
                <w:szCs w:val="32"/>
                <w:lang w:eastAsia="en-US"/>
              </w:rPr>
              <w:t>2</w:t>
            </w:r>
            <w:r>
              <w:rPr>
                <w:rFonts w:hint="default" w:ascii="Times New Roman" w:hAnsi="Times New Roman" w:eastAsia="方正仿宋_GBK" w:cs="Times New Roman"/>
                <w:b/>
                <w:bCs/>
                <w:kern w:val="0"/>
                <w:sz w:val="24"/>
                <w:szCs w:val="32"/>
              </w:rPr>
              <w:t>0</w:t>
            </w:r>
            <w:r>
              <w:rPr>
                <w:rFonts w:hint="default" w:ascii="Times New Roman" w:hAnsi="Times New Roman" w:eastAsia="方正仿宋_GBK" w:cs="Times New Roman"/>
                <w:b/>
                <w:bCs/>
                <w:kern w:val="0"/>
                <w:sz w:val="24"/>
                <w:szCs w:val="32"/>
                <w:lang w:eastAsia="en-US"/>
              </w:rPr>
              <w:t>25年</w:t>
            </w:r>
          </w:p>
        </w:tc>
        <w:tc>
          <w:tcPr>
            <w:tcW w:w="881" w:type="dxa"/>
            <w:tcBorders>
              <w:top w:val="single" w:color="auto" w:sz="4" w:space="0"/>
              <w:left w:val="single" w:color="auto" w:sz="4" w:space="0"/>
              <w:bottom w:val="nil"/>
              <w:right w:val="single" w:color="auto" w:sz="4" w:space="0"/>
            </w:tcBorders>
            <w:shd w:val="clear" w:color="auto" w:fill="FFFFFF"/>
            <w:vAlign w:val="center"/>
          </w:tcPr>
          <w:p w14:paraId="40EF323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kern w:val="0"/>
                <w:sz w:val="24"/>
                <w:szCs w:val="32"/>
              </w:rPr>
            </w:pPr>
            <w:r>
              <w:rPr>
                <w:rFonts w:hint="default" w:ascii="Times New Roman" w:hAnsi="Times New Roman" w:eastAsia="方正仿宋_GBK" w:cs="Times New Roman"/>
                <w:b/>
                <w:kern w:val="0"/>
                <w:sz w:val="24"/>
                <w:szCs w:val="32"/>
              </w:rPr>
              <w:t>性质</w:t>
            </w:r>
          </w:p>
        </w:tc>
      </w:tr>
      <w:tr w14:paraId="350EDE2C">
        <w:tblPrEx>
          <w:tblCellMar>
            <w:top w:w="0" w:type="dxa"/>
            <w:left w:w="0" w:type="dxa"/>
            <w:bottom w:w="0" w:type="dxa"/>
            <w:right w:w="0" w:type="dxa"/>
          </w:tblCellMar>
        </w:tblPrEx>
        <w:trPr>
          <w:gridAfter w:val="1"/>
          <w:wAfter w:w="90" w:type="dxa"/>
          <w:trHeight w:val="366" w:hRule="atLeast"/>
        </w:trPr>
        <w:tc>
          <w:tcPr>
            <w:tcW w:w="628" w:type="dxa"/>
            <w:vMerge w:val="restart"/>
            <w:tcBorders>
              <w:top w:val="single" w:color="auto" w:sz="4" w:space="0"/>
              <w:left w:val="single" w:color="auto" w:sz="4" w:space="0"/>
              <w:bottom w:val="nil"/>
              <w:right w:val="nil"/>
            </w:tcBorders>
            <w:shd w:val="clear" w:color="auto" w:fill="FFFFFF"/>
            <w:vAlign w:val="center"/>
          </w:tcPr>
          <w:p w14:paraId="7E1D4C7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健康水平</w:t>
            </w:r>
          </w:p>
        </w:tc>
        <w:tc>
          <w:tcPr>
            <w:tcW w:w="695" w:type="dxa"/>
            <w:tcBorders>
              <w:top w:val="single" w:color="auto" w:sz="4" w:space="0"/>
              <w:left w:val="single" w:color="auto" w:sz="4" w:space="0"/>
              <w:bottom w:val="single" w:color="auto" w:sz="4" w:space="0"/>
              <w:right w:val="nil"/>
            </w:tcBorders>
            <w:shd w:val="clear" w:color="auto" w:fill="FFFFFF"/>
            <w:vAlign w:val="center"/>
          </w:tcPr>
          <w:p w14:paraId="1D409DE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lang w:eastAsia="en-US"/>
              </w:rPr>
              <w:t>1</w:t>
            </w:r>
          </w:p>
        </w:tc>
        <w:tc>
          <w:tcPr>
            <w:tcW w:w="4036" w:type="dxa"/>
            <w:tcBorders>
              <w:top w:val="single" w:color="auto" w:sz="4" w:space="0"/>
              <w:left w:val="single" w:color="auto" w:sz="4" w:space="0"/>
              <w:bottom w:val="nil"/>
              <w:right w:val="nil"/>
            </w:tcBorders>
            <w:shd w:val="clear" w:color="auto" w:fill="FFFFFF"/>
            <w:vAlign w:val="center"/>
          </w:tcPr>
          <w:p w14:paraId="492113FC">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人均预期寿命</w:t>
            </w:r>
          </w:p>
        </w:tc>
        <w:tc>
          <w:tcPr>
            <w:tcW w:w="641" w:type="dxa"/>
            <w:tcBorders>
              <w:top w:val="single" w:color="auto" w:sz="4" w:space="0"/>
              <w:left w:val="single" w:color="auto" w:sz="4" w:space="0"/>
              <w:bottom w:val="nil"/>
              <w:right w:val="nil"/>
            </w:tcBorders>
            <w:shd w:val="clear" w:color="auto" w:fill="FFFFFF"/>
            <w:vAlign w:val="center"/>
          </w:tcPr>
          <w:p w14:paraId="08286F7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lang w:val="zh-CN"/>
              </w:rPr>
              <w:t>岁</w:t>
            </w:r>
          </w:p>
        </w:tc>
        <w:tc>
          <w:tcPr>
            <w:tcW w:w="961" w:type="dxa"/>
            <w:tcBorders>
              <w:top w:val="single" w:color="auto" w:sz="4" w:space="0"/>
              <w:left w:val="single" w:color="auto" w:sz="4" w:space="0"/>
              <w:bottom w:val="nil"/>
              <w:right w:val="nil"/>
            </w:tcBorders>
            <w:shd w:val="clear" w:color="auto" w:fill="auto"/>
            <w:vAlign w:val="center"/>
          </w:tcPr>
          <w:p w14:paraId="1F4196F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lang w:eastAsia="en-US"/>
              </w:rPr>
              <w:t>7</w:t>
            </w:r>
            <w:r>
              <w:rPr>
                <w:rFonts w:hint="default" w:ascii="Times New Roman" w:hAnsi="Times New Roman" w:eastAsia="仿宋_GB2312" w:cs="Times New Roman"/>
                <w:bCs/>
                <w:kern w:val="0"/>
                <w:sz w:val="22"/>
                <w:szCs w:val="28"/>
              </w:rPr>
              <w:t>7.84</w:t>
            </w:r>
          </w:p>
        </w:tc>
        <w:tc>
          <w:tcPr>
            <w:tcW w:w="1003" w:type="dxa"/>
            <w:tcBorders>
              <w:top w:val="single" w:color="auto" w:sz="4" w:space="0"/>
              <w:left w:val="single" w:color="auto" w:sz="4" w:space="0"/>
              <w:bottom w:val="nil"/>
              <w:right w:val="nil"/>
            </w:tcBorders>
            <w:shd w:val="clear" w:color="auto" w:fill="auto"/>
            <w:vAlign w:val="center"/>
          </w:tcPr>
          <w:p w14:paraId="0E641FE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80左右</w:t>
            </w:r>
          </w:p>
        </w:tc>
        <w:tc>
          <w:tcPr>
            <w:tcW w:w="881" w:type="dxa"/>
            <w:tcBorders>
              <w:top w:val="single" w:color="auto" w:sz="4" w:space="0"/>
              <w:left w:val="single" w:color="auto" w:sz="4" w:space="0"/>
              <w:bottom w:val="nil"/>
              <w:right w:val="single" w:color="auto" w:sz="4" w:space="0"/>
            </w:tcBorders>
            <w:shd w:val="clear" w:color="auto" w:fill="auto"/>
            <w:vAlign w:val="center"/>
          </w:tcPr>
          <w:p w14:paraId="0C19507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02A7F6E5">
        <w:tblPrEx>
          <w:tblCellMar>
            <w:top w:w="0" w:type="dxa"/>
            <w:left w:w="0" w:type="dxa"/>
            <w:bottom w:w="0" w:type="dxa"/>
            <w:right w:w="0" w:type="dxa"/>
          </w:tblCellMar>
        </w:tblPrEx>
        <w:trPr>
          <w:gridAfter w:val="1"/>
          <w:wAfter w:w="90" w:type="dxa"/>
          <w:trHeight w:val="298" w:hRule="atLeast"/>
        </w:trPr>
        <w:tc>
          <w:tcPr>
            <w:tcW w:w="628" w:type="dxa"/>
            <w:vMerge w:val="continue"/>
            <w:tcBorders>
              <w:top w:val="single" w:color="auto" w:sz="4" w:space="0"/>
              <w:left w:val="single" w:color="auto" w:sz="4" w:space="0"/>
              <w:bottom w:val="nil"/>
              <w:right w:val="nil"/>
            </w:tcBorders>
            <w:vAlign w:val="center"/>
          </w:tcPr>
          <w:p w14:paraId="7ECC13F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41F0C0B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2</w:t>
            </w:r>
          </w:p>
        </w:tc>
        <w:tc>
          <w:tcPr>
            <w:tcW w:w="4036" w:type="dxa"/>
            <w:tcBorders>
              <w:top w:val="single" w:color="auto" w:sz="4" w:space="0"/>
              <w:left w:val="single" w:color="auto" w:sz="4" w:space="0"/>
              <w:bottom w:val="nil"/>
              <w:right w:val="nil"/>
            </w:tcBorders>
            <w:shd w:val="clear" w:color="auto" w:fill="FFFFFF"/>
            <w:vAlign w:val="center"/>
          </w:tcPr>
          <w:p w14:paraId="09255C1D">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健康预期寿命</w:t>
            </w:r>
          </w:p>
        </w:tc>
        <w:tc>
          <w:tcPr>
            <w:tcW w:w="641" w:type="dxa"/>
            <w:tcBorders>
              <w:top w:val="single" w:color="auto" w:sz="4" w:space="0"/>
              <w:left w:val="single" w:color="auto" w:sz="4" w:space="0"/>
              <w:bottom w:val="nil"/>
              <w:right w:val="nil"/>
            </w:tcBorders>
            <w:shd w:val="clear" w:color="auto" w:fill="FFFFFF"/>
            <w:vAlign w:val="center"/>
          </w:tcPr>
          <w:p w14:paraId="6B33247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val="zh-CN"/>
              </w:rPr>
            </w:pPr>
            <w:r>
              <w:rPr>
                <w:rFonts w:hint="default" w:ascii="Times New Roman" w:hAnsi="Times New Roman" w:eastAsia="仿宋_GB2312" w:cs="Times New Roman"/>
                <w:kern w:val="0"/>
                <w:sz w:val="22"/>
                <w:szCs w:val="28"/>
                <w:lang w:val="zh-CN"/>
              </w:rPr>
              <w:t>岁</w:t>
            </w:r>
          </w:p>
        </w:tc>
        <w:tc>
          <w:tcPr>
            <w:tcW w:w="961" w:type="dxa"/>
            <w:tcBorders>
              <w:top w:val="single" w:color="auto" w:sz="4" w:space="0"/>
              <w:left w:val="single" w:color="auto" w:sz="4" w:space="0"/>
              <w:bottom w:val="nil"/>
              <w:right w:val="nil"/>
            </w:tcBorders>
            <w:shd w:val="clear" w:color="auto" w:fill="auto"/>
            <w:vAlign w:val="center"/>
          </w:tcPr>
          <w:p w14:paraId="71FFFAD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bCs/>
                <w:kern w:val="0"/>
                <w:sz w:val="22"/>
                <w:szCs w:val="28"/>
              </w:rPr>
              <w:t>-</w:t>
            </w:r>
          </w:p>
        </w:tc>
        <w:tc>
          <w:tcPr>
            <w:tcW w:w="1003" w:type="dxa"/>
            <w:tcBorders>
              <w:top w:val="single" w:color="auto" w:sz="4" w:space="0"/>
              <w:left w:val="single" w:color="auto" w:sz="4" w:space="0"/>
              <w:bottom w:val="nil"/>
              <w:right w:val="nil"/>
            </w:tcBorders>
            <w:shd w:val="clear" w:color="auto" w:fill="auto"/>
            <w:vAlign w:val="center"/>
          </w:tcPr>
          <w:p w14:paraId="1E1991C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同比例</w:t>
            </w:r>
          </w:p>
          <w:p w14:paraId="7022958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bCs/>
                <w:kern w:val="0"/>
                <w:sz w:val="22"/>
                <w:szCs w:val="28"/>
              </w:rPr>
              <w:t>提高</w:t>
            </w:r>
          </w:p>
        </w:tc>
        <w:tc>
          <w:tcPr>
            <w:tcW w:w="881" w:type="dxa"/>
            <w:tcBorders>
              <w:top w:val="single" w:color="auto" w:sz="4" w:space="0"/>
              <w:left w:val="single" w:color="auto" w:sz="4" w:space="0"/>
              <w:bottom w:val="nil"/>
              <w:right w:val="single" w:color="auto" w:sz="4" w:space="0"/>
            </w:tcBorders>
            <w:shd w:val="clear" w:color="auto" w:fill="auto"/>
            <w:vAlign w:val="center"/>
          </w:tcPr>
          <w:p w14:paraId="0E5C270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5D409FC4">
        <w:tblPrEx>
          <w:tblCellMar>
            <w:top w:w="0" w:type="dxa"/>
            <w:left w:w="0" w:type="dxa"/>
            <w:bottom w:w="0" w:type="dxa"/>
            <w:right w:w="0" w:type="dxa"/>
          </w:tblCellMar>
        </w:tblPrEx>
        <w:trPr>
          <w:gridAfter w:val="1"/>
          <w:wAfter w:w="90" w:type="dxa"/>
          <w:trHeight w:val="260" w:hRule="atLeast"/>
        </w:trPr>
        <w:tc>
          <w:tcPr>
            <w:tcW w:w="628" w:type="dxa"/>
            <w:vMerge w:val="continue"/>
            <w:tcBorders>
              <w:top w:val="single" w:color="auto" w:sz="4" w:space="0"/>
              <w:left w:val="single" w:color="auto" w:sz="4" w:space="0"/>
              <w:bottom w:val="nil"/>
              <w:right w:val="nil"/>
            </w:tcBorders>
            <w:vAlign w:val="center"/>
          </w:tcPr>
          <w:p w14:paraId="4C7F274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single" w:color="auto" w:sz="4" w:space="0"/>
              <w:right w:val="nil"/>
            </w:tcBorders>
            <w:shd w:val="clear" w:color="auto" w:fill="FFFFFF"/>
            <w:vAlign w:val="center"/>
          </w:tcPr>
          <w:p w14:paraId="10DAAF0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3</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0BAFFF72">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孕产妇死亡率</w:t>
            </w:r>
          </w:p>
        </w:tc>
        <w:tc>
          <w:tcPr>
            <w:tcW w:w="641" w:type="dxa"/>
            <w:tcBorders>
              <w:top w:val="single" w:color="auto" w:sz="4" w:space="0"/>
              <w:left w:val="single" w:color="auto" w:sz="4" w:space="0"/>
              <w:bottom w:val="single" w:color="auto" w:sz="4" w:space="0"/>
              <w:right w:val="nil"/>
            </w:tcBorders>
            <w:shd w:val="clear" w:color="auto" w:fill="FFFFFF"/>
            <w:vAlign w:val="center"/>
          </w:tcPr>
          <w:p w14:paraId="7F8D813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lang w:val="zh-CN"/>
              </w:rPr>
              <w:t>/10万</w:t>
            </w:r>
          </w:p>
        </w:tc>
        <w:tc>
          <w:tcPr>
            <w:tcW w:w="961" w:type="dxa"/>
            <w:tcBorders>
              <w:top w:val="single" w:color="auto" w:sz="4" w:space="0"/>
              <w:left w:val="single" w:color="auto" w:sz="4" w:space="0"/>
              <w:bottom w:val="single" w:color="auto" w:sz="4" w:space="0"/>
              <w:right w:val="nil"/>
            </w:tcBorders>
            <w:shd w:val="clear" w:color="auto" w:fill="auto"/>
            <w:vAlign w:val="center"/>
          </w:tcPr>
          <w:p w14:paraId="302CF59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5.51</w:t>
            </w:r>
          </w:p>
        </w:tc>
        <w:tc>
          <w:tcPr>
            <w:tcW w:w="1003" w:type="dxa"/>
            <w:tcBorders>
              <w:top w:val="single" w:color="auto" w:sz="4" w:space="0"/>
              <w:left w:val="single" w:color="auto" w:sz="4" w:space="0"/>
              <w:bottom w:val="single" w:color="auto" w:sz="4" w:space="0"/>
              <w:right w:val="nil"/>
            </w:tcBorders>
            <w:shd w:val="clear" w:color="auto" w:fill="auto"/>
            <w:vAlign w:val="center"/>
          </w:tcPr>
          <w:p w14:paraId="6A6FDED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lang w:val="zh-CN"/>
              </w:rPr>
              <w:t>≤7</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03F3099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52DF77F6">
        <w:tblPrEx>
          <w:tblCellMar>
            <w:top w:w="0" w:type="dxa"/>
            <w:left w:w="0" w:type="dxa"/>
            <w:bottom w:w="0" w:type="dxa"/>
            <w:right w:w="0" w:type="dxa"/>
          </w:tblCellMar>
        </w:tblPrEx>
        <w:trPr>
          <w:gridAfter w:val="1"/>
          <w:wAfter w:w="90" w:type="dxa"/>
          <w:trHeight w:val="269" w:hRule="atLeast"/>
        </w:trPr>
        <w:tc>
          <w:tcPr>
            <w:tcW w:w="628" w:type="dxa"/>
            <w:vMerge w:val="continue"/>
            <w:tcBorders>
              <w:top w:val="single" w:color="auto" w:sz="4" w:space="0"/>
              <w:left w:val="single" w:color="auto" w:sz="4" w:space="0"/>
              <w:bottom w:val="nil"/>
              <w:right w:val="nil"/>
            </w:tcBorders>
            <w:vAlign w:val="center"/>
          </w:tcPr>
          <w:p w14:paraId="4DB6E25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single" w:color="auto" w:sz="4" w:space="0"/>
              <w:right w:val="single" w:color="auto" w:sz="4" w:space="0"/>
            </w:tcBorders>
            <w:shd w:val="clear" w:color="auto" w:fill="FFFFFF"/>
            <w:vAlign w:val="center"/>
          </w:tcPr>
          <w:p w14:paraId="3B1AC67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4</w:t>
            </w:r>
          </w:p>
        </w:tc>
        <w:tc>
          <w:tcPr>
            <w:tcW w:w="4036" w:type="dxa"/>
            <w:tcBorders>
              <w:top w:val="single" w:color="auto" w:sz="4" w:space="0"/>
              <w:left w:val="single" w:color="auto" w:sz="4" w:space="0"/>
              <w:bottom w:val="single" w:color="auto" w:sz="4" w:space="0"/>
              <w:right w:val="single" w:color="auto" w:sz="4" w:space="0"/>
            </w:tcBorders>
            <w:shd w:val="clear" w:color="auto" w:fill="FFFFFF"/>
            <w:vAlign w:val="center"/>
          </w:tcPr>
          <w:p w14:paraId="142E8758">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婴儿死亡率</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0B5A218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lang w:val="zh-CN"/>
              </w:rPr>
              <w:t>‰</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4F79610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2.95</w:t>
            </w:r>
          </w:p>
        </w:tc>
        <w:tc>
          <w:tcPr>
            <w:tcW w:w="1003" w:type="dxa"/>
            <w:tcBorders>
              <w:top w:val="single" w:color="auto" w:sz="4" w:space="0"/>
              <w:left w:val="single" w:color="auto" w:sz="4" w:space="0"/>
              <w:bottom w:val="single" w:color="auto" w:sz="4" w:space="0"/>
              <w:right w:val="single" w:color="auto" w:sz="4" w:space="0"/>
            </w:tcBorders>
            <w:shd w:val="clear" w:color="auto" w:fill="auto"/>
            <w:vAlign w:val="center"/>
          </w:tcPr>
          <w:p w14:paraId="61F0730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≤4</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601CBA6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0F934F4F">
        <w:tblPrEx>
          <w:tblCellMar>
            <w:top w:w="0" w:type="dxa"/>
            <w:left w:w="0" w:type="dxa"/>
            <w:bottom w:w="0" w:type="dxa"/>
            <w:right w:w="0" w:type="dxa"/>
          </w:tblCellMar>
        </w:tblPrEx>
        <w:trPr>
          <w:gridAfter w:val="1"/>
          <w:wAfter w:w="90" w:type="dxa"/>
          <w:trHeight w:val="246" w:hRule="atLeast"/>
        </w:trPr>
        <w:tc>
          <w:tcPr>
            <w:tcW w:w="628" w:type="dxa"/>
            <w:vMerge w:val="continue"/>
            <w:tcBorders>
              <w:top w:val="single" w:color="auto" w:sz="4" w:space="0"/>
              <w:left w:val="single" w:color="auto" w:sz="4" w:space="0"/>
              <w:bottom w:val="nil"/>
              <w:right w:val="nil"/>
            </w:tcBorders>
            <w:vAlign w:val="center"/>
          </w:tcPr>
          <w:p w14:paraId="12404B9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02EE404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5</w:t>
            </w:r>
          </w:p>
        </w:tc>
        <w:tc>
          <w:tcPr>
            <w:tcW w:w="4036" w:type="dxa"/>
            <w:tcBorders>
              <w:top w:val="single" w:color="auto" w:sz="4" w:space="0"/>
              <w:left w:val="single" w:color="auto" w:sz="4" w:space="0"/>
              <w:bottom w:val="nil"/>
              <w:right w:val="nil"/>
            </w:tcBorders>
            <w:shd w:val="clear" w:color="auto" w:fill="FFFFFF"/>
            <w:vAlign w:val="center"/>
          </w:tcPr>
          <w:p w14:paraId="38705DED">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5岁以下儿童死亡率</w:t>
            </w:r>
          </w:p>
        </w:tc>
        <w:tc>
          <w:tcPr>
            <w:tcW w:w="641" w:type="dxa"/>
            <w:tcBorders>
              <w:top w:val="single" w:color="auto" w:sz="4" w:space="0"/>
              <w:left w:val="single" w:color="auto" w:sz="4" w:space="0"/>
              <w:bottom w:val="nil"/>
              <w:right w:val="nil"/>
            </w:tcBorders>
            <w:shd w:val="clear" w:color="auto" w:fill="FFFFFF"/>
            <w:vAlign w:val="center"/>
          </w:tcPr>
          <w:p w14:paraId="2467DBE8">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iCs/>
                <w:kern w:val="0"/>
                <w:sz w:val="22"/>
                <w:szCs w:val="28"/>
                <w:lang w:val="zh-CN"/>
              </w:rPr>
              <w:t>‰</w:t>
            </w:r>
          </w:p>
        </w:tc>
        <w:tc>
          <w:tcPr>
            <w:tcW w:w="961" w:type="dxa"/>
            <w:tcBorders>
              <w:top w:val="single" w:color="auto" w:sz="4" w:space="0"/>
              <w:left w:val="single" w:color="auto" w:sz="4" w:space="0"/>
              <w:bottom w:val="nil"/>
              <w:right w:val="nil"/>
            </w:tcBorders>
            <w:shd w:val="clear" w:color="auto" w:fill="auto"/>
            <w:vAlign w:val="center"/>
          </w:tcPr>
          <w:p w14:paraId="3493FB5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lang w:val="zh-CN"/>
              </w:rPr>
              <w:t>4.57</w:t>
            </w:r>
          </w:p>
        </w:tc>
        <w:tc>
          <w:tcPr>
            <w:tcW w:w="1003" w:type="dxa"/>
            <w:tcBorders>
              <w:top w:val="single" w:color="auto" w:sz="4" w:space="0"/>
              <w:left w:val="single" w:color="auto" w:sz="4" w:space="0"/>
              <w:bottom w:val="nil"/>
              <w:right w:val="nil"/>
            </w:tcBorders>
            <w:shd w:val="clear" w:color="auto" w:fill="auto"/>
            <w:vAlign w:val="center"/>
          </w:tcPr>
          <w:p w14:paraId="2404F5A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≤5</w:t>
            </w:r>
          </w:p>
        </w:tc>
        <w:tc>
          <w:tcPr>
            <w:tcW w:w="881" w:type="dxa"/>
            <w:tcBorders>
              <w:top w:val="single" w:color="auto" w:sz="4" w:space="0"/>
              <w:left w:val="single" w:color="auto" w:sz="4" w:space="0"/>
              <w:bottom w:val="nil"/>
              <w:right w:val="single" w:color="auto" w:sz="4" w:space="0"/>
            </w:tcBorders>
            <w:shd w:val="clear" w:color="auto" w:fill="auto"/>
            <w:vAlign w:val="center"/>
          </w:tcPr>
          <w:p w14:paraId="481516B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54FB4748">
        <w:tblPrEx>
          <w:tblCellMar>
            <w:top w:w="0" w:type="dxa"/>
            <w:left w:w="0" w:type="dxa"/>
            <w:bottom w:w="0" w:type="dxa"/>
            <w:right w:w="0" w:type="dxa"/>
          </w:tblCellMar>
        </w:tblPrEx>
        <w:trPr>
          <w:gridAfter w:val="1"/>
          <w:wAfter w:w="90" w:type="dxa"/>
          <w:trHeight w:val="274" w:hRule="atLeast"/>
        </w:trPr>
        <w:tc>
          <w:tcPr>
            <w:tcW w:w="628" w:type="dxa"/>
            <w:vMerge w:val="continue"/>
            <w:tcBorders>
              <w:top w:val="single" w:color="auto" w:sz="4" w:space="0"/>
              <w:left w:val="single" w:color="auto" w:sz="4" w:space="0"/>
              <w:bottom w:val="nil"/>
              <w:right w:val="nil"/>
            </w:tcBorders>
            <w:vAlign w:val="center"/>
          </w:tcPr>
          <w:p w14:paraId="62229E0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260FD3B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6</w:t>
            </w:r>
          </w:p>
        </w:tc>
        <w:tc>
          <w:tcPr>
            <w:tcW w:w="4036" w:type="dxa"/>
            <w:tcBorders>
              <w:top w:val="single" w:color="auto" w:sz="4" w:space="0"/>
              <w:left w:val="single" w:color="auto" w:sz="4" w:space="0"/>
              <w:bottom w:val="nil"/>
              <w:right w:val="nil"/>
            </w:tcBorders>
            <w:shd w:val="clear" w:color="auto" w:fill="FFFFFF"/>
            <w:vAlign w:val="center"/>
          </w:tcPr>
          <w:p w14:paraId="28D4B7EC">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重大慢性病过早死亡率</w:t>
            </w:r>
          </w:p>
        </w:tc>
        <w:tc>
          <w:tcPr>
            <w:tcW w:w="641" w:type="dxa"/>
            <w:tcBorders>
              <w:top w:val="single" w:color="auto" w:sz="4" w:space="0"/>
              <w:left w:val="single" w:color="auto" w:sz="4" w:space="0"/>
              <w:bottom w:val="nil"/>
              <w:right w:val="nil"/>
            </w:tcBorders>
            <w:shd w:val="clear" w:color="auto" w:fill="FFFFFF"/>
            <w:vAlign w:val="center"/>
          </w:tcPr>
          <w:p w14:paraId="182990F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iCs/>
                <w:kern w:val="0"/>
                <w:sz w:val="22"/>
                <w:szCs w:val="28"/>
                <w:lang w:val="zh-CN"/>
              </w:rPr>
            </w:pPr>
            <w:r>
              <w:rPr>
                <w:rFonts w:hint="default" w:ascii="Times New Roman" w:hAnsi="Times New Roman" w:eastAsia="仿宋_GB2312" w:cs="Times New Roman"/>
                <w:iCs/>
                <w:kern w:val="0"/>
                <w:sz w:val="22"/>
                <w:szCs w:val="28"/>
                <w:lang w:val="zh-CN"/>
              </w:rPr>
              <w:t>%</w:t>
            </w:r>
          </w:p>
        </w:tc>
        <w:tc>
          <w:tcPr>
            <w:tcW w:w="961" w:type="dxa"/>
            <w:tcBorders>
              <w:top w:val="single" w:color="auto" w:sz="4" w:space="0"/>
              <w:left w:val="single" w:color="auto" w:sz="4" w:space="0"/>
              <w:bottom w:val="nil"/>
              <w:right w:val="nil"/>
            </w:tcBorders>
            <w:shd w:val="clear" w:color="auto" w:fill="auto"/>
            <w:vAlign w:val="center"/>
          </w:tcPr>
          <w:p w14:paraId="5231610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10.48</w:t>
            </w:r>
          </w:p>
        </w:tc>
        <w:tc>
          <w:tcPr>
            <w:tcW w:w="1003" w:type="dxa"/>
            <w:tcBorders>
              <w:top w:val="single" w:color="auto" w:sz="4" w:space="0"/>
              <w:left w:val="single" w:color="auto" w:sz="4" w:space="0"/>
              <w:bottom w:val="nil"/>
              <w:right w:val="nil"/>
            </w:tcBorders>
            <w:shd w:val="clear" w:color="auto" w:fill="auto"/>
            <w:vAlign w:val="center"/>
          </w:tcPr>
          <w:p w14:paraId="0273BC9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≤9.6</w:t>
            </w:r>
          </w:p>
        </w:tc>
        <w:tc>
          <w:tcPr>
            <w:tcW w:w="881" w:type="dxa"/>
            <w:tcBorders>
              <w:top w:val="single" w:color="auto" w:sz="4" w:space="0"/>
              <w:left w:val="single" w:color="auto" w:sz="4" w:space="0"/>
              <w:bottom w:val="nil"/>
              <w:right w:val="single" w:color="auto" w:sz="4" w:space="0"/>
            </w:tcBorders>
            <w:shd w:val="clear" w:color="auto" w:fill="auto"/>
            <w:vAlign w:val="center"/>
          </w:tcPr>
          <w:p w14:paraId="7E2E904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6EB3D78D">
        <w:tblPrEx>
          <w:tblCellMar>
            <w:top w:w="0" w:type="dxa"/>
            <w:left w:w="0" w:type="dxa"/>
            <w:bottom w:w="0" w:type="dxa"/>
            <w:right w:w="0" w:type="dxa"/>
          </w:tblCellMar>
        </w:tblPrEx>
        <w:trPr>
          <w:gridAfter w:val="1"/>
          <w:wAfter w:w="90" w:type="dxa"/>
          <w:trHeight w:val="269" w:hRule="atLeast"/>
        </w:trPr>
        <w:tc>
          <w:tcPr>
            <w:tcW w:w="628" w:type="dxa"/>
            <w:vMerge w:val="restart"/>
            <w:tcBorders>
              <w:top w:val="single" w:color="auto" w:sz="4" w:space="0"/>
              <w:left w:val="single" w:color="auto" w:sz="4" w:space="0"/>
              <w:right w:val="nil"/>
            </w:tcBorders>
            <w:shd w:val="clear" w:color="auto" w:fill="FFFFFF"/>
            <w:vAlign w:val="center"/>
          </w:tcPr>
          <w:p w14:paraId="3FC3261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健康生活</w:t>
            </w:r>
          </w:p>
        </w:tc>
        <w:tc>
          <w:tcPr>
            <w:tcW w:w="695" w:type="dxa"/>
            <w:tcBorders>
              <w:top w:val="single" w:color="auto" w:sz="4" w:space="0"/>
              <w:left w:val="single" w:color="auto" w:sz="4" w:space="0"/>
              <w:bottom w:val="nil"/>
              <w:right w:val="nil"/>
            </w:tcBorders>
            <w:shd w:val="clear" w:color="auto" w:fill="FFFFFF"/>
            <w:vAlign w:val="center"/>
          </w:tcPr>
          <w:p w14:paraId="504F3FC8">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7</w:t>
            </w:r>
          </w:p>
        </w:tc>
        <w:tc>
          <w:tcPr>
            <w:tcW w:w="4036" w:type="dxa"/>
            <w:tcBorders>
              <w:top w:val="single" w:color="auto" w:sz="4" w:space="0"/>
              <w:left w:val="single" w:color="auto" w:sz="4" w:space="0"/>
              <w:bottom w:val="nil"/>
              <w:right w:val="nil"/>
            </w:tcBorders>
            <w:shd w:val="clear" w:color="auto" w:fill="FFFFFF"/>
            <w:vAlign w:val="center"/>
          </w:tcPr>
          <w:p w14:paraId="43466341">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居民健康素养水平</w:t>
            </w:r>
          </w:p>
        </w:tc>
        <w:tc>
          <w:tcPr>
            <w:tcW w:w="641" w:type="dxa"/>
            <w:tcBorders>
              <w:top w:val="single" w:color="auto" w:sz="4" w:space="0"/>
              <w:left w:val="single" w:color="auto" w:sz="4" w:space="0"/>
              <w:bottom w:val="nil"/>
              <w:right w:val="nil"/>
            </w:tcBorders>
            <w:shd w:val="clear" w:color="auto" w:fill="FFFFFF"/>
            <w:vAlign w:val="center"/>
          </w:tcPr>
          <w:p w14:paraId="511230B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iCs/>
                <w:kern w:val="0"/>
                <w:sz w:val="22"/>
                <w:szCs w:val="28"/>
                <w:lang w:val="zh-CN"/>
              </w:rPr>
            </w:pPr>
            <w:r>
              <w:rPr>
                <w:rFonts w:hint="default" w:ascii="Times New Roman" w:hAnsi="Times New Roman" w:eastAsia="仿宋_GB2312" w:cs="Times New Roman"/>
                <w:iCs/>
                <w:kern w:val="0"/>
                <w:sz w:val="22"/>
                <w:szCs w:val="28"/>
                <w:lang w:val="zh-CN"/>
              </w:rPr>
              <w:t>%</w:t>
            </w:r>
          </w:p>
        </w:tc>
        <w:tc>
          <w:tcPr>
            <w:tcW w:w="961" w:type="dxa"/>
            <w:tcBorders>
              <w:top w:val="single" w:color="auto" w:sz="4" w:space="0"/>
              <w:left w:val="single" w:color="auto" w:sz="4" w:space="0"/>
              <w:bottom w:val="nil"/>
              <w:right w:val="nil"/>
            </w:tcBorders>
            <w:shd w:val="clear" w:color="auto" w:fill="auto"/>
            <w:vAlign w:val="center"/>
          </w:tcPr>
          <w:p w14:paraId="1F572D3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29.26</w:t>
            </w:r>
          </w:p>
        </w:tc>
        <w:tc>
          <w:tcPr>
            <w:tcW w:w="1003" w:type="dxa"/>
            <w:tcBorders>
              <w:top w:val="single" w:color="auto" w:sz="4" w:space="0"/>
              <w:left w:val="single" w:color="auto" w:sz="4" w:space="0"/>
              <w:bottom w:val="nil"/>
              <w:right w:val="nil"/>
            </w:tcBorders>
            <w:shd w:val="clear" w:color="auto" w:fill="auto"/>
            <w:vAlign w:val="center"/>
          </w:tcPr>
          <w:p w14:paraId="59038DB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≥36</w:t>
            </w:r>
          </w:p>
        </w:tc>
        <w:tc>
          <w:tcPr>
            <w:tcW w:w="881" w:type="dxa"/>
            <w:tcBorders>
              <w:top w:val="single" w:color="auto" w:sz="4" w:space="0"/>
              <w:left w:val="single" w:color="auto" w:sz="4" w:space="0"/>
              <w:bottom w:val="nil"/>
              <w:right w:val="single" w:color="auto" w:sz="4" w:space="0"/>
            </w:tcBorders>
            <w:shd w:val="clear" w:color="auto" w:fill="auto"/>
            <w:vAlign w:val="center"/>
          </w:tcPr>
          <w:p w14:paraId="53D3074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52335A33">
        <w:tblPrEx>
          <w:tblCellMar>
            <w:top w:w="0" w:type="dxa"/>
            <w:left w:w="0" w:type="dxa"/>
            <w:bottom w:w="0" w:type="dxa"/>
            <w:right w:w="0" w:type="dxa"/>
          </w:tblCellMar>
        </w:tblPrEx>
        <w:trPr>
          <w:gridAfter w:val="1"/>
          <w:wAfter w:w="90" w:type="dxa"/>
          <w:trHeight w:val="269" w:hRule="atLeast"/>
        </w:trPr>
        <w:tc>
          <w:tcPr>
            <w:tcW w:w="628" w:type="dxa"/>
            <w:vMerge w:val="continue"/>
            <w:tcBorders>
              <w:left w:val="single" w:color="auto" w:sz="4" w:space="0"/>
              <w:right w:val="nil"/>
            </w:tcBorders>
            <w:vAlign w:val="center"/>
          </w:tcPr>
          <w:p w14:paraId="5B87E38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13DF169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8</w:t>
            </w:r>
          </w:p>
        </w:tc>
        <w:tc>
          <w:tcPr>
            <w:tcW w:w="4036" w:type="dxa"/>
            <w:tcBorders>
              <w:top w:val="single" w:color="auto" w:sz="4" w:space="0"/>
              <w:left w:val="single" w:color="auto" w:sz="4" w:space="0"/>
              <w:bottom w:val="nil"/>
              <w:right w:val="nil"/>
            </w:tcBorders>
            <w:shd w:val="clear" w:color="auto" w:fill="FFFFFF"/>
            <w:vAlign w:val="center"/>
          </w:tcPr>
          <w:p w14:paraId="4977C0C4">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15岁以上人群吸烟率</w:t>
            </w:r>
          </w:p>
        </w:tc>
        <w:tc>
          <w:tcPr>
            <w:tcW w:w="641" w:type="dxa"/>
            <w:tcBorders>
              <w:top w:val="single" w:color="auto" w:sz="4" w:space="0"/>
              <w:left w:val="single" w:color="auto" w:sz="4" w:space="0"/>
              <w:bottom w:val="nil"/>
              <w:right w:val="nil"/>
            </w:tcBorders>
            <w:shd w:val="clear" w:color="auto" w:fill="FFFFFF"/>
            <w:vAlign w:val="center"/>
          </w:tcPr>
          <w:p w14:paraId="60B0805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iCs/>
                <w:kern w:val="0"/>
                <w:sz w:val="22"/>
                <w:szCs w:val="28"/>
                <w:lang w:val="zh-CN"/>
              </w:rPr>
            </w:pPr>
            <w:r>
              <w:rPr>
                <w:rFonts w:hint="default" w:ascii="Times New Roman" w:hAnsi="Times New Roman" w:eastAsia="仿宋_GB2312" w:cs="Times New Roman"/>
                <w:iCs/>
                <w:kern w:val="0"/>
                <w:sz w:val="22"/>
                <w:szCs w:val="28"/>
                <w:lang w:val="zh-CN"/>
              </w:rPr>
              <w:t>%</w:t>
            </w:r>
          </w:p>
        </w:tc>
        <w:tc>
          <w:tcPr>
            <w:tcW w:w="961" w:type="dxa"/>
            <w:tcBorders>
              <w:top w:val="single" w:color="auto" w:sz="4" w:space="0"/>
              <w:left w:val="single" w:color="auto" w:sz="4" w:space="0"/>
              <w:bottom w:val="nil"/>
              <w:right w:val="nil"/>
            </w:tcBorders>
            <w:shd w:val="clear" w:color="auto" w:fill="auto"/>
            <w:vAlign w:val="center"/>
          </w:tcPr>
          <w:p w14:paraId="4C7364F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w:t>
            </w:r>
          </w:p>
        </w:tc>
        <w:tc>
          <w:tcPr>
            <w:tcW w:w="1003" w:type="dxa"/>
            <w:tcBorders>
              <w:top w:val="single" w:color="auto" w:sz="4" w:space="0"/>
              <w:left w:val="single" w:color="auto" w:sz="4" w:space="0"/>
              <w:bottom w:val="nil"/>
              <w:right w:val="nil"/>
            </w:tcBorders>
            <w:shd w:val="clear" w:color="auto" w:fill="auto"/>
            <w:vAlign w:val="center"/>
          </w:tcPr>
          <w:p w14:paraId="4679848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≤21</w:t>
            </w:r>
          </w:p>
        </w:tc>
        <w:tc>
          <w:tcPr>
            <w:tcW w:w="881" w:type="dxa"/>
            <w:tcBorders>
              <w:top w:val="single" w:color="auto" w:sz="4" w:space="0"/>
              <w:left w:val="single" w:color="auto" w:sz="4" w:space="0"/>
              <w:bottom w:val="nil"/>
              <w:right w:val="single" w:color="auto" w:sz="4" w:space="0"/>
            </w:tcBorders>
            <w:shd w:val="clear" w:color="auto" w:fill="auto"/>
            <w:vAlign w:val="center"/>
          </w:tcPr>
          <w:p w14:paraId="6EFA8FD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449E18AA">
        <w:tblPrEx>
          <w:tblCellMar>
            <w:top w:w="0" w:type="dxa"/>
            <w:left w:w="0" w:type="dxa"/>
            <w:bottom w:w="0" w:type="dxa"/>
            <w:right w:w="0" w:type="dxa"/>
          </w:tblCellMar>
        </w:tblPrEx>
        <w:trPr>
          <w:gridAfter w:val="1"/>
          <w:wAfter w:w="90" w:type="dxa"/>
          <w:trHeight w:val="317" w:hRule="atLeast"/>
        </w:trPr>
        <w:tc>
          <w:tcPr>
            <w:tcW w:w="628" w:type="dxa"/>
            <w:vMerge w:val="continue"/>
            <w:tcBorders>
              <w:left w:val="single" w:color="auto" w:sz="4" w:space="0"/>
              <w:bottom w:val="single" w:color="auto" w:sz="4" w:space="0"/>
              <w:right w:val="nil"/>
            </w:tcBorders>
            <w:vAlign w:val="center"/>
          </w:tcPr>
          <w:p w14:paraId="3EDB51F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0A2B0F9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9</w:t>
            </w:r>
          </w:p>
        </w:tc>
        <w:tc>
          <w:tcPr>
            <w:tcW w:w="4036" w:type="dxa"/>
            <w:tcBorders>
              <w:top w:val="single" w:color="auto" w:sz="4" w:space="0"/>
              <w:left w:val="single" w:color="auto" w:sz="4" w:space="0"/>
              <w:bottom w:val="nil"/>
              <w:right w:val="nil"/>
            </w:tcBorders>
            <w:shd w:val="clear" w:color="auto" w:fill="FFFFFF"/>
            <w:vAlign w:val="center"/>
          </w:tcPr>
          <w:p w14:paraId="610B9CDA">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国家卫生乡镇数量占比</w:t>
            </w:r>
          </w:p>
        </w:tc>
        <w:tc>
          <w:tcPr>
            <w:tcW w:w="641" w:type="dxa"/>
            <w:tcBorders>
              <w:top w:val="single" w:color="auto" w:sz="4" w:space="0"/>
              <w:left w:val="single" w:color="auto" w:sz="4" w:space="0"/>
              <w:bottom w:val="nil"/>
              <w:right w:val="nil"/>
            </w:tcBorders>
            <w:shd w:val="clear" w:color="auto" w:fill="FFFFFF"/>
            <w:vAlign w:val="center"/>
          </w:tcPr>
          <w:p w14:paraId="3C917F8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iCs/>
                <w:kern w:val="0"/>
                <w:sz w:val="22"/>
                <w:szCs w:val="28"/>
                <w:lang w:val="zh-CN"/>
              </w:rPr>
            </w:pPr>
            <w:r>
              <w:rPr>
                <w:rFonts w:hint="default" w:ascii="Times New Roman" w:hAnsi="Times New Roman" w:eastAsia="仿宋_GB2312" w:cs="Times New Roman"/>
                <w:bCs/>
                <w:kern w:val="0"/>
                <w:sz w:val="22"/>
                <w:szCs w:val="28"/>
                <w:lang w:eastAsia="en-US"/>
              </w:rPr>
              <w:t>%</w:t>
            </w:r>
          </w:p>
        </w:tc>
        <w:tc>
          <w:tcPr>
            <w:tcW w:w="961" w:type="dxa"/>
            <w:tcBorders>
              <w:top w:val="single" w:color="auto" w:sz="4" w:space="0"/>
              <w:left w:val="single" w:color="auto" w:sz="4" w:space="0"/>
              <w:bottom w:val="nil"/>
              <w:right w:val="nil"/>
            </w:tcBorders>
            <w:shd w:val="clear" w:color="auto" w:fill="auto"/>
            <w:vAlign w:val="center"/>
          </w:tcPr>
          <w:p w14:paraId="0AE4E7F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83.33</w:t>
            </w:r>
          </w:p>
        </w:tc>
        <w:tc>
          <w:tcPr>
            <w:tcW w:w="1003" w:type="dxa"/>
            <w:tcBorders>
              <w:top w:val="single" w:color="auto" w:sz="4" w:space="0"/>
              <w:left w:val="single" w:color="auto" w:sz="4" w:space="0"/>
              <w:bottom w:val="nil"/>
              <w:right w:val="nil"/>
            </w:tcBorders>
            <w:shd w:val="clear" w:color="auto" w:fill="auto"/>
            <w:vAlign w:val="center"/>
          </w:tcPr>
          <w:p w14:paraId="1F05563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95</w:t>
            </w:r>
          </w:p>
        </w:tc>
        <w:tc>
          <w:tcPr>
            <w:tcW w:w="881" w:type="dxa"/>
            <w:tcBorders>
              <w:top w:val="single" w:color="auto" w:sz="4" w:space="0"/>
              <w:left w:val="single" w:color="auto" w:sz="4" w:space="0"/>
              <w:bottom w:val="nil"/>
              <w:right w:val="single" w:color="auto" w:sz="4" w:space="0"/>
            </w:tcBorders>
            <w:shd w:val="clear" w:color="auto" w:fill="auto"/>
            <w:vAlign w:val="center"/>
          </w:tcPr>
          <w:p w14:paraId="23B4E7D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297B7A25">
        <w:tblPrEx>
          <w:tblCellMar>
            <w:top w:w="0" w:type="dxa"/>
            <w:left w:w="0" w:type="dxa"/>
            <w:bottom w:w="0" w:type="dxa"/>
            <w:right w:w="0" w:type="dxa"/>
          </w:tblCellMar>
        </w:tblPrEx>
        <w:trPr>
          <w:gridAfter w:val="1"/>
          <w:wAfter w:w="90" w:type="dxa"/>
          <w:trHeight w:val="279" w:hRule="atLeast"/>
        </w:trPr>
        <w:tc>
          <w:tcPr>
            <w:tcW w:w="628" w:type="dxa"/>
            <w:vMerge w:val="restart"/>
            <w:tcBorders>
              <w:top w:val="single" w:color="auto" w:sz="4" w:space="0"/>
              <w:left w:val="single" w:color="auto" w:sz="4" w:space="0"/>
              <w:right w:val="nil"/>
            </w:tcBorders>
            <w:shd w:val="clear" w:color="auto" w:fill="FFFFFF"/>
            <w:vAlign w:val="center"/>
          </w:tcPr>
          <w:p w14:paraId="223D7BF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健康服务</w:t>
            </w:r>
          </w:p>
        </w:tc>
        <w:tc>
          <w:tcPr>
            <w:tcW w:w="695" w:type="dxa"/>
            <w:tcBorders>
              <w:top w:val="single" w:color="auto" w:sz="4" w:space="0"/>
              <w:left w:val="single" w:color="auto" w:sz="4" w:space="0"/>
              <w:bottom w:val="single" w:color="auto" w:sz="4" w:space="0"/>
              <w:right w:val="nil"/>
            </w:tcBorders>
            <w:shd w:val="clear" w:color="auto" w:fill="FFFFFF"/>
            <w:vAlign w:val="center"/>
          </w:tcPr>
          <w:p w14:paraId="5F761D1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10</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30B4DAB9">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每千人医疗卫生机构床位数</w:t>
            </w:r>
          </w:p>
        </w:tc>
        <w:tc>
          <w:tcPr>
            <w:tcW w:w="641" w:type="dxa"/>
            <w:tcBorders>
              <w:top w:val="single" w:color="auto" w:sz="4" w:space="0"/>
              <w:left w:val="single" w:color="auto" w:sz="4" w:space="0"/>
              <w:bottom w:val="single" w:color="auto" w:sz="4" w:space="0"/>
              <w:right w:val="nil"/>
            </w:tcBorders>
            <w:shd w:val="clear" w:color="auto" w:fill="FFFFFF"/>
            <w:vAlign w:val="center"/>
          </w:tcPr>
          <w:p w14:paraId="79BE666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iCs/>
                <w:kern w:val="0"/>
                <w:sz w:val="22"/>
                <w:szCs w:val="28"/>
                <w:lang w:val="zh-CN"/>
              </w:rPr>
            </w:pPr>
            <w:r>
              <w:rPr>
                <w:rFonts w:hint="default" w:ascii="Times New Roman" w:hAnsi="Times New Roman" w:eastAsia="仿宋_GB2312" w:cs="Times New Roman"/>
                <w:iCs/>
                <w:kern w:val="0"/>
                <w:sz w:val="22"/>
                <w:szCs w:val="28"/>
                <w:lang w:val="zh-CN"/>
              </w:rPr>
              <w:t>张</w:t>
            </w:r>
          </w:p>
        </w:tc>
        <w:tc>
          <w:tcPr>
            <w:tcW w:w="961" w:type="dxa"/>
            <w:tcBorders>
              <w:top w:val="single" w:color="auto" w:sz="4" w:space="0"/>
              <w:left w:val="single" w:color="auto" w:sz="4" w:space="0"/>
              <w:bottom w:val="single" w:color="auto" w:sz="4" w:space="0"/>
              <w:right w:val="nil"/>
            </w:tcBorders>
            <w:shd w:val="clear" w:color="auto" w:fill="auto"/>
            <w:vAlign w:val="center"/>
          </w:tcPr>
          <w:p w14:paraId="09F7C10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6.18</w:t>
            </w:r>
          </w:p>
        </w:tc>
        <w:tc>
          <w:tcPr>
            <w:tcW w:w="1003" w:type="dxa"/>
            <w:tcBorders>
              <w:top w:val="single" w:color="auto" w:sz="4" w:space="0"/>
              <w:left w:val="single" w:color="auto" w:sz="4" w:space="0"/>
              <w:bottom w:val="single" w:color="auto" w:sz="4" w:space="0"/>
              <w:right w:val="nil"/>
            </w:tcBorders>
            <w:shd w:val="clear" w:color="auto" w:fill="auto"/>
            <w:vAlign w:val="center"/>
          </w:tcPr>
          <w:p w14:paraId="7B8B2AB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7.6</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18D6CB5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25A08C69">
        <w:tblPrEx>
          <w:tblCellMar>
            <w:top w:w="0" w:type="dxa"/>
            <w:left w:w="0" w:type="dxa"/>
            <w:bottom w:w="0" w:type="dxa"/>
            <w:right w:w="0" w:type="dxa"/>
          </w:tblCellMar>
        </w:tblPrEx>
        <w:trPr>
          <w:gridAfter w:val="1"/>
          <w:wAfter w:w="90" w:type="dxa"/>
          <w:trHeight w:val="255" w:hRule="atLeast"/>
        </w:trPr>
        <w:tc>
          <w:tcPr>
            <w:tcW w:w="628" w:type="dxa"/>
            <w:vMerge w:val="continue"/>
            <w:tcBorders>
              <w:left w:val="single" w:color="auto" w:sz="4" w:space="0"/>
              <w:right w:val="nil"/>
            </w:tcBorders>
            <w:vAlign w:val="center"/>
          </w:tcPr>
          <w:p w14:paraId="2BED7A3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vMerge w:val="restart"/>
            <w:tcBorders>
              <w:top w:val="single" w:color="auto" w:sz="4" w:space="0"/>
              <w:left w:val="single" w:color="auto" w:sz="4" w:space="0"/>
              <w:bottom w:val="single" w:color="auto" w:sz="4" w:space="0"/>
              <w:right w:val="nil"/>
            </w:tcBorders>
            <w:shd w:val="clear" w:color="auto" w:fill="FFFFFF"/>
            <w:vAlign w:val="center"/>
          </w:tcPr>
          <w:p w14:paraId="29ABE24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11</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2BE0A5BD">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每千人口执业（助理）医师数</w:t>
            </w:r>
          </w:p>
        </w:tc>
        <w:tc>
          <w:tcPr>
            <w:tcW w:w="641" w:type="dxa"/>
            <w:tcBorders>
              <w:top w:val="single" w:color="auto" w:sz="4" w:space="0"/>
              <w:left w:val="single" w:color="auto" w:sz="4" w:space="0"/>
              <w:bottom w:val="single" w:color="auto" w:sz="4" w:space="0"/>
              <w:right w:val="nil"/>
            </w:tcBorders>
            <w:shd w:val="clear" w:color="auto" w:fill="FFFFFF"/>
            <w:vAlign w:val="center"/>
          </w:tcPr>
          <w:p w14:paraId="1467DDB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iCs/>
                <w:kern w:val="0"/>
                <w:sz w:val="22"/>
                <w:szCs w:val="28"/>
                <w:lang w:val="zh-CN"/>
              </w:rPr>
            </w:pPr>
            <w:r>
              <w:rPr>
                <w:rFonts w:hint="default" w:ascii="Times New Roman" w:hAnsi="Times New Roman" w:eastAsia="仿宋_GB2312" w:cs="Times New Roman"/>
                <w:iCs/>
                <w:kern w:val="0"/>
                <w:sz w:val="22"/>
                <w:szCs w:val="28"/>
                <w:lang w:val="zh-CN"/>
              </w:rPr>
              <w:t>人</w:t>
            </w:r>
          </w:p>
        </w:tc>
        <w:tc>
          <w:tcPr>
            <w:tcW w:w="961" w:type="dxa"/>
            <w:tcBorders>
              <w:top w:val="single" w:color="auto" w:sz="4" w:space="0"/>
              <w:left w:val="single" w:color="auto" w:sz="4" w:space="0"/>
              <w:bottom w:val="single" w:color="auto" w:sz="4" w:space="0"/>
              <w:right w:val="nil"/>
            </w:tcBorders>
            <w:shd w:val="clear" w:color="auto" w:fill="auto"/>
            <w:vAlign w:val="center"/>
          </w:tcPr>
          <w:p w14:paraId="1E67305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2.91</w:t>
            </w:r>
          </w:p>
        </w:tc>
        <w:tc>
          <w:tcPr>
            <w:tcW w:w="1003" w:type="dxa"/>
            <w:tcBorders>
              <w:top w:val="single" w:color="auto" w:sz="4" w:space="0"/>
              <w:left w:val="single" w:color="auto" w:sz="4" w:space="0"/>
              <w:bottom w:val="single" w:color="auto" w:sz="4" w:space="0"/>
              <w:right w:val="nil"/>
            </w:tcBorders>
            <w:shd w:val="clear" w:color="auto" w:fill="auto"/>
            <w:vAlign w:val="center"/>
          </w:tcPr>
          <w:p w14:paraId="471EBB5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3.9</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0BAABA1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43CE3ED1">
        <w:tblPrEx>
          <w:tblCellMar>
            <w:top w:w="0" w:type="dxa"/>
            <w:left w:w="0" w:type="dxa"/>
            <w:bottom w:w="0" w:type="dxa"/>
            <w:right w:w="0" w:type="dxa"/>
          </w:tblCellMar>
        </w:tblPrEx>
        <w:trPr>
          <w:gridAfter w:val="1"/>
          <w:wAfter w:w="90" w:type="dxa"/>
          <w:trHeight w:val="237" w:hRule="atLeast"/>
        </w:trPr>
        <w:tc>
          <w:tcPr>
            <w:tcW w:w="628" w:type="dxa"/>
            <w:vMerge w:val="continue"/>
            <w:tcBorders>
              <w:left w:val="single" w:color="auto" w:sz="4" w:space="0"/>
              <w:right w:val="nil"/>
            </w:tcBorders>
            <w:vAlign w:val="center"/>
          </w:tcPr>
          <w:p w14:paraId="222B3EC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vMerge w:val="continue"/>
            <w:tcBorders>
              <w:top w:val="single" w:color="auto" w:sz="4" w:space="0"/>
              <w:left w:val="single" w:color="auto" w:sz="4" w:space="0"/>
              <w:bottom w:val="single" w:color="auto" w:sz="4" w:space="0"/>
              <w:right w:val="nil"/>
            </w:tcBorders>
            <w:shd w:val="clear" w:color="auto" w:fill="FFFFFF"/>
            <w:vAlign w:val="center"/>
          </w:tcPr>
          <w:p w14:paraId="6478855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p>
        </w:tc>
        <w:tc>
          <w:tcPr>
            <w:tcW w:w="4036" w:type="dxa"/>
            <w:tcBorders>
              <w:top w:val="single" w:color="auto" w:sz="4" w:space="0"/>
              <w:left w:val="single" w:color="auto" w:sz="4" w:space="0"/>
              <w:bottom w:val="single" w:color="auto" w:sz="4" w:space="0"/>
              <w:right w:val="nil"/>
            </w:tcBorders>
            <w:shd w:val="clear" w:color="auto" w:fill="FFFFFF"/>
            <w:vAlign w:val="center"/>
          </w:tcPr>
          <w:p w14:paraId="257D1DAF">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其中：每千人口中医类别执业（助理）医师数</w:t>
            </w:r>
          </w:p>
        </w:tc>
        <w:tc>
          <w:tcPr>
            <w:tcW w:w="641" w:type="dxa"/>
            <w:tcBorders>
              <w:top w:val="single" w:color="auto" w:sz="4" w:space="0"/>
              <w:left w:val="single" w:color="auto" w:sz="4" w:space="0"/>
              <w:bottom w:val="single" w:color="auto" w:sz="4" w:space="0"/>
              <w:right w:val="nil"/>
            </w:tcBorders>
            <w:shd w:val="clear" w:color="auto" w:fill="FFFFFF"/>
            <w:vAlign w:val="center"/>
          </w:tcPr>
          <w:p w14:paraId="02FE1D6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val="zh-CN"/>
              </w:rPr>
            </w:pPr>
            <w:r>
              <w:rPr>
                <w:rFonts w:hint="default" w:ascii="Times New Roman" w:hAnsi="Times New Roman" w:eastAsia="仿宋_GB2312" w:cs="Times New Roman"/>
                <w:kern w:val="0"/>
                <w:sz w:val="22"/>
                <w:szCs w:val="28"/>
                <w:lang w:val="zh-CN"/>
              </w:rPr>
              <w:t>人</w:t>
            </w:r>
          </w:p>
        </w:tc>
        <w:tc>
          <w:tcPr>
            <w:tcW w:w="961" w:type="dxa"/>
            <w:tcBorders>
              <w:top w:val="single" w:color="auto" w:sz="4" w:space="0"/>
              <w:left w:val="single" w:color="auto" w:sz="4" w:space="0"/>
              <w:bottom w:val="single" w:color="auto" w:sz="4" w:space="0"/>
              <w:right w:val="nil"/>
            </w:tcBorders>
            <w:shd w:val="clear" w:color="auto" w:fill="auto"/>
            <w:vAlign w:val="center"/>
          </w:tcPr>
          <w:p w14:paraId="0589A80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lang w:val="zh-CN"/>
              </w:rPr>
              <w:t>0.</w:t>
            </w:r>
            <w:r>
              <w:rPr>
                <w:rFonts w:hint="default" w:ascii="Times New Roman" w:hAnsi="Times New Roman" w:eastAsia="仿宋_GB2312" w:cs="Times New Roman"/>
                <w:bCs/>
                <w:kern w:val="0"/>
                <w:sz w:val="22"/>
                <w:szCs w:val="28"/>
              </w:rPr>
              <w:t>29</w:t>
            </w:r>
          </w:p>
        </w:tc>
        <w:tc>
          <w:tcPr>
            <w:tcW w:w="1003" w:type="dxa"/>
            <w:tcBorders>
              <w:top w:val="single" w:color="auto" w:sz="4" w:space="0"/>
              <w:left w:val="single" w:color="auto" w:sz="4" w:space="0"/>
              <w:bottom w:val="single" w:color="auto" w:sz="4" w:space="0"/>
              <w:right w:val="nil"/>
            </w:tcBorders>
            <w:shd w:val="clear" w:color="auto" w:fill="auto"/>
            <w:vAlign w:val="center"/>
          </w:tcPr>
          <w:p w14:paraId="3379227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val="zh-CN"/>
              </w:rPr>
            </w:pPr>
            <w:r>
              <w:rPr>
                <w:rFonts w:hint="default" w:ascii="Times New Roman" w:hAnsi="Times New Roman" w:eastAsia="仿宋_GB2312" w:cs="Times New Roman"/>
                <w:bCs/>
                <w:kern w:val="0"/>
                <w:sz w:val="22"/>
                <w:szCs w:val="28"/>
                <w:lang w:eastAsia="en-US"/>
              </w:rPr>
              <w:t>0.</w:t>
            </w:r>
            <w:r>
              <w:rPr>
                <w:rFonts w:hint="default" w:ascii="Times New Roman" w:hAnsi="Times New Roman" w:eastAsia="仿宋_GB2312" w:cs="Times New Roman"/>
                <w:bCs/>
                <w:kern w:val="0"/>
                <w:sz w:val="22"/>
                <w:szCs w:val="28"/>
                <w:lang w:val="zh-CN"/>
              </w:rPr>
              <w:t>57</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05B7E8F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53ADBE87">
        <w:tblPrEx>
          <w:tblCellMar>
            <w:top w:w="0" w:type="dxa"/>
            <w:left w:w="0" w:type="dxa"/>
            <w:bottom w:w="0" w:type="dxa"/>
            <w:right w:w="0" w:type="dxa"/>
          </w:tblCellMar>
        </w:tblPrEx>
        <w:trPr>
          <w:gridAfter w:val="1"/>
          <w:wAfter w:w="90" w:type="dxa"/>
          <w:trHeight w:val="237" w:hRule="atLeast"/>
        </w:trPr>
        <w:tc>
          <w:tcPr>
            <w:tcW w:w="628" w:type="dxa"/>
            <w:vMerge w:val="continue"/>
            <w:tcBorders>
              <w:left w:val="single" w:color="auto" w:sz="4" w:space="0"/>
              <w:right w:val="nil"/>
            </w:tcBorders>
            <w:vAlign w:val="center"/>
          </w:tcPr>
          <w:p w14:paraId="4D1972F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63DC88A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12</w:t>
            </w:r>
          </w:p>
        </w:tc>
        <w:tc>
          <w:tcPr>
            <w:tcW w:w="4036" w:type="dxa"/>
            <w:tcBorders>
              <w:top w:val="single" w:color="auto" w:sz="4" w:space="0"/>
              <w:left w:val="single" w:color="auto" w:sz="4" w:space="0"/>
              <w:bottom w:val="nil"/>
              <w:right w:val="nil"/>
            </w:tcBorders>
            <w:shd w:val="clear" w:color="auto" w:fill="FFFFFF"/>
            <w:vAlign w:val="center"/>
          </w:tcPr>
          <w:p w14:paraId="221AD10C">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每千人口注册护士数</w:t>
            </w:r>
          </w:p>
        </w:tc>
        <w:tc>
          <w:tcPr>
            <w:tcW w:w="641" w:type="dxa"/>
            <w:tcBorders>
              <w:top w:val="single" w:color="auto" w:sz="4" w:space="0"/>
              <w:left w:val="single" w:color="auto" w:sz="4" w:space="0"/>
              <w:bottom w:val="nil"/>
              <w:right w:val="nil"/>
            </w:tcBorders>
            <w:shd w:val="clear" w:color="auto" w:fill="FFFFFF"/>
            <w:vAlign w:val="center"/>
          </w:tcPr>
          <w:p w14:paraId="0210C62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val="zh-CN"/>
              </w:rPr>
            </w:pPr>
            <w:r>
              <w:rPr>
                <w:rFonts w:hint="default" w:ascii="Times New Roman" w:hAnsi="Times New Roman" w:eastAsia="仿宋_GB2312" w:cs="Times New Roman"/>
                <w:bCs/>
                <w:kern w:val="0"/>
                <w:sz w:val="22"/>
                <w:szCs w:val="28"/>
                <w:lang w:val="zh-CN"/>
              </w:rPr>
              <w:t>人</w:t>
            </w:r>
          </w:p>
        </w:tc>
        <w:tc>
          <w:tcPr>
            <w:tcW w:w="961" w:type="dxa"/>
            <w:tcBorders>
              <w:top w:val="single" w:color="auto" w:sz="4" w:space="0"/>
              <w:left w:val="single" w:color="auto" w:sz="4" w:space="0"/>
              <w:bottom w:val="nil"/>
              <w:right w:val="nil"/>
            </w:tcBorders>
            <w:shd w:val="clear" w:color="auto" w:fill="auto"/>
            <w:vAlign w:val="center"/>
          </w:tcPr>
          <w:p w14:paraId="044A9198">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3.23</w:t>
            </w:r>
          </w:p>
        </w:tc>
        <w:tc>
          <w:tcPr>
            <w:tcW w:w="1003" w:type="dxa"/>
            <w:tcBorders>
              <w:top w:val="single" w:color="auto" w:sz="4" w:space="0"/>
              <w:left w:val="single" w:color="auto" w:sz="4" w:space="0"/>
              <w:bottom w:val="nil"/>
              <w:right w:val="nil"/>
            </w:tcBorders>
            <w:shd w:val="clear" w:color="auto" w:fill="auto"/>
            <w:vAlign w:val="center"/>
          </w:tcPr>
          <w:p w14:paraId="105DADC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val="zh-CN"/>
              </w:rPr>
            </w:pPr>
            <w:r>
              <w:rPr>
                <w:rFonts w:hint="default" w:ascii="Times New Roman" w:hAnsi="Times New Roman" w:eastAsia="仿宋_GB2312" w:cs="Times New Roman"/>
                <w:bCs/>
                <w:kern w:val="0"/>
                <w:sz w:val="22"/>
                <w:szCs w:val="28"/>
                <w:lang w:val="zh-CN"/>
              </w:rPr>
              <w:t>4.5</w:t>
            </w:r>
          </w:p>
        </w:tc>
        <w:tc>
          <w:tcPr>
            <w:tcW w:w="881" w:type="dxa"/>
            <w:tcBorders>
              <w:top w:val="single" w:color="auto" w:sz="4" w:space="0"/>
              <w:left w:val="single" w:color="auto" w:sz="4" w:space="0"/>
              <w:bottom w:val="nil"/>
              <w:right w:val="single" w:color="auto" w:sz="4" w:space="0"/>
            </w:tcBorders>
            <w:shd w:val="clear" w:color="auto" w:fill="auto"/>
            <w:vAlign w:val="center"/>
          </w:tcPr>
          <w:p w14:paraId="19B9C96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03D630CE">
        <w:tblPrEx>
          <w:tblCellMar>
            <w:top w:w="0" w:type="dxa"/>
            <w:left w:w="0" w:type="dxa"/>
            <w:bottom w:w="0" w:type="dxa"/>
            <w:right w:w="0" w:type="dxa"/>
          </w:tblCellMar>
        </w:tblPrEx>
        <w:trPr>
          <w:gridAfter w:val="1"/>
          <w:wAfter w:w="90" w:type="dxa"/>
          <w:trHeight w:val="255" w:hRule="atLeast"/>
        </w:trPr>
        <w:tc>
          <w:tcPr>
            <w:tcW w:w="628" w:type="dxa"/>
            <w:vMerge w:val="continue"/>
            <w:tcBorders>
              <w:left w:val="single" w:color="auto" w:sz="4" w:space="0"/>
              <w:right w:val="nil"/>
            </w:tcBorders>
            <w:vAlign w:val="center"/>
          </w:tcPr>
          <w:p w14:paraId="30916F3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single" w:color="auto" w:sz="4" w:space="0"/>
              <w:right w:val="single" w:color="auto" w:sz="4" w:space="0"/>
            </w:tcBorders>
            <w:shd w:val="clear" w:color="auto" w:fill="FFFFFF"/>
            <w:vAlign w:val="center"/>
          </w:tcPr>
          <w:p w14:paraId="04E7B01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bCs/>
                <w:kern w:val="0"/>
                <w:sz w:val="22"/>
                <w:szCs w:val="28"/>
              </w:rPr>
              <w:t>13</w:t>
            </w:r>
          </w:p>
        </w:tc>
        <w:tc>
          <w:tcPr>
            <w:tcW w:w="4036" w:type="dxa"/>
            <w:tcBorders>
              <w:top w:val="single" w:color="auto" w:sz="4" w:space="0"/>
              <w:left w:val="single" w:color="auto" w:sz="4" w:space="0"/>
              <w:bottom w:val="single" w:color="auto" w:sz="4" w:space="0"/>
              <w:right w:val="single" w:color="auto" w:sz="4" w:space="0"/>
            </w:tcBorders>
            <w:shd w:val="clear" w:color="auto" w:fill="FFFFFF"/>
            <w:vAlign w:val="center"/>
          </w:tcPr>
          <w:p w14:paraId="7E75D9F0">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每千人口药师（士）数</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3352566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人</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17E8F1E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0.28</w:t>
            </w:r>
          </w:p>
        </w:tc>
        <w:tc>
          <w:tcPr>
            <w:tcW w:w="1003" w:type="dxa"/>
            <w:tcBorders>
              <w:top w:val="single" w:color="auto" w:sz="4" w:space="0"/>
              <w:left w:val="single" w:color="auto" w:sz="4" w:space="0"/>
              <w:bottom w:val="single" w:color="auto" w:sz="4" w:space="0"/>
              <w:right w:val="single" w:color="auto" w:sz="4" w:space="0"/>
            </w:tcBorders>
            <w:shd w:val="clear" w:color="auto" w:fill="auto"/>
            <w:vAlign w:val="center"/>
          </w:tcPr>
          <w:p w14:paraId="55C81C9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0.54</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04CF5F0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337DD265">
        <w:tblPrEx>
          <w:tblCellMar>
            <w:top w:w="0" w:type="dxa"/>
            <w:left w:w="0" w:type="dxa"/>
            <w:bottom w:w="0" w:type="dxa"/>
            <w:right w:w="0" w:type="dxa"/>
          </w:tblCellMar>
        </w:tblPrEx>
        <w:trPr>
          <w:gridAfter w:val="1"/>
          <w:wAfter w:w="90" w:type="dxa"/>
          <w:trHeight w:val="255" w:hRule="atLeast"/>
        </w:trPr>
        <w:tc>
          <w:tcPr>
            <w:tcW w:w="628" w:type="dxa"/>
            <w:vMerge w:val="continue"/>
            <w:tcBorders>
              <w:left w:val="single" w:color="auto" w:sz="4" w:space="0"/>
              <w:right w:val="nil"/>
            </w:tcBorders>
            <w:vAlign w:val="center"/>
          </w:tcPr>
          <w:p w14:paraId="1B512D7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single" w:color="auto" w:sz="4" w:space="0"/>
              <w:right w:val="single" w:color="auto" w:sz="4" w:space="0"/>
            </w:tcBorders>
            <w:shd w:val="clear" w:color="auto" w:fill="FFFFFF"/>
            <w:vAlign w:val="center"/>
          </w:tcPr>
          <w:p w14:paraId="113D903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bCs/>
                <w:kern w:val="0"/>
                <w:sz w:val="22"/>
                <w:szCs w:val="28"/>
              </w:rPr>
              <w:t>14</w:t>
            </w:r>
          </w:p>
        </w:tc>
        <w:tc>
          <w:tcPr>
            <w:tcW w:w="4036" w:type="dxa"/>
            <w:tcBorders>
              <w:top w:val="single" w:color="auto" w:sz="4" w:space="0"/>
              <w:left w:val="single" w:color="auto" w:sz="4" w:space="0"/>
              <w:bottom w:val="single" w:color="auto" w:sz="4" w:space="0"/>
              <w:right w:val="single" w:color="auto" w:sz="4" w:space="0"/>
            </w:tcBorders>
            <w:shd w:val="clear" w:color="auto" w:fill="FFFFFF"/>
            <w:vAlign w:val="center"/>
          </w:tcPr>
          <w:p w14:paraId="64223670">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每万人口全科医师数</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31BC1C6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人</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0E5F804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4.1</w:t>
            </w:r>
          </w:p>
        </w:tc>
        <w:tc>
          <w:tcPr>
            <w:tcW w:w="1003" w:type="dxa"/>
            <w:tcBorders>
              <w:top w:val="single" w:color="auto" w:sz="4" w:space="0"/>
              <w:left w:val="single" w:color="auto" w:sz="4" w:space="0"/>
              <w:bottom w:val="single" w:color="auto" w:sz="4" w:space="0"/>
              <w:right w:val="single" w:color="auto" w:sz="4" w:space="0"/>
            </w:tcBorders>
            <w:shd w:val="clear" w:color="auto" w:fill="auto"/>
            <w:vAlign w:val="center"/>
          </w:tcPr>
          <w:p w14:paraId="2380809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4.5</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6C682BB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约束性</w:t>
            </w:r>
          </w:p>
        </w:tc>
      </w:tr>
      <w:tr w14:paraId="131C7708">
        <w:tblPrEx>
          <w:tblCellMar>
            <w:top w:w="0" w:type="dxa"/>
            <w:left w:w="0" w:type="dxa"/>
            <w:bottom w:w="0" w:type="dxa"/>
            <w:right w:w="0" w:type="dxa"/>
          </w:tblCellMar>
        </w:tblPrEx>
        <w:trPr>
          <w:gridAfter w:val="1"/>
          <w:wAfter w:w="90" w:type="dxa"/>
          <w:trHeight w:val="429" w:hRule="atLeast"/>
        </w:trPr>
        <w:tc>
          <w:tcPr>
            <w:tcW w:w="628" w:type="dxa"/>
            <w:vMerge w:val="continue"/>
            <w:tcBorders>
              <w:left w:val="single" w:color="auto" w:sz="4" w:space="0"/>
              <w:right w:val="nil"/>
            </w:tcBorders>
            <w:vAlign w:val="center"/>
          </w:tcPr>
          <w:p w14:paraId="089E5E8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single" w:color="auto" w:sz="4" w:space="0"/>
              <w:right w:val="nil"/>
            </w:tcBorders>
            <w:shd w:val="clear" w:color="auto" w:fill="FFFFFF"/>
            <w:vAlign w:val="center"/>
          </w:tcPr>
          <w:p w14:paraId="6C0CBB2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15</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0E683BCA">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每千人口公共卫生人员数</w:t>
            </w:r>
          </w:p>
        </w:tc>
        <w:tc>
          <w:tcPr>
            <w:tcW w:w="641" w:type="dxa"/>
            <w:tcBorders>
              <w:top w:val="single" w:color="auto" w:sz="4" w:space="0"/>
              <w:left w:val="single" w:color="auto" w:sz="4" w:space="0"/>
              <w:bottom w:val="single" w:color="auto" w:sz="4" w:space="0"/>
              <w:right w:val="nil"/>
            </w:tcBorders>
            <w:shd w:val="clear" w:color="auto" w:fill="FFFFFF"/>
            <w:vAlign w:val="center"/>
          </w:tcPr>
          <w:p w14:paraId="40904E7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人</w:t>
            </w:r>
          </w:p>
        </w:tc>
        <w:tc>
          <w:tcPr>
            <w:tcW w:w="961" w:type="dxa"/>
            <w:tcBorders>
              <w:top w:val="single" w:color="auto" w:sz="4" w:space="0"/>
              <w:left w:val="single" w:color="auto" w:sz="4" w:space="0"/>
              <w:bottom w:val="single" w:color="auto" w:sz="4" w:space="0"/>
              <w:right w:val="nil"/>
            </w:tcBorders>
            <w:shd w:val="clear" w:color="auto" w:fill="auto"/>
            <w:vAlign w:val="center"/>
          </w:tcPr>
          <w:p w14:paraId="6B1DD56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0.57</w:t>
            </w:r>
          </w:p>
        </w:tc>
        <w:tc>
          <w:tcPr>
            <w:tcW w:w="1003" w:type="dxa"/>
            <w:tcBorders>
              <w:top w:val="single" w:color="auto" w:sz="4" w:space="0"/>
              <w:left w:val="single" w:color="auto" w:sz="4" w:space="0"/>
              <w:bottom w:val="single" w:color="auto" w:sz="4" w:space="0"/>
              <w:right w:val="nil"/>
            </w:tcBorders>
            <w:shd w:val="clear" w:color="auto" w:fill="auto"/>
            <w:vAlign w:val="center"/>
          </w:tcPr>
          <w:p w14:paraId="1BDF46E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0.68</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4231141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19704D46">
        <w:tblPrEx>
          <w:tblCellMar>
            <w:top w:w="0" w:type="dxa"/>
            <w:left w:w="0" w:type="dxa"/>
            <w:bottom w:w="0" w:type="dxa"/>
            <w:right w:w="0" w:type="dxa"/>
          </w:tblCellMar>
        </w:tblPrEx>
        <w:trPr>
          <w:gridAfter w:val="1"/>
          <w:wAfter w:w="90" w:type="dxa"/>
          <w:trHeight w:val="321" w:hRule="atLeast"/>
        </w:trPr>
        <w:tc>
          <w:tcPr>
            <w:tcW w:w="628" w:type="dxa"/>
            <w:vMerge w:val="continue"/>
            <w:tcBorders>
              <w:left w:val="single" w:color="auto" w:sz="4" w:space="0"/>
              <w:right w:val="nil"/>
            </w:tcBorders>
            <w:vAlign w:val="center"/>
          </w:tcPr>
          <w:p w14:paraId="11FEBAE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single" w:color="auto" w:sz="4" w:space="0"/>
              <w:right w:val="nil"/>
            </w:tcBorders>
            <w:shd w:val="clear" w:color="auto" w:fill="FFFFFF"/>
            <w:vAlign w:val="center"/>
          </w:tcPr>
          <w:p w14:paraId="08CFC86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16</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379BEEA8">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每千人口拥有3岁以下婴幼儿托位数</w:t>
            </w:r>
          </w:p>
        </w:tc>
        <w:tc>
          <w:tcPr>
            <w:tcW w:w="641" w:type="dxa"/>
            <w:tcBorders>
              <w:top w:val="single" w:color="auto" w:sz="4" w:space="0"/>
              <w:left w:val="single" w:color="auto" w:sz="4" w:space="0"/>
              <w:bottom w:val="single" w:color="auto" w:sz="4" w:space="0"/>
              <w:right w:val="nil"/>
            </w:tcBorders>
            <w:shd w:val="clear" w:color="auto" w:fill="FFFFFF"/>
            <w:vAlign w:val="center"/>
          </w:tcPr>
          <w:p w14:paraId="573D7DA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lang w:eastAsia="en-US"/>
              </w:rPr>
              <w:t>个</w:t>
            </w:r>
          </w:p>
        </w:tc>
        <w:tc>
          <w:tcPr>
            <w:tcW w:w="961" w:type="dxa"/>
            <w:tcBorders>
              <w:top w:val="single" w:color="auto" w:sz="4" w:space="0"/>
              <w:left w:val="single" w:color="auto" w:sz="4" w:space="0"/>
              <w:bottom w:val="single" w:color="auto" w:sz="4" w:space="0"/>
              <w:right w:val="nil"/>
            </w:tcBorders>
            <w:shd w:val="clear" w:color="auto" w:fill="auto"/>
            <w:vAlign w:val="center"/>
          </w:tcPr>
          <w:p w14:paraId="1EFFDF2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2</w:t>
            </w:r>
          </w:p>
        </w:tc>
        <w:tc>
          <w:tcPr>
            <w:tcW w:w="1003" w:type="dxa"/>
            <w:tcBorders>
              <w:top w:val="single" w:color="auto" w:sz="4" w:space="0"/>
              <w:left w:val="single" w:color="auto" w:sz="4" w:space="0"/>
              <w:bottom w:val="single" w:color="auto" w:sz="4" w:space="0"/>
              <w:right w:val="nil"/>
            </w:tcBorders>
            <w:shd w:val="clear" w:color="auto" w:fill="auto"/>
            <w:vAlign w:val="center"/>
          </w:tcPr>
          <w:p w14:paraId="50277C5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4.5</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209870B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71AC5270">
        <w:tblPrEx>
          <w:tblCellMar>
            <w:top w:w="0" w:type="dxa"/>
            <w:left w:w="0" w:type="dxa"/>
            <w:bottom w:w="0" w:type="dxa"/>
            <w:right w:w="0" w:type="dxa"/>
          </w:tblCellMar>
        </w:tblPrEx>
        <w:trPr>
          <w:gridAfter w:val="1"/>
          <w:wAfter w:w="90" w:type="dxa"/>
          <w:trHeight w:val="178" w:hRule="atLeast"/>
        </w:trPr>
        <w:tc>
          <w:tcPr>
            <w:tcW w:w="628" w:type="dxa"/>
            <w:vMerge w:val="continue"/>
            <w:tcBorders>
              <w:left w:val="single" w:color="auto" w:sz="4" w:space="0"/>
              <w:bottom w:val="nil"/>
              <w:right w:val="nil"/>
            </w:tcBorders>
            <w:vAlign w:val="center"/>
          </w:tcPr>
          <w:p w14:paraId="0F91E69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3123510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17</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79564278">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eastAsia" w:ascii="Times New Roman" w:hAnsi="Times New Roman" w:eastAsia="仿宋_GB2312" w:cs="Times New Roman"/>
                <w:kern w:val="0"/>
                <w:sz w:val="22"/>
                <w:szCs w:val="28"/>
                <w:lang w:val="en-US" w:eastAsia="zh-CN"/>
              </w:rPr>
              <w:t>全区</w:t>
            </w:r>
            <w:r>
              <w:rPr>
                <w:rFonts w:hint="default" w:ascii="Times New Roman" w:hAnsi="Times New Roman" w:eastAsia="仿宋_GB2312" w:cs="Times New Roman"/>
                <w:kern w:val="0"/>
                <w:sz w:val="22"/>
                <w:szCs w:val="28"/>
                <w:lang w:val="zh-CN"/>
              </w:rPr>
              <w:t>儿童青少年总体近视率</w:t>
            </w:r>
          </w:p>
        </w:tc>
        <w:tc>
          <w:tcPr>
            <w:tcW w:w="641" w:type="dxa"/>
            <w:tcBorders>
              <w:top w:val="single" w:color="auto" w:sz="4" w:space="0"/>
              <w:left w:val="single" w:color="auto" w:sz="4" w:space="0"/>
              <w:bottom w:val="single" w:color="auto" w:sz="4" w:space="0"/>
              <w:right w:val="nil"/>
            </w:tcBorders>
            <w:shd w:val="clear" w:color="auto" w:fill="FFFFFF"/>
            <w:vAlign w:val="center"/>
          </w:tcPr>
          <w:p w14:paraId="27CD2AE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eastAsia="en-US"/>
              </w:rPr>
            </w:pPr>
            <w:r>
              <w:rPr>
                <w:rFonts w:hint="default" w:ascii="Times New Roman" w:hAnsi="Times New Roman" w:eastAsia="仿宋_GB2312" w:cs="Times New Roman"/>
                <w:bCs/>
                <w:kern w:val="0"/>
                <w:sz w:val="22"/>
                <w:szCs w:val="28"/>
                <w:lang w:eastAsia="en-US"/>
              </w:rPr>
              <w:t>%</w:t>
            </w:r>
          </w:p>
        </w:tc>
        <w:tc>
          <w:tcPr>
            <w:tcW w:w="961" w:type="dxa"/>
            <w:tcBorders>
              <w:top w:val="single" w:color="auto" w:sz="4" w:space="0"/>
              <w:left w:val="single" w:color="auto" w:sz="4" w:space="0"/>
              <w:bottom w:val="single" w:color="auto" w:sz="4" w:space="0"/>
              <w:right w:val="nil"/>
            </w:tcBorders>
            <w:shd w:val="clear" w:color="auto" w:fill="auto"/>
            <w:vAlign w:val="center"/>
          </w:tcPr>
          <w:p w14:paraId="63C0CAF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62.7</w:t>
            </w:r>
          </w:p>
        </w:tc>
        <w:tc>
          <w:tcPr>
            <w:tcW w:w="1003" w:type="dxa"/>
            <w:tcBorders>
              <w:top w:val="single" w:color="auto" w:sz="4" w:space="0"/>
              <w:left w:val="single" w:color="auto" w:sz="4" w:space="0"/>
              <w:bottom w:val="single" w:color="auto" w:sz="4" w:space="0"/>
              <w:right w:val="nil"/>
            </w:tcBorders>
            <w:shd w:val="clear" w:color="auto" w:fill="auto"/>
            <w:vAlign w:val="center"/>
          </w:tcPr>
          <w:p w14:paraId="772AB6B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55</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4CD0006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eastAsia="en-US"/>
              </w:rPr>
            </w:pPr>
            <w:r>
              <w:rPr>
                <w:rFonts w:hint="default" w:ascii="Times New Roman" w:hAnsi="Times New Roman" w:eastAsia="仿宋_GB2312" w:cs="Times New Roman"/>
                <w:kern w:val="0"/>
                <w:sz w:val="22"/>
                <w:szCs w:val="28"/>
              </w:rPr>
              <w:t>预期性</w:t>
            </w:r>
          </w:p>
        </w:tc>
      </w:tr>
      <w:tr w14:paraId="31324F7A">
        <w:tblPrEx>
          <w:tblCellMar>
            <w:top w:w="0" w:type="dxa"/>
            <w:left w:w="0" w:type="dxa"/>
            <w:bottom w:w="0" w:type="dxa"/>
            <w:right w:w="0" w:type="dxa"/>
          </w:tblCellMar>
        </w:tblPrEx>
        <w:trPr>
          <w:gridAfter w:val="1"/>
          <w:wAfter w:w="90" w:type="dxa"/>
          <w:trHeight w:val="840" w:hRule="atLeast"/>
        </w:trPr>
        <w:tc>
          <w:tcPr>
            <w:tcW w:w="628" w:type="dxa"/>
            <w:vMerge w:val="continue"/>
            <w:tcBorders>
              <w:left w:val="single" w:color="auto" w:sz="4" w:space="0"/>
              <w:right w:val="nil"/>
            </w:tcBorders>
            <w:vAlign w:val="center"/>
          </w:tcPr>
          <w:p w14:paraId="42EA1C2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3DB8CC6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18</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258F98E1">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65岁及以上老年人城乡社区规范健康管理服务率</w:t>
            </w:r>
          </w:p>
        </w:tc>
        <w:tc>
          <w:tcPr>
            <w:tcW w:w="641" w:type="dxa"/>
            <w:tcBorders>
              <w:top w:val="single" w:color="auto" w:sz="4" w:space="0"/>
              <w:left w:val="single" w:color="auto" w:sz="4" w:space="0"/>
              <w:bottom w:val="single" w:color="auto" w:sz="4" w:space="0"/>
              <w:right w:val="nil"/>
            </w:tcBorders>
            <w:shd w:val="clear" w:color="auto" w:fill="FFFFFF"/>
            <w:vAlign w:val="center"/>
          </w:tcPr>
          <w:p w14:paraId="331652E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eastAsia="en-US"/>
              </w:rPr>
            </w:pPr>
            <w:r>
              <w:rPr>
                <w:rFonts w:hint="default" w:ascii="Times New Roman" w:hAnsi="Times New Roman" w:eastAsia="仿宋_GB2312" w:cs="Times New Roman"/>
                <w:bCs/>
                <w:kern w:val="0"/>
                <w:sz w:val="22"/>
                <w:szCs w:val="28"/>
                <w:lang w:eastAsia="en-US"/>
              </w:rPr>
              <w:t>%</w:t>
            </w:r>
          </w:p>
        </w:tc>
        <w:tc>
          <w:tcPr>
            <w:tcW w:w="961" w:type="dxa"/>
            <w:tcBorders>
              <w:top w:val="single" w:color="auto" w:sz="4" w:space="0"/>
              <w:left w:val="single" w:color="auto" w:sz="4" w:space="0"/>
              <w:bottom w:val="single" w:color="auto" w:sz="4" w:space="0"/>
              <w:right w:val="nil"/>
            </w:tcBorders>
            <w:shd w:val="clear" w:color="auto" w:fill="auto"/>
            <w:vAlign w:val="center"/>
          </w:tcPr>
          <w:p w14:paraId="68063AC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70</w:t>
            </w:r>
          </w:p>
        </w:tc>
        <w:tc>
          <w:tcPr>
            <w:tcW w:w="1003" w:type="dxa"/>
            <w:tcBorders>
              <w:top w:val="single" w:color="auto" w:sz="4" w:space="0"/>
              <w:left w:val="single" w:color="auto" w:sz="4" w:space="0"/>
              <w:bottom w:val="single" w:color="auto" w:sz="4" w:space="0"/>
              <w:right w:val="nil"/>
            </w:tcBorders>
            <w:shd w:val="clear" w:color="auto" w:fill="auto"/>
            <w:vAlign w:val="center"/>
          </w:tcPr>
          <w:p w14:paraId="66A9750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lang w:eastAsia="en-US"/>
              </w:rPr>
              <w:t>≥</w:t>
            </w:r>
            <w:r>
              <w:rPr>
                <w:rFonts w:hint="default" w:ascii="Times New Roman" w:hAnsi="Times New Roman" w:eastAsia="仿宋_GB2312" w:cs="Times New Roman"/>
                <w:bCs/>
                <w:kern w:val="0"/>
                <w:sz w:val="22"/>
                <w:szCs w:val="28"/>
              </w:rPr>
              <w:t>75</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41B6A41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eastAsia="en-US"/>
              </w:rPr>
            </w:pPr>
            <w:r>
              <w:rPr>
                <w:rFonts w:hint="default" w:ascii="Times New Roman" w:hAnsi="Times New Roman" w:eastAsia="仿宋_GB2312" w:cs="Times New Roman"/>
                <w:kern w:val="0"/>
                <w:sz w:val="22"/>
                <w:szCs w:val="28"/>
              </w:rPr>
              <w:t>预期性</w:t>
            </w:r>
          </w:p>
        </w:tc>
      </w:tr>
      <w:tr w14:paraId="4BD629E9">
        <w:tblPrEx>
          <w:tblCellMar>
            <w:top w:w="0" w:type="dxa"/>
            <w:left w:w="0" w:type="dxa"/>
            <w:bottom w:w="0" w:type="dxa"/>
            <w:right w:w="0" w:type="dxa"/>
          </w:tblCellMar>
        </w:tblPrEx>
        <w:trPr>
          <w:gridAfter w:val="1"/>
          <w:wAfter w:w="90" w:type="dxa"/>
          <w:trHeight w:val="452" w:hRule="atLeast"/>
        </w:trPr>
        <w:tc>
          <w:tcPr>
            <w:tcW w:w="628" w:type="dxa"/>
            <w:vMerge w:val="continue"/>
            <w:tcBorders>
              <w:left w:val="single" w:color="auto" w:sz="4" w:space="0"/>
              <w:right w:val="nil"/>
            </w:tcBorders>
            <w:vAlign w:val="center"/>
          </w:tcPr>
          <w:p w14:paraId="21C48DD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nil"/>
              <w:right w:val="nil"/>
            </w:tcBorders>
            <w:shd w:val="clear" w:color="auto" w:fill="FFFFFF"/>
            <w:vAlign w:val="center"/>
          </w:tcPr>
          <w:p w14:paraId="0F138DD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19</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0547D9B5">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基层医疗卫生机构诊疗量占总诊疗量的比例</w:t>
            </w:r>
          </w:p>
        </w:tc>
        <w:tc>
          <w:tcPr>
            <w:tcW w:w="641" w:type="dxa"/>
            <w:tcBorders>
              <w:top w:val="single" w:color="auto" w:sz="4" w:space="0"/>
              <w:left w:val="single" w:color="auto" w:sz="4" w:space="0"/>
              <w:bottom w:val="single" w:color="auto" w:sz="4" w:space="0"/>
              <w:right w:val="nil"/>
            </w:tcBorders>
            <w:shd w:val="clear" w:color="auto" w:fill="FFFFFF"/>
            <w:vAlign w:val="center"/>
          </w:tcPr>
          <w:p w14:paraId="5528D58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eastAsia="en-US"/>
              </w:rPr>
            </w:pPr>
            <w:r>
              <w:rPr>
                <w:rFonts w:hint="default" w:ascii="Times New Roman" w:hAnsi="Times New Roman" w:eastAsia="仿宋_GB2312" w:cs="Times New Roman"/>
                <w:bCs/>
                <w:kern w:val="0"/>
                <w:sz w:val="22"/>
                <w:szCs w:val="28"/>
                <w:lang w:eastAsia="en-US"/>
              </w:rPr>
              <w:t>%</w:t>
            </w:r>
          </w:p>
        </w:tc>
        <w:tc>
          <w:tcPr>
            <w:tcW w:w="961" w:type="dxa"/>
            <w:tcBorders>
              <w:top w:val="single" w:color="auto" w:sz="4" w:space="0"/>
              <w:left w:val="single" w:color="auto" w:sz="4" w:space="0"/>
              <w:bottom w:val="single" w:color="auto" w:sz="4" w:space="0"/>
              <w:right w:val="nil"/>
            </w:tcBorders>
            <w:shd w:val="clear" w:color="auto" w:fill="auto"/>
            <w:vAlign w:val="center"/>
          </w:tcPr>
          <w:p w14:paraId="55C711C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70.45</w:t>
            </w:r>
          </w:p>
        </w:tc>
        <w:tc>
          <w:tcPr>
            <w:tcW w:w="1003" w:type="dxa"/>
            <w:tcBorders>
              <w:top w:val="single" w:color="auto" w:sz="4" w:space="0"/>
              <w:left w:val="single" w:color="auto" w:sz="4" w:space="0"/>
              <w:bottom w:val="single" w:color="auto" w:sz="4" w:space="0"/>
              <w:right w:val="nil"/>
            </w:tcBorders>
            <w:shd w:val="clear" w:color="auto" w:fill="auto"/>
            <w:vAlign w:val="center"/>
          </w:tcPr>
          <w:p w14:paraId="068C706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lang w:eastAsia="en-US"/>
              </w:rPr>
              <w:t>≥</w:t>
            </w:r>
            <w:r>
              <w:rPr>
                <w:rFonts w:hint="default" w:ascii="Times New Roman" w:hAnsi="Times New Roman" w:eastAsia="仿宋_GB2312" w:cs="Times New Roman"/>
                <w:bCs/>
                <w:kern w:val="0"/>
                <w:sz w:val="22"/>
                <w:szCs w:val="28"/>
              </w:rPr>
              <w:t>70</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420F872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eastAsia="en-US"/>
              </w:rPr>
            </w:pPr>
            <w:r>
              <w:rPr>
                <w:rFonts w:hint="default" w:ascii="Times New Roman" w:hAnsi="Times New Roman" w:eastAsia="仿宋_GB2312" w:cs="Times New Roman"/>
                <w:kern w:val="0"/>
                <w:sz w:val="22"/>
                <w:szCs w:val="28"/>
              </w:rPr>
              <w:t>预期性</w:t>
            </w:r>
          </w:p>
        </w:tc>
      </w:tr>
      <w:tr w14:paraId="2DC48419">
        <w:tblPrEx>
          <w:tblCellMar>
            <w:top w:w="0" w:type="dxa"/>
            <w:left w:w="0" w:type="dxa"/>
            <w:bottom w:w="0" w:type="dxa"/>
            <w:right w:w="0" w:type="dxa"/>
          </w:tblCellMar>
        </w:tblPrEx>
        <w:trPr>
          <w:trHeight w:val="344" w:hRule="atLeast"/>
        </w:trPr>
        <w:tc>
          <w:tcPr>
            <w:tcW w:w="628" w:type="dxa"/>
            <w:vMerge w:val="continue"/>
            <w:tcBorders>
              <w:left w:val="single" w:color="auto" w:sz="4" w:space="0"/>
              <w:right w:val="nil"/>
            </w:tcBorders>
            <w:vAlign w:val="center"/>
          </w:tcPr>
          <w:p w14:paraId="0DBE2E5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single" w:color="auto" w:sz="4" w:space="0"/>
              <w:right w:val="nil"/>
            </w:tcBorders>
            <w:shd w:val="clear" w:color="auto" w:fill="FFFFFF"/>
            <w:vAlign w:val="center"/>
          </w:tcPr>
          <w:p w14:paraId="7E6C5C8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20</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462C3647">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二级以上公立综合性医院设置老年医学科比例</w:t>
            </w:r>
          </w:p>
        </w:tc>
        <w:tc>
          <w:tcPr>
            <w:tcW w:w="641" w:type="dxa"/>
            <w:tcBorders>
              <w:top w:val="single" w:color="auto" w:sz="4" w:space="0"/>
              <w:left w:val="single" w:color="auto" w:sz="4" w:space="0"/>
              <w:bottom w:val="single" w:color="auto" w:sz="4" w:space="0"/>
              <w:right w:val="nil"/>
            </w:tcBorders>
            <w:shd w:val="clear" w:color="auto" w:fill="FFFFFF"/>
            <w:vAlign w:val="center"/>
          </w:tcPr>
          <w:p w14:paraId="5F8722A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iCs/>
                <w:kern w:val="0"/>
                <w:sz w:val="22"/>
                <w:szCs w:val="28"/>
                <w:lang w:val="zh-CN"/>
              </w:rPr>
            </w:pPr>
            <w:r>
              <w:rPr>
                <w:rFonts w:hint="default" w:ascii="Times New Roman" w:hAnsi="Times New Roman" w:eastAsia="仿宋_GB2312" w:cs="Times New Roman"/>
                <w:bCs/>
                <w:kern w:val="0"/>
                <w:sz w:val="22"/>
                <w:szCs w:val="28"/>
                <w:lang w:eastAsia="en-US"/>
              </w:rPr>
              <w:t>%</w:t>
            </w:r>
          </w:p>
        </w:tc>
        <w:tc>
          <w:tcPr>
            <w:tcW w:w="961" w:type="dxa"/>
            <w:tcBorders>
              <w:top w:val="single" w:color="auto" w:sz="4" w:space="0"/>
              <w:left w:val="single" w:color="auto" w:sz="4" w:space="0"/>
              <w:bottom w:val="single" w:color="auto" w:sz="4" w:space="0"/>
              <w:right w:val="nil"/>
            </w:tcBorders>
            <w:shd w:val="clear" w:color="auto" w:fill="auto"/>
            <w:vAlign w:val="center"/>
          </w:tcPr>
          <w:p w14:paraId="031903D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70</w:t>
            </w:r>
          </w:p>
        </w:tc>
        <w:tc>
          <w:tcPr>
            <w:tcW w:w="1003" w:type="dxa"/>
            <w:tcBorders>
              <w:top w:val="single" w:color="auto" w:sz="4" w:space="0"/>
              <w:left w:val="single" w:color="auto" w:sz="4" w:space="0"/>
              <w:bottom w:val="single" w:color="auto" w:sz="4" w:space="0"/>
              <w:right w:val="nil"/>
            </w:tcBorders>
            <w:shd w:val="clear" w:color="auto" w:fill="auto"/>
            <w:vAlign w:val="center"/>
          </w:tcPr>
          <w:p w14:paraId="5A660C7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eastAsia="en-US"/>
              </w:rPr>
            </w:pPr>
            <w:r>
              <w:rPr>
                <w:rFonts w:hint="default" w:ascii="Times New Roman" w:hAnsi="Times New Roman" w:eastAsia="仿宋_GB2312" w:cs="Times New Roman"/>
                <w:bCs/>
                <w:kern w:val="0"/>
                <w:sz w:val="22"/>
                <w:szCs w:val="28"/>
                <w:lang w:eastAsia="en-US"/>
              </w:rPr>
              <w:t>≥</w:t>
            </w:r>
            <w:r>
              <w:rPr>
                <w:rFonts w:hint="default" w:ascii="Times New Roman" w:hAnsi="Times New Roman" w:eastAsia="仿宋_GB2312" w:cs="Times New Roman"/>
                <w:bCs/>
                <w:kern w:val="0"/>
                <w:sz w:val="22"/>
                <w:szCs w:val="28"/>
              </w:rPr>
              <w:t>90</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1759585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约束性</w:t>
            </w:r>
          </w:p>
        </w:tc>
        <w:tc>
          <w:tcPr>
            <w:tcW w:w="90" w:type="dxa"/>
            <w:vAlign w:val="center"/>
          </w:tcPr>
          <w:p w14:paraId="12ED787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8"/>
                <w:szCs w:val="36"/>
              </w:rPr>
            </w:pPr>
          </w:p>
        </w:tc>
      </w:tr>
      <w:tr w14:paraId="5177D2BC">
        <w:tblPrEx>
          <w:tblCellMar>
            <w:top w:w="0" w:type="dxa"/>
            <w:left w:w="0" w:type="dxa"/>
            <w:bottom w:w="0" w:type="dxa"/>
            <w:right w:w="0" w:type="dxa"/>
          </w:tblCellMar>
        </w:tblPrEx>
        <w:trPr>
          <w:gridAfter w:val="1"/>
          <w:wAfter w:w="90" w:type="dxa"/>
          <w:trHeight w:val="519" w:hRule="atLeast"/>
        </w:trPr>
        <w:tc>
          <w:tcPr>
            <w:tcW w:w="628" w:type="dxa"/>
            <w:vMerge w:val="continue"/>
            <w:tcBorders>
              <w:left w:val="single" w:color="auto" w:sz="4" w:space="0"/>
              <w:right w:val="nil"/>
            </w:tcBorders>
            <w:vAlign w:val="center"/>
          </w:tcPr>
          <w:p w14:paraId="304B9FB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p>
        </w:tc>
        <w:tc>
          <w:tcPr>
            <w:tcW w:w="695" w:type="dxa"/>
            <w:tcBorders>
              <w:top w:val="single" w:color="auto" w:sz="4" w:space="0"/>
              <w:left w:val="single" w:color="auto" w:sz="4" w:space="0"/>
              <w:bottom w:val="single" w:color="auto" w:sz="4" w:space="0"/>
              <w:right w:val="nil"/>
            </w:tcBorders>
            <w:shd w:val="clear" w:color="auto" w:fill="FFFFFF"/>
            <w:vAlign w:val="center"/>
          </w:tcPr>
          <w:p w14:paraId="50BE28B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21</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442DA49D">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乡镇卫生院、社区卫生服务中心达到国家服务能力推荐标准比例</w:t>
            </w:r>
          </w:p>
        </w:tc>
        <w:tc>
          <w:tcPr>
            <w:tcW w:w="641" w:type="dxa"/>
            <w:tcBorders>
              <w:top w:val="single" w:color="auto" w:sz="4" w:space="0"/>
              <w:left w:val="single" w:color="auto" w:sz="4" w:space="0"/>
              <w:bottom w:val="single" w:color="auto" w:sz="4" w:space="0"/>
              <w:right w:val="nil"/>
            </w:tcBorders>
            <w:shd w:val="clear" w:color="auto" w:fill="FFFFFF"/>
            <w:vAlign w:val="center"/>
          </w:tcPr>
          <w:p w14:paraId="10C9447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lang w:eastAsia="en-US"/>
              </w:rPr>
              <w:t>%</w:t>
            </w:r>
          </w:p>
        </w:tc>
        <w:tc>
          <w:tcPr>
            <w:tcW w:w="961" w:type="dxa"/>
            <w:tcBorders>
              <w:top w:val="single" w:color="auto" w:sz="4" w:space="0"/>
              <w:left w:val="single" w:color="auto" w:sz="4" w:space="0"/>
              <w:bottom w:val="single" w:color="auto" w:sz="4" w:space="0"/>
              <w:right w:val="nil"/>
            </w:tcBorders>
            <w:shd w:val="clear" w:color="auto" w:fill="auto"/>
            <w:vAlign w:val="center"/>
          </w:tcPr>
          <w:p w14:paraId="24C1974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10</w:t>
            </w:r>
          </w:p>
        </w:tc>
        <w:tc>
          <w:tcPr>
            <w:tcW w:w="1003" w:type="dxa"/>
            <w:tcBorders>
              <w:top w:val="single" w:color="auto" w:sz="4" w:space="0"/>
              <w:left w:val="single" w:color="auto" w:sz="4" w:space="0"/>
              <w:bottom w:val="single" w:color="auto" w:sz="4" w:space="0"/>
              <w:right w:val="nil"/>
            </w:tcBorders>
            <w:shd w:val="clear" w:color="auto" w:fill="auto"/>
            <w:vAlign w:val="center"/>
          </w:tcPr>
          <w:p w14:paraId="73C93BF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rPr>
            </w:pPr>
            <w:r>
              <w:rPr>
                <w:rFonts w:hint="default" w:ascii="Times New Roman" w:hAnsi="Times New Roman" w:eastAsia="仿宋_GB2312" w:cs="Times New Roman"/>
                <w:bCs/>
                <w:kern w:val="0"/>
                <w:sz w:val="22"/>
                <w:szCs w:val="28"/>
              </w:rPr>
              <w:t>30</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43443A7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362F6DFC">
        <w:tblPrEx>
          <w:tblCellMar>
            <w:top w:w="0" w:type="dxa"/>
            <w:left w:w="0" w:type="dxa"/>
            <w:bottom w:w="0" w:type="dxa"/>
            <w:right w:w="0" w:type="dxa"/>
          </w:tblCellMar>
        </w:tblPrEx>
        <w:trPr>
          <w:gridAfter w:val="1"/>
          <w:wAfter w:w="90" w:type="dxa"/>
          <w:trHeight w:val="460" w:hRule="atLeast"/>
        </w:trPr>
        <w:tc>
          <w:tcPr>
            <w:tcW w:w="628" w:type="dxa"/>
            <w:tcBorders>
              <w:top w:val="single" w:color="auto" w:sz="4" w:space="0"/>
              <w:left w:val="single" w:color="auto" w:sz="4" w:space="0"/>
              <w:bottom w:val="single" w:color="auto" w:sz="4" w:space="0"/>
              <w:right w:val="nil"/>
            </w:tcBorders>
            <w:shd w:val="clear" w:color="auto" w:fill="FFFFFF"/>
            <w:vAlign w:val="center"/>
          </w:tcPr>
          <w:p w14:paraId="6A18A7E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健康保障</w:t>
            </w:r>
          </w:p>
        </w:tc>
        <w:tc>
          <w:tcPr>
            <w:tcW w:w="695" w:type="dxa"/>
            <w:tcBorders>
              <w:top w:val="single" w:color="auto" w:sz="4" w:space="0"/>
              <w:left w:val="single" w:color="auto" w:sz="4" w:space="0"/>
              <w:bottom w:val="nil"/>
              <w:right w:val="nil"/>
            </w:tcBorders>
            <w:shd w:val="clear" w:color="auto" w:fill="FFFFFF"/>
            <w:vAlign w:val="center"/>
          </w:tcPr>
          <w:p w14:paraId="3E89FA68">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22</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3D85A931">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个人卫生支出占总费用的比重</w:t>
            </w:r>
          </w:p>
        </w:tc>
        <w:tc>
          <w:tcPr>
            <w:tcW w:w="641" w:type="dxa"/>
            <w:tcBorders>
              <w:top w:val="single" w:color="auto" w:sz="4" w:space="0"/>
              <w:left w:val="single" w:color="auto" w:sz="4" w:space="0"/>
              <w:bottom w:val="single" w:color="auto" w:sz="4" w:space="0"/>
              <w:right w:val="nil"/>
            </w:tcBorders>
            <w:shd w:val="clear" w:color="auto" w:fill="FFFFFF"/>
            <w:vAlign w:val="center"/>
          </w:tcPr>
          <w:p w14:paraId="65CEDE4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w:t>
            </w:r>
          </w:p>
        </w:tc>
        <w:tc>
          <w:tcPr>
            <w:tcW w:w="961" w:type="dxa"/>
            <w:tcBorders>
              <w:top w:val="single" w:color="auto" w:sz="4" w:space="0"/>
              <w:left w:val="single" w:color="auto" w:sz="4" w:space="0"/>
              <w:bottom w:val="single" w:color="auto" w:sz="4" w:space="0"/>
              <w:right w:val="nil"/>
            </w:tcBorders>
            <w:shd w:val="clear" w:color="auto" w:fill="auto"/>
            <w:vAlign w:val="center"/>
          </w:tcPr>
          <w:p w14:paraId="247AA87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26左右</w:t>
            </w:r>
          </w:p>
        </w:tc>
        <w:tc>
          <w:tcPr>
            <w:tcW w:w="1003" w:type="dxa"/>
            <w:tcBorders>
              <w:top w:val="single" w:color="auto" w:sz="4" w:space="0"/>
              <w:left w:val="single" w:color="auto" w:sz="4" w:space="0"/>
              <w:bottom w:val="single" w:color="auto" w:sz="4" w:space="0"/>
              <w:right w:val="nil"/>
            </w:tcBorders>
            <w:shd w:val="clear" w:color="auto" w:fill="auto"/>
            <w:vAlign w:val="center"/>
          </w:tcPr>
          <w:p w14:paraId="268A755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24左右</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1264B52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预期性</w:t>
            </w:r>
          </w:p>
        </w:tc>
      </w:tr>
      <w:tr w14:paraId="4A73BE9C">
        <w:tblPrEx>
          <w:tblCellMar>
            <w:top w:w="0" w:type="dxa"/>
            <w:left w:w="0" w:type="dxa"/>
            <w:bottom w:w="0" w:type="dxa"/>
            <w:right w:w="0" w:type="dxa"/>
          </w:tblCellMar>
        </w:tblPrEx>
        <w:trPr>
          <w:gridAfter w:val="1"/>
          <w:wAfter w:w="90" w:type="dxa"/>
          <w:trHeight w:val="406" w:hRule="atLeast"/>
        </w:trPr>
        <w:tc>
          <w:tcPr>
            <w:tcW w:w="628" w:type="dxa"/>
            <w:tcBorders>
              <w:top w:val="single" w:color="auto" w:sz="4" w:space="0"/>
              <w:left w:val="single" w:color="auto" w:sz="4" w:space="0"/>
              <w:bottom w:val="single" w:color="auto" w:sz="4" w:space="0"/>
              <w:right w:val="nil"/>
            </w:tcBorders>
            <w:shd w:val="clear" w:color="auto" w:fill="FFFFFF"/>
            <w:vAlign w:val="center"/>
          </w:tcPr>
          <w:p w14:paraId="242B9F3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rPr>
              <w:t>健康产业</w:t>
            </w:r>
          </w:p>
        </w:tc>
        <w:tc>
          <w:tcPr>
            <w:tcW w:w="695" w:type="dxa"/>
            <w:tcBorders>
              <w:top w:val="single" w:color="auto" w:sz="4" w:space="0"/>
              <w:left w:val="single" w:color="auto" w:sz="4" w:space="0"/>
              <w:bottom w:val="single" w:color="auto" w:sz="4" w:space="0"/>
              <w:right w:val="nil"/>
            </w:tcBorders>
            <w:shd w:val="clear" w:color="auto" w:fill="FFFFFF"/>
            <w:vAlign w:val="center"/>
          </w:tcPr>
          <w:p w14:paraId="679A525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23</w:t>
            </w:r>
          </w:p>
        </w:tc>
        <w:tc>
          <w:tcPr>
            <w:tcW w:w="4036" w:type="dxa"/>
            <w:tcBorders>
              <w:top w:val="single" w:color="auto" w:sz="4" w:space="0"/>
              <w:left w:val="single" w:color="auto" w:sz="4" w:space="0"/>
              <w:bottom w:val="single" w:color="auto" w:sz="4" w:space="0"/>
              <w:right w:val="nil"/>
            </w:tcBorders>
            <w:shd w:val="clear" w:color="auto" w:fill="FFFFFF"/>
            <w:vAlign w:val="center"/>
          </w:tcPr>
          <w:p w14:paraId="01BA560F">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Times New Roman" w:hAnsi="Times New Roman" w:eastAsia="仿宋_GB2312" w:cs="Times New Roman"/>
                <w:kern w:val="0"/>
                <w:sz w:val="22"/>
                <w:szCs w:val="28"/>
                <w:lang w:val="zh-CN"/>
              </w:rPr>
            </w:pPr>
            <w:r>
              <w:rPr>
                <w:rFonts w:hint="default" w:ascii="Times New Roman" w:hAnsi="Times New Roman" w:eastAsia="仿宋_GB2312" w:cs="Times New Roman"/>
                <w:kern w:val="0"/>
                <w:sz w:val="22"/>
                <w:szCs w:val="28"/>
                <w:lang w:val="zh-CN"/>
              </w:rPr>
              <w:t>健康服务业总规模年均增速</w:t>
            </w:r>
          </w:p>
        </w:tc>
        <w:tc>
          <w:tcPr>
            <w:tcW w:w="641" w:type="dxa"/>
            <w:tcBorders>
              <w:top w:val="single" w:color="auto" w:sz="4" w:space="0"/>
              <w:left w:val="single" w:color="auto" w:sz="4" w:space="0"/>
              <w:bottom w:val="single" w:color="auto" w:sz="4" w:space="0"/>
              <w:right w:val="nil"/>
            </w:tcBorders>
            <w:shd w:val="clear" w:color="auto" w:fill="FFFFFF"/>
            <w:vAlign w:val="center"/>
          </w:tcPr>
          <w:p w14:paraId="09E0C95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lang w:eastAsia="en-US"/>
              </w:rPr>
              <w:t>%</w:t>
            </w:r>
          </w:p>
        </w:tc>
        <w:tc>
          <w:tcPr>
            <w:tcW w:w="961" w:type="dxa"/>
            <w:tcBorders>
              <w:top w:val="single" w:color="auto" w:sz="4" w:space="0"/>
              <w:left w:val="single" w:color="auto" w:sz="4" w:space="0"/>
              <w:bottom w:val="single" w:color="auto" w:sz="4" w:space="0"/>
              <w:right w:val="nil"/>
            </w:tcBorders>
            <w:shd w:val="clear" w:color="auto" w:fill="auto"/>
            <w:vAlign w:val="center"/>
          </w:tcPr>
          <w:p w14:paraId="1BDAA2B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kern w:val="0"/>
                <w:sz w:val="22"/>
                <w:szCs w:val="28"/>
                <w:lang w:eastAsia="en-US"/>
              </w:rPr>
              <w:t>-</w:t>
            </w:r>
          </w:p>
        </w:tc>
        <w:tc>
          <w:tcPr>
            <w:tcW w:w="1003" w:type="dxa"/>
            <w:tcBorders>
              <w:top w:val="single" w:color="auto" w:sz="4" w:space="0"/>
              <w:left w:val="single" w:color="auto" w:sz="4" w:space="0"/>
              <w:bottom w:val="single" w:color="auto" w:sz="4" w:space="0"/>
              <w:right w:val="nil"/>
            </w:tcBorders>
            <w:shd w:val="clear" w:color="auto" w:fill="auto"/>
            <w:vAlign w:val="center"/>
          </w:tcPr>
          <w:p w14:paraId="6229541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kern w:val="0"/>
                <w:sz w:val="22"/>
                <w:szCs w:val="28"/>
              </w:rPr>
            </w:pPr>
            <w:r>
              <w:rPr>
                <w:rFonts w:hint="default" w:ascii="Times New Roman" w:hAnsi="Times New Roman" w:eastAsia="仿宋_GB2312" w:cs="Times New Roman"/>
                <w:bCs/>
                <w:kern w:val="0"/>
                <w:sz w:val="22"/>
                <w:szCs w:val="28"/>
              </w:rPr>
              <w:t>8.5左右</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7606C0E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_GB2312" w:cs="Times New Roman"/>
                <w:bCs/>
                <w:kern w:val="0"/>
                <w:sz w:val="22"/>
                <w:szCs w:val="28"/>
                <w:lang w:eastAsia="en-US"/>
              </w:rPr>
            </w:pPr>
            <w:r>
              <w:rPr>
                <w:rFonts w:hint="default" w:ascii="Times New Roman" w:hAnsi="Times New Roman" w:eastAsia="仿宋_GB2312" w:cs="Times New Roman"/>
                <w:kern w:val="0"/>
                <w:sz w:val="22"/>
                <w:szCs w:val="28"/>
              </w:rPr>
              <w:t>预期性</w:t>
            </w:r>
          </w:p>
        </w:tc>
      </w:tr>
    </w:tbl>
    <w:p w14:paraId="2D262FF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方正仿宋_GBK" w:cs="Times New Roman"/>
          <w:sz w:val="32"/>
          <w:szCs w:val="32"/>
          <w:lang w:val="en-US" w:eastAsia="zh-CN"/>
        </w:rPr>
      </w:pPr>
    </w:p>
    <w:p w14:paraId="1106BBCD">
      <w:pPr>
        <w:rPr>
          <w:rFonts w:hint="default" w:ascii="Times New Roman" w:hAnsi="Times New Roman" w:eastAsia="方正宋黑_GBK" w:cs="Times New Roman"/>
          <w:sz w:val="32"/>
          <w:szCs w:val="32"/>
          <w:lang w:val="en-US" w:eastAsia="zh-CN"/>
        </w:rPr>
      </w:pPr>
      <w:r>
        <w:rPr>
          <w:rFonts w:hint="default" w:ascii="Times New Roman" w:hAnsi="Times New Roman" w:eastAsia="方正宋黑_GBK" w:cs="Times New Roman"/>
          <w:sz w:val="32"/>
          <w:szCs w:val="32"/>
          <w:lang w:val="en-US" w:eastAsia="zh-CN"/>
        </w:rPr>
        <w:br w:type="page"/>
      </w:r>
    </w:p>
    <w:p w14:paraId="204F478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仿宋_GBK" w:cs="Times New Roman"/>
          <w:sz w:val="32"/>
          <w:szCs w:val="32"/>
          <w:lang w:val="en-US" w:eastAsia="zh-CN"/>
        </w:rPr>
      </w:pPr>
      <w:bookmarkStart w:id="15" w:name="_Toc24889"/>
      <w:r>
        <w:rPr>
          <w:rFonts w:hint="default" w:ascii="黑体" w:hAnsi="黑体" w:eastAsia="黑体" w:cs="黑体"/>
          <w:sz w:val="32"/>
          <w:szCs w:val="32"/>
          <w:lang w:val="en-US" w:eastAsia="zh-CN"/>
        </w:rPr>
        <w:t>第四章  发展重点和主要任务</w:t>
      </w:r>
      <w:bookmarkEnd w:id="15"/>
    </w:p>
    <w:p w14:paraId="345588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16" w:name="_Toc16917"/>
      <w:r>
        <w:rPr>
          <w:rFonts w:hint="default" w:ascii="楷体" w:hAnsi="楷体" w:eastAsia="楷体" w:cs="楷体"/>
          <w:sz w:val="32"/>
          <w:szCs w:val="32"/>
          <w:lang w:val="en-US" w:eastAsia="zh-CN"/>
        </w:rPr>
        <w:t>第十三</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医疗卫生体系规划</w:t>
      </w:r>
      <w:bookmarkEnd w:id="16"/>
    </w:p>
    <w:p w14:paraId="3DB751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35.加强疾病预防控制机构和能力建设。进一步提高疾控机构达标建设水平。提高地方病和职业卫生监测能力，建成碘监测实验室和职业卫生监测实验室。增加检验仪器设备配备，扩增检测项目不低于20项，A类检测项目达70项，开展率达60%。进一步规范预防接种和疫苗管理工作。继续加强重大传染病防治工作。保持传染病发病率逐年下降趋势，甲、乙类法定传染病发病率控制在120/10万以内。健全结核病分级诊疗综合防治模式，肺结核发病率控制在35/10万以下。扎实推进艾滋病防治各项工作，扩大全人群检测覆盖率。提升疟疾监测能力和水平，继续保持无本地感染病例，有效应对输入性疟疾疫情。通过深入实施基本公共卫生服务均等化，促进慢性病防控工作不断提升质量。稳步推进精神卫生工作。加强严重精神障碍患者管理和服务，提高严重精神障碍患者规范管理率达95%，让50%以上的居家精神障碍患者接受社区康复服务。促进居民健康素养水平不断提升，深入开展“健康中国行动”，广泛开展健康教育宣传。健康社区覆盖率100%，确保居民健康素养水平达25%以上。</w:t>
      </w:r>
    </w:p>
    <w:p w14:paraId="7C0969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36.进一步强化妇幼保健工作。提高妇女健康水平，促进生活优质安全，加强母婴安全保障，孕产妇死亡率控制在8/10万以下。扎实推进基层妇幼健康规范化门诊建设，全区基层规范化门诊建成率达80%以上。做实艾滋病梅毒乙肝阻断项目，进一步扩大妇科病普查普治、乳腺癌和宫颈癌“两癌”筛查范围。深入推进健康宝贝工程，为全区孕妇提供孕前至产后全过程和0—6岁儿童12项妇幼健康技术服务。提供避孕节育全程服务，推进“七彩”健康生殖工程。开展青春期课堂，提高青少年生殖健康知识水平，增强疾病预防意识和能力。</w:t>
      </w:r>
    </w:p>
    <w:p w14:paraId="3D35B3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37.健全保健服务体系，促进儿童健康发展。保障儿童卫生健康服务，争取区政府逐年提高儿童公共卫生服务经费。加强托幼机构卫生保健业务指导，加强儿童心理行为问题预防，中小学心理教育普及率达95%以上。婴儿死亡率控制在5‰以下，5岁以下儿童死亡率控制在6‰以下，0-6岁儿童保健管理率达到98%以上。严重多发致残的出生缺陷发生率控制在4‰以下，新生儿疾病筛查率稳定在95%以上，0-6岁儿童眼保健和近视筛查覆盖率达90%以上，先天性心脏病筛查率95%以上。托幼机构保健合格率100%。</w:t>
      </w:r>
    </w:p>
    <w:p w14:paraId="0D9D31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b w:val="0"/>
          <w:bCs/>
          <w:color w:val="auto"/>
          <w:sz w:val="32"/>
          <w:szCs w:val="32"/>
          <w:highlight w:val="none"/>
          <w:lang w:val="en-US" w:eastAsia="zh-CN"/>
        </w:rPr>
        <w:t>38.以卫健信息化带动卫健现代化，按照“统筹规划、国家主导，统一标准、联合建设，互通互联、资源共享”的指导方针，高标准、高起点、高质量建设卫健信息网络系统和区域卫生健康信息数据中心，实现各级各类医疗卫生机构联网、信息互通共享，满足广大居民、医务人员、卫生管理者等各领域人员对卫生健康信息的不同需求。完善以疾病控制网络为主体的公共卫生信息系统，提高预测预警和分析报告能力。以建立居民健康档案为重点，构建社区卫生信息网络平台。以医院管理和电子病历为重点，推进医院信息化建设。利用网络信息技术，促进城区医院与社区卫生服务机构的合作。重点推进疾病控制、卫生监督、预防保健、社区卫生、医疗服务、远程医疗咨询、远程医学教育与培训等领域的信息化建设。</w:t>
      </w:r>
    </w:p>
    <w:p w14:paraId="2207D7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17" w:name="_Toc28113"/>
      <w:r>
        <w:rPr>
          <w:rFonts w:hint="default" w:ascii="楷体" w:hAnsi="楷体" w:eastAsia="楷体" w:cs="楷体"/>
          <w:sz w:val="32"/>
          <w:szCs w:val="32"/>
          <w:lang w:val="en-US" w:eastAsia="zh-CN"/>
        </w:rPr>
        <w:t>第十四</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公共卫生体系规划</w:t>
      </w:r>
      <w:bookmarkEnd w:id="17"/>
    </w:p>
    <w:p w14:paraId="291DB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39.推进基层医疗卫生服务机构规范化建设。进一步改善基层卫生基础条件，突出强化基本公共医疗卫生服务职能，着力构建公平可及、服务有效、资源节约、群众信赖的新型基层医疗卫生服务体系。加快基层医疗卫生服务机构的标准化和规范化建设，加强区域内医疗资源的整合，基层医疗卫生机构全部达到省定建设标准。</w:t>
      </w:r>
    </w:p>
    <w:p w14:paraId="038DE4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40.推进基层医疗卫生服务能力建设。充分发挥社区卫生服务机构在维护基本医疗卫生服务公益性中的基础性作用。切实承担基本医疗、预防、保健、康复、健康教育和计划生育技术指导等六位一体的服务功能，突出社区卫生服务机构在提供基本药物、落实基本公共卫生服务项目和开展社区健康管理等方面的能力和水平，更好地满足辖区居民的基本医疗卫生服务需求。</w:t>
      </w:r>
    </w:p>
    <w:p w14:paraId="497848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bCs/>
          <w:color w:val="auto"/>
          <w:sz w:val="32"/>
          <w:szCs w:val="32"/>
          <w:highlight w:val="none"/>
          <w:lang w:val="en-US" w:eastAsia="zh-CN"/>
        </w:rPr>
        <w:t>41.实现基本公共卫生服务覆盖城乡居民。进一步完善基本公共卫生管理体制，切实落实好国家基本公共卫生服务项目。继续组织实施城乡居民的健康体检工作，重点做好65岁以上老人、0-6岁儿童、育龄妇女等重点人群以及心脑血管疾病、糖尿病、恶性肿瘤和精神疾病等重点对象的健康档案建档和后续管理工作，统一建立电子居民健康档案，并实施规范动态管理。</w:t>
      </w:r>
    </w:p>
    <w:p w14:paraId="3C5CF7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18" w:name="_Toc4256"/>
      <w:r>
        <w:rPr>
          <w:rFonts w:hint="default" w:ascii="楷体" w:hAnsi="楷体" w:eastAsia="楷体" w:cs="楷体"/>
          <w:sz w:val="32"/>
          <w:szCs w:val="32"/>
          <w:lang w:val="en-US" w:eastAsia="zh-CN"/>
        </w:rPr>
        <w:t>第十五</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人才队伍建设</w:t>
      </w:r>
      <w:r>
        <w:rPr>
          <w:rFonts w:hint="eastAsia" w:ascii="楷体" w:hAnsi="楷体" w:eastAsia="楷体" w:cs="楷体"/>
          <w:sz w:val="32"/>
          <w:szCs w:val="32"/>
          <w:lang w:val="en-US" w:eastAsia="zh-CN"/>
        </w:rPr>
        <w:t>规划</w:t>
      </w:r>
      <w:bookmarkEnd w:id="18"/>
    </w:p>
    <w:p w14:paraId="06FFE9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42.完善基层医疗卫生机构绩效管理制度。</w:t>
      </w:r>
      <w:r>
        <w:rPr>
          <w:rFonts w:hint="default" w:ascii="Times New Roman" w:hAnsi="Times New Roman" w:eastAsia="方正仿宋_GBK" w:cs="Times New Roman"/>
          <w:b w:val="0"/>
          <w:bCs/>
          <w:color w:val="auto"/>
          <w:sz w:val="32"/>
          <w:szCs w:val="32"/>
          <w:highlight w:val="none"/>
          <w:lang w:val="zh-CN" w:eastAsia="zh-CN"/>
        </w:rPr>
        <w:t>建立科学的激励约束分配机制，进一步完善本区社区卫生服务中心的绩效管理制度，</w:t>
      </w:r>
      <w:r>
        <w:rPr>
          <w:rFonts w:hint="default" w:ascii="Times New Roman" w:hAnsi="Times New Roman" w:eastAsia="方正仿宋_GBK" w:cs="Times New Roman"/>
          <w:b w:val="0"/>
          <w:bCs/>
          <w:color w:val="auto"/>
          <w:sz w:val="32"/>
          <w:szCs w:val="32"/>
          <w:highlight w:val="none"/>
          <w:lang w:val="en-US" w:eastAsia="zh-CN"/>
        </w:rPr>
        <w:t>出台基层卫生人员在工资、编制、职称和社会保障等方面的政策，稳定基层卫生队伍。</w:t>
      </w:r>
      <w:r>
        <w:rPr>
          <w:rFonts w:hint="default" w:ascii="Times New Roman" w:hAnsi="Times New Roman" w:eastAsia="方正仿宋_GBK" w:cs="Times New Roman"/>
          <w:b w:val="0"/>
          <w:bCs/>
          <w:color w:val="auto"/>
          <w:sz w:val="32"/>
          <w:szCs w:val="32"/>
          <w:highlight w:val="none"/>
          <w:lang w:val="zh-CN" w:eastAsia="zh-CN"/>
        </w:rPr>
        <w:t>开展基层卫生人才统一招聘，加快建立“县管乡用”制度。推进全科医生培训，动态调整农村订单定向医学生培养规模。</w:t>
      </w:r>
      <w:r>
        <w:rPr>
          <w:rFonts w:hint="eastAsia" w:ascii="Times New Roman" w:hAnsi="Times New Roman" w:eastAsia="方正仿宋_GBK" w:cs="Times New Roman"/>
          <w:b w:val="0"/>
          <w:bCs/>
          <w:color w:val="auto"/>
          <w:sz w:val="32"/>
          <w:szCs w:val="32"/>
          <w:highlight w:val="none"/>
          <w:lang w:val="zh-CN" w:eastAsia="zh-CN"/>
        </w:rPr>
        <w:t>提高基层卫生人员实训基地建设水平，推进基层卫生人员培训，</w:t>
      </w:r>
      <w:r>
        <w:rPr>
          <w:rFonts w:hint="default" w:ascii="Times New Roman" w:hAnsi="Times New Roman" w:eastAsia="方正仿宋_GBK" w:cs="Times New Roman"/>
          <w:b w:val="0"/>
          <w:bCs/>
          <w:color w:val="auto"/>
          <w:sz w:val="32"/>
          <w:szCs w:val="32"/>
          <w:highlight w:val="none"/>
          <w:lang w:val="zh-CN" w:eastAsia="zh-CN"/>
        </w:rPr>
        <w:t>加大卫生适宜技术推广力度。全面落实基层医疗卫生机构“公益一类财政保障、公益二类绩效管理”。扩大基层卫生骨干人才规模，实施全科医生专项补助政策，提升基层医务人员待遇。提高乡村医生补助和社会保障水平，稳定村医队伍。</w:t>
      </w:r>
    </w:p>
    <w:p w14:paraId="56AF51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19" w:name="_Toc17247"/>
      <w:r>
        <w:rPr>
          <w:rFonts w:hint="default" w:ascii="楷体" w:hAnsi="楷体" w:eastAsia="楷体" w:cs="楷体"/>
          <w:sz w:val="32"/>
          <w:szCs w:val="32"/>
          <w:lang w:val="en-US" w:eastAsia="zh-CN"/>
        </w:rPr>
        <w:t>第十六</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家庭发展支持体系</w:t>
      </w:r>
      <w:r>
        <w:rPr>
          <w:rFonts w:hint="eastAsia" w:ascii="楷体" w:hAnsi="楷体" w:eastAsia="楷体" w:cs="楷体"/>
          <w:sz w:val="32"/>
          <w:szCs w:val="32"/>
          <w:lang w:val="en-US" w:eastAsia="zh-CN"/>
        </w:rPr>
        <w:t>规划</w:t>
      </w:r>
      <w:bookmarkEnd w:id="19"/>
    </w:p>
    <w:p w14:paraId="5A1037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bCs/>
          <w:color w:val="auto"/>
          <w:sz w:val="32"/>
          <w:szCs w:val="32"/>
          <w:highlight w:val="none"/>
          <w:lang w:val="en-US" w:eastAsia="zh-CN"/>
        </w:rPr>
        <w:t>43.坚持计划生育基本国策，扎实稳妥地实施“三孩生育”政策。人口自然增长率控制在5‰左右，出生政策符合率保持在98%以上，计划生育利益导向各项政策全面兑现，出生人口性别比趋于正常，探索推进0-3岁婴幼儿托育服务机构建设。严厉打击“两非”行为，加强人口数据监测工作。强化奖励扶助政策体系，推进特殊家庭精准扶助。</w:t>
      </w:r>
    </w:p>
    <w:p w14:paraId="52061B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楷体" w:hAnsi="楷体" w:eastAsia="楷体" w:cs="楷体"/>
          <w:sz w:val="32"/>
          <w:szCs w:val="32"/>
          <w:lang w:val="en-US" w:eastAsia="zh-CN"/>
        </w:rPr>
      </w:pPr>
      <w:bookmarkStart w:id="20" w:name="_Toc29199"/>
      <w:r>
        <w:rPr>
          <w:rFonts w:hint="default" w:ascii="楷体" w:hAnsi="楷体" w:eastAsia="楷体" w:cs="楷体"/>
          <w:sz w:val="32"/>
          <w:szCs w:val="32"/>
          <w:lang w:val="en-US" w:eastAsia="zh-CN"/>
        </w:rPr>
        <w:t>第十七</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健康城市建设</w:t>
      </w:r>
      <w:r>
        <w:rPr>
          <w:rFonts w:hint="eastAsia" w:ascii="楷体" w:hAnsi="楷体" w:eastAsia="楷体" w:cs="楷体"/>
          <w:sz w:val="32"/>
          <w:szCs w:val="32"/>
          <w:lang w:val="en-US" w:eastAsia="zh-CN"/>
        </w:rPr>
        <w:t>规划</w:t>
      </w:r>
      <w:bookmarkEnd w:id="20"/>
    </w:p>
    <w:p w14:paraId="755BAA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44.广泛普及健康知识，加强健康教育信息权威发布和内容建设，组织发布科学防病知识，开展各类健康公益宣传。倡导全民健康生活方式，发展壮大健康生活方式指导员队伍，组织健康生活方式指导员进家庭、进社区、进单位、进学校、进医院活动。“十四五”期间建成省级健康促进县区，争创国家级健康促进县区，打造省级健康促进街道示范点。巩固提升创卫成果，建立健全创卫长效管理机制，实现国家卫生乡镇覆盖率100%。深入开展健康教育宣传工作，不断拓展健康促进途径，引导市民形成健康的生活方式，到2025年全区居民健康素养水平不低于30%。推进健康细胞建设工程，建设一批高质量健康乡镇、健康村/社区、健康机关和健康企业等，增加高标准健康主题公园、健康步道等健康环境，不断完善健康支持性环境。</w:t>
      </w:r>
    </w:p>
    <w:p w14:paraId="116418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楷体" w:hAnsi="楷体" w:eastAsia="楷体" w:cs="楷体"/>
          <w:sz w:val="32"/>
          <w:szCs w:val="32"/>
          <w:lang w:val="en-US" w:eastAsia="zh-CN"/>
        </w:rPr>
      </w:pPr>
      <w:bookmarkStart w:id="21" w:name="_Toc2020"/>
      <w:r>
        <w:rPr>
          <w:rFonts w:hint="default" w:ascii="楷体" w:hAnsi="楷体" w:eastAsia="楷体" w:cs="楷体"/>
          <w:sz w:val="32"/>
          <w:szCs w:val="32"/>
          <w:lang w:val="en-US" w:eastAsia="zh-CN"/>
        </w:rPr>
        <w:t>第十八</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现代卫生监管体系</w:t>
      </w:r>
      <w:r>
        <w:rPr>
          <w:rFonts w:hint="eastAsia" w:ascii="楷体" w:hAnsi="楷体" w:eastAsia="楷体" w:cs="楷体"/>
          <w:sz w:val="32"/>
          <w:szCs w:val="32"/>
          <w:lang w:val="en-US" w:eastAsia="zh-CN"/>
        </w:rPr>
        <w:t>规划</w:t>
      </w:r>
      <w:bookmarkEnd w:id="21"/>
    </w:p>
    <w:p w14:paraId="003866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FF0000"/>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45.根据省、市、区关于《改革完善医疗卫生行业综合监管制度实施方案的通知》要求，在全区推进卫生监督三级网络建设工作，构建一个以区卫生监督所为中心，街道、社区卫生监督网络为基础的卫生监督执法新体系，全面提高我区卫生监督执法水平。加强卫生监督机构建设，进一步完善执法取证工具、现场快速检测和防护设备、交通通讯、信息网络等设备投入。加强卫生监督队伍建设</w:t>
      </w:r>
      <w:r>
        <w:rPr>
          <w:rFonts w:hint="eastAsia" w:ascii="Times New Roman" w:hAnsi="Times New Roman" w:eastAsia="方正仿宋_GBK" w:cs="Times New Roman"/>
          <w:b w:val="0"/>
          <w:bCs/>
          <w:color w:val="auto"/>
          <w:sz w:val="32"/>
          <w:szCs w:val="32"/>
          <w:highlight w:val="none"/>
          <w:lang w:val="en-US" w:eastAsia="zh-CN"/>
        </w:rPr>
        <w:t>，</w:t>
      </w:r>
      <w:r>
        <w:rPr>
          <w:rFonts w:hint="default" w:ascii="Times New Roman" w:hAnsi="Times New Roman" w:eastAsia="方正仿宋_GBK" w:cs="Times New Roman"/>
          <w:b w:val="0"/>
          <w:bCs/>
          <w:color w:val="auto"/>
          <w:sz w:val="32"/>
          <w:szCs w:val="32"/>
          <w:highlight w:val="none"/>
          <w:lang w:val="en-US" w:eastAsia="zh-CN"/>
        </w:rPr>
        <w:t>根据《市政府办公室关于进一步理顺功能区卫生健康管理体制的意见》（连政办发〔2020〕33号），按本行政区域（含功能区）服务人口，重新核定区卫生监督所人员编制；卫生监督人员数量达到按服务人口每万人1.0人配备。落实卫生监督业务经费，应按照人均每年不低于2.5万元纳入同级财政预算予以保障，力争在2021年前落实到位。加大卫生监督执法力度，卫生许可要求符合率达到98%以上，对辖区内医疗机构监督监测覆盖率达到100%，建立“双随机”抽查工作机制，促进卫生监督覆盖率达到100%，“四小行业”整治达标率达90%以上，量化分级管理率达100%。对辖区内集中式供水单位及二次供水单位监督覆盖率达100%，抽检合格率达90%以上。深入开展职业危害企业专项检查，健康监护覆盖率达90%以上；开展学校卫生综合监督评价工作，覆盖率达到100%。实施职业病综合防治。推动重点职业病监测、放射性疾病监测、作业场所危害因素监测等监测项目实施。持续推动尘肺病防治行动，对建国以来尘肺病患者进行随访，接尘不足五年新发职业病病例持续下降。</w:t>
      </w:r>
    </w:p>
    <w:p w14:paraId="56F7C2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楷体" w:hAnsi="楷体" w:eastAsia="楷体" w:cs="楷体"/>
          <w:sz w:val="32"/>
          <w:szCs w:val="32"/>
          <w:lang w:val="en-US" w:eastAsia="zh-CN"/>
        </w:rPr>
      </w:pPr>
      <w:bookmarkStart w:id="22" w:name="_Toc15523"/>
      <w:r>
        <w:rPr>
          <w:rFonts w:hint="default" w:ascii="楷体" w:hAnsi="楷体" w:eastAsia="楷体" w:cs="楷体"/>
          <w:sz w:val="32"/>
          <w:szCs w:val="32"/>
          <w:lang w:val="en-US" w:eastAsia="zh-CN"/>
        </w:rPr>
        <w:t>第十九</w:t>
      </w:r>
      <w:r>
        <w:rPr>
          <w:rFonts w:hint="eastAsia" w:ascii="楷体" w:hAnsi="楷体" w:eastAsia="楷体" w:cs="楷体"/>
          <w:sz w:val="32"/>
          <w:szCs w:val="32"/>
          <w:lang w:val="en-US" w:eastAsia="zh-CN"/>
        </w:rPr>
        <w:t>节</w:t>
      </w:r>
      <w:r>
        <w:rPr>
          <w:rFonts w:hint="default" w:ascii="楷体" w:hAnsi="楷体" w:eastAsia="楷体" w:cs="楷体"/>
          <w:sz w:val="32"/>
          <w:szCs w:val="32"/>
          <w:lang w:val="en-US" w:eastAsia="zh-CN"/>
        </w:rPr>
        <w:t xml:space="preserve">  重大工程</w:t>
      </w:r>
      <w:r>
        <w:rPr>
          <w:rFonts w:hint="eastAsia" w:ascii="楷体" w:hAnsi="楷体" w:eastAsia="楷体" w:cs="楷体"/>
          <w:sz w:val="32"/>
          <w:szCs w:val="32"/>
          <w:lang w:val="en-US" w:eastAsia="zh-CN"/>
        </w:rPr>
        <w:t>建设</w:t>
      </w:r>
      <w:r>
        <w:rPr>
          <w:rFonts w:hint="default" w:ascii="楷体" w:hAnsi="楷体" w:eastAsia="楷体" w:cs="楷体"/>
          <w:sz w:val="32"/>
          <w:szCs w:val="32"/>
          <w:lang w:val="en-US" w:eastAsia="zh-CN"/>
        </w:rPr>
        <w:t>项目</w:t>
      </w:r>
      <w:bookmarkEnd w:id="22"/>
    </w:p>
    <w:p w14:paraId="09269E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为适应经济发展，提升连云区公共卫生应急能力，完善公共卫生服务体系，更好地满足群众身体健康和生命安全，连云区卫生健康委员会拟规划开展以下建设项目。</w:t>
      </w:r>
    </w:p>
    <w:p w14:paraId="749E83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46.连云区卫生应急能力提升工程项目。按照《疾病预防控制中心建设标准》对现有建筑（连云区广州路北、深圳路东，建筑面积约4000㎡）进行改造、装修为区疾病预防控制中心业务用房，重点建设核酸检测、微生物检测、理化检测等疾病监测实验室，购置疫情监测、标本采集、现场处置、检验检测等仪器设备。用于区疾病预防控制、公共卫生应急物资储备、公共卫生服务、科研培训以及疾病预防控制大数据中心等。</w:t>
      </w:r>
    </w:p>
    <w:p w14:paraId="20ACB8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47.连云区墟沟社区卫生服务中心东园分中心建设项目。对原区税务局办公楼（建筑面积3000㎡）按照基层社区</w:t>
      </w:r>
      <w:r>
        <w:rPr>
          <w:rFonts w:hint="eastAsia" w:ascii="Times New Roman" w:hAnsi="Times New Roman" w:eastAsia="方正仿宋_GBK" w:cs="Times New Roman"/>
          <w:b w:val="0"/>
          <w:bCs/>
          <w:color w:val="auto"/>
          <w:sz w:val="32"/>
          <w:szCs w:val="32"/>
          <w:highlight w:val="none"/>
          <w:lang w:val="en-US" w:eastAsia="zh-CN"/>
        </w:rPr>
        <w:t>中心</w:t>
      </w:r>
      <w:r>
        <w:rPr>
          <w:rFonts w:hint="default" w:ascii="Times New Roman" w:hAnsi="Times New Roman" w:eastAsia="方正仿宋_GBK" w:cs="Times New Roman"/>
          <w:b w:val="0"/>
          <w:bCs/>
          <w:color w:val="auto"/>
          <w:sz w:val="32"/>
          <w:szCs w:val="32"/>
          <w:highlight w:val="none"/>
          <w:lang w:val="en-US" w:eastAsia="zh-CN"/>
        </w:rPr>
        <w:t>使用功能进行装修，同时配套改造建设水、电、消防、疏散楼梯等公用设施以及项目范围内的室外工程，设置各类门诊、临床科室用房、预防保健科室用房、医技及其他科室用房以及配备必要的医疗设施、设备。</w:t>
      </w:r>
    </w:p>
    <w:p w14:paraId="654722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48.新建连云区公共卫生中心项目。</w:t>
      </w:r>
      <w:r>
        <w:rPr>
          <w:rFonts w:hint="eastAsia" w:ascii="Times New Roman" w:hAnsi="Times New Roman" w:eastAsia="方正仿宋_GBK" w:cs="Times New Roman"/>
          <w:b w:val="0"/>
          <w:bCs/>
          <w:color w:val="auto"/>
          <w:sz w:val="32"/>
          <w:szCs w:val="32"/>
          <w:highlight w:val="none"/>
          <w:lang w:val="en-US" w:eastAsia="zh-CN"/>
        </w:rPr>
        <w:t>项目</w:t>
      </w:r>
      <w:r>
        <w:rPr>
          <w:rFonts w:hint="default" w:ascii="Times New Roman" w:hAnsi="Times New Roman" w:eastAsia="方正仿宋_GBK" w:cs="Times New Roman"/>
          <w:b w:val="0"/>
          <w:bCs/>
          <w:color w:val="auto"/>
          <w:sz w:val="32"/>
          <w:szCs w:val="32"/>
          <w:highlight w:val="none"/>
          <w:lang w:val="en-US" w:eastAsia="zh-CN"/>
        </w:rPr>
        <w:t>位于连云区中华西路北，栖霞路西，铁路以东。用地面积约8664平方米，建筑占地面积约2300平方米，主体建筑11层、局部3层，总建筑面积约28080平方米。主要用于疾病预防控制、公共卫生应急物资储备、公共卫生服务、科研等。主要设有预防接种门诊、核酸检测实验室、流行病病源检测实验室、基层卫生人才实训基地、发热门诊、普通门诊、医技用房科室、病房以及卫生监督用房等。</w:t>
      </w:r>
    </w:p>
    <w:p w14:paraId="1A57A70B">
      <w:pPr>
        <w:rPr>
          <w:rFonts w:hint="default" w:ascii="Times New Roman" w:hAnsi="Times New Roman" w:eastAsia="方正宋黑_GBK" w:cs="Times New Roman"/>
          <w:sz w:val="32"/>
          <w:szCs w:val="32"/>
          <w:lang w:val="en-US" w:eastAsia="zh-CN"/>
        </w:rPr>
      </w:pPr>
      <w:r>
        <w:rPr>
          <w:rFonts w:hint="default" w:ascii="Times New Roman" w:hAnsi="Times New Roman" w:eastAsia="方正宋黑_GBK" w:cs="Times New Roman"/>
          <w:sz w:val="32"/>
          <w:szCs w:val="32"/>
          <w:lang w:val="en-US" w:eastAsia="zh-CN"/>
        </w:rPr>
        <w:br w:type="page"/>
      </w:r>
    </w:p>
    <w:p w14:paraId="53F87A3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仿宋_GBK" w:cs="Times New Roman"/>
          <w:sz w:val="32"/>
          <w:szCs w:val="32"/>
          <w:lang w:val="en-US" w:eastAsia="zh-CN"/>
        </w:rPr>
      </w:pPr>
      <w:bookmarkStart w:id="23" w:name="_Toc26592"/>
      <w:r>
        <w:rPr>
          <w:rFonts w:hint="eastAsia" w:ascii="黑体" w:hAnsi="黑体" w:eastAsia="黑体" w:cs="黑体"/>
          <w:sz w:val="32"/>
          <w:szCs w:val="32"/>
          <w:lang w:val="en-US" w:eastAsia="zh-CN"/>
        </w:rPr>
        <w:t>第五章  规划实施措施</w:t>
      </w:r>
      <w:bookmarkEnd w:id="23"/>
    </w:p>
    <w:p w14:paraId="15CEE3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楷体" w:hAnsi="楷体" w:eastAsia="楷体" w:cs="楷体"/>
          <w:sz w:val="32"/>
          <w:szCs w:val="32"/>
          <w:lang w:val="en-US" w:eastAsia="zh-CN"/>
        </w:rPr>
      </w:pPr>
      <w:bookmarkStart w:id="24" w:name="_Toc17713"/>
      <w:r>
        <w:rPr>
          <w:rFonts w:hint="eastAsia" w:ascii="楷体" w:hAnsi="楷体" w:eastAsia="楷体" w:cs="楷体"/>
          <w:sz w:val="32"/>
          <w:szCs w:val="32"/>
          <w:lang w:val="en-US" w:eastAsia="zh-CN"/>
        </w:rPr>
        <w:t>第二十节  规划实施保障</w:t>
      </w:r>
      <w:bookmarkEnd w:id="24"/>
    </w:p>
    <w:p w14:paraId="538CC6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49.坚持和加强党的全面领导。全面贯彻落实习近平新时代中国特色社会主义思想，坚决贯彻党的基本理论、基本路线、基本方略，在增强“四个意识”、坚定“四个自信”、做到“两个维护”上重行重效，在贯彻党中央决策部署上到底到位，把党的领导始终贯彻“十四五”规划编制实施各领域全过程。要在党中央集中统一领导下，动员组织各级各方面力量真抓实干，把党中央各项决策部署落到实处。</w:t>
      </w:r>
    </w:p>
    <w:p w14:paraId="26E3C3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50.卫健事业发展规划关系医疗卫生健康事业科学发展和人民群众切身利益，关系千家万户幸福，是一项长期复杂的系统工程。各部门要将卫健事业发展规划纳入当地国民经济和社会发展的总体规划，摆上更加重要的位置，作为增进民生幸福、促进社会和谐的大事来抓，及时协调解决卫健工作中的经费、编制等重大问题，努力使卫健事业与经济社会发展相协调，使人民健康保障水平与经济发展水平相适应。各部门应加强规划统筹和引导作用，在土地利用总体规划和城乡规划中统筹考虑医疗卫生机构布局调整。各有关部门积极配合，牢固树立大局意识，准确把握卫健工作的重点任务，明确目标、恪尽职守，加强协作、形成合力，共同推进卫健事业改革发展。</w:t>
      </w:r>
    </w:p>
    <w:p w14:paraId="4A4F8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51.全面推进卫健法治建设，坚持依法行政，形成规范的卫健行政执法体系，推进职能转变，形成更加严密的法治监督体系。注重实际效果，形成更加科学的法制宣传教育体系。深化重大政策研究，形成推进法治建设的政策转化与支持体系。完善医疗卫生服务标准和质量评价体系，规范管理制度和工作流程，制定统一的疾病诊疗规范。强化对各级医疗卫生机构的监管，建立健全科学合理的医疗费用管控体系，积极鼓励使用国产医用耗材和设备，有效降低群众医药费用。完善医疗机构、从业人员、医疗技术应用、大型医疗设备等医疗服务要素准入管理，完善卫生监督体制，推进公共场所卫生监督量化分级管理制度。以医疗机构放射性危害控制为重点，加强放射卫生监督管理。以农村等薄弱地区为重点，全面推进学校卫生监督工作。加强卫生监督队伍管理，规范执法行为。</w:t>
      </w:r>
    </w:p>
    <w:p w14:paraId="1C8636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52.强化行风保障。深入开展卫生健康行风建设，进一步完善各类医疗机构的规章制度，积极推行合理治疗、合理检查、合理用药，推行价格公示，加快推进医院服务流程、诊疗护理服务、医患关系管理等标准化建设，建立健全医疗质量和安全体系。积极开展医患沟通，着力构建和谐的医患关系。加强党风廉政建设，打造一支政治坚定、能力过硬、作风优良、奋发有为的卫生健康干部队伍。</w:t>
      </w:r>
    </w:p>
    <w:sectPr>
      <w:footerReference r:id="rId4" w:type="default"/>
      <w:pgSz w:w="11906" w:h="16838"/>
      <w:pgMar w:top="2098" w:right="1474" w:bottom="1984" w:left="1587"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34AA8CB-7109-4C5E-B0FE-9E8BCFE3F5F0}"/>
  </w:font>
  <w:font w:name="Arial">
    <w:panose1 w:val="020B0604020202020204"/>
    <w:charset w:val="01"/>
    <w:family w:val="swiss"/>
    <w:pitch w:val="default"/>
    <w:sig w:usb0="E0002EFF" w:usb1="C000785B" w:usb2="00000009" w:usb3="00000000" w:csb0="400001FF" w:csb1="FFFF0000"/>
    <w:embedRegular r:id="rId2" w:fontKey="{056EBF65-57A7-4E59-8BEA-95BDF205F8F4}"/>
  </w:font>
  <w:font w:name="黑体">
    <w:panose1 w:val="02010609060101010101"/>
    <w:charset w:val="86"/>
    <w:family w:val="auto"/>
    <w:pitch w:val="default"/>
    <w:sig w:usb0="800002BF" w:usb1="38CF7CFA" w:usb2="00000016" w:usb3="00000000" w:csb0="00040001" w:csb1="00000000"/>
    <w:embedRegular r:id="rId3" w:fontKey="{8055CE44-733A-490B-8538-F90B326D4A78}"/>
  </w:font>
  <w:font w:name="Courier New">
    <w:panose1 w:val="02070309020205020404"/>
    <w:charset w:val="01"/>
    <w:family w:val="modern"/>
    <w:pitch w:val="default"/>
    <w:sig w:usb0="E0002EFF" w:usb1="C0007843" w:usb2="00000009" w:usb3="00000000" w:csb0="400001FF" w:csb1="FFFF0000"/>
    <w:embedRegular r:id="rId4" w:fontKey="{1B2488F2-E29F-44D5-B0C0-1A79D002AAA1}"/>
  </w:font>
  <w:font w:name="Symbol">
    <w:panose1 w:val="05050102010706020507"/>
    <w:charset w:val="02"/>
    <w:family w:val="roman"/>
    <w:pitch w:val="default"/>
    <w:sig w:usb0="00000000" w:usb1="00000000" w:usb2="00000000" w:usb3="00000000" w:csb0="80000000" w:csb1="00000000"/>
    <w:embedRegular r:id="rId5" w:fontKey="{AE3DA493-3532-4AB6-9798-152AB2D06FD5}"/>
  </w:font>
  <w:font w:name="Calibri">
    <w:panose1 w:val="020F0502020204030204"/>
    <w:charset w:val="00"/>
    <w:family w:val="swiss"/>
    <w:pitch w:val="default"/>
    <w:sig w:usb0="E4002EFF" w:usb1="C000247B" w:usb2="00000009" w:usb3="00000000" w:csb0="200001FF" w:csb1="00000000"/>
    <w:embedRegular r:id="rId6" w:fontKey="{9B4AB93B-2202-40E9-A2A5-08F457A9AD2A}"/>
  </w:font>
  <w:font w:name="仿宋_GB2312">
    <w:panose1 w:val="02010609030101010101"/>
    <w:charset w:val="86"/>
    <w:family w:val="modern"/>
    <w:pitch w:val="default"/>
    <w:sig w:usb0="00000001" w:usb1="080E0000" w:usb2="00000000" w:usb3="00000000" w:csb0="00040000" w:csb1="00000000"/>
    <w:embedRegular r:id="rId7" w:fontKey="{7005C14F-E87F-4589-A280-CEA712AE7BE5}"/>
  </w:font>
  <w:font w:name="FZFSK--GBK1-0">
    <w:altName w:val="Segoe Print"/>
    <w:panose1 w:val="00000000000000000000"/>
    <w:charset w:val="00"/>
    <w:family w:val="auto"/>
    <w:pitch w:val="default"/>
    <w:sig w:usb0="00000000" w:usb1="00000000" w:usb2="00000000" w:usb3="00000000" w:csb0="00000000" w:csb1="00000000"/>
    <w:embedRegular r:id="rId8" w:fontKey="{8395F757-DC6B-4EB1-ABC2-0289964524F7}"/>
  </w:font>
  <w:font w:name="Segoe Print">
    <w:panose1 w:val="02000600000000000000"/>
    <w:charset w:val="00"/>
    <w:family w:val="auto"/>
    <w:pitch w:val="default"/>
    <w:sig w:usb0="0000028F" w:usb1="00000000" w:usb2="00000000" w:usb3="00000000" w:csb0="2000009F" w:csb1="47010000"/>
    <w:embedRegular r:id="rId9" w:fontKey="{59CC5937-83B4-4F57-9EB4-F788C5D8E535}"/>
  </w:font>
  <w:font w:name="Helvetica">
    <w:altName w:val="Arial"/>
    <w:panose1 w:val="00000000000000000000"/>
    <w:charset w:val="00"/>
    <w:family w:val="auto"/>
    <w:pitch w:val="default"/>
    <w:sig w:usb0="00000000" w:usb1="00000000" w:usb2="00000000" w:usb3="00000000" w:csb0="00000000" w:csb1="00000000"/>
    <w:embedRegular r:id="rId10" w:fontKey="{BCD65193-0EE4-4CAF-B581-A25E5A53FC91}"/>
  </w:font>
  <w:font w:name="TimesNewRomanPSMT">
    <w:altName w:val="Times New Roman"/>
    <w:panose1 w:val="00000000000000000000"/>
    <w:charset w:val="00"/>
    <w:family w:val="auto"/>
    <w:pitch w:val="default"/>
    <w:sig w:usb0="00000000" w:usb1="00000000" w:usb2="00000000" w:usb3="00000000" w:csb0="00000000" w:csb1="00000000"/>
    <w:embedRegular r:id="rId11" w:fontKey="{8784B442-E188-43DB-8B8B-FC48B15A26E7}"/>
  </w:font>
  <w:font w:name="FZHTK--GBK1-0">
    <w:altName w:val="Segoe Print"/>
    <w:panose1 w:val="00000000000000000000"/>
    <w:charset w:val="00"/>
    <w:family w:val="auto"/>
    <w:pitch w:val="default"/>
    <w:sig w:usb0="00000000" w:usb1="00000000" w:usb2="00000000" w:usb3="00000000" w:csb0="00000000" w:csb1="00000000"/>
    <w:embedRegular r:id="rId12" w:fontKey="{68029BEC-F5ED-4411-B270-AA000627E7E7}"/>
  </w:font>
  <w:font w:name="方正小标宋_GBK">
    <w:panose1 w:val="03000509000000000000"/>
    <w:charset w:val="86"/>
    <w:family w:val="auto"/>
    <w:pitch w:val="default"/>
    <w:sig w:usb0="00000001" w:usb1="080E0000" w:usb2="00000000" w:usb3="00000000" w:csb0="00040000" w:csb1="00000000"/>
    <w:embedRegular r:id="rId13" w:fontKey="{70147054-F667-4182-9B01-6DDFEF4746ED}"/>
  </w:font>
  <w:font w:name="方正仿宋_GBK">
    <w:panose1 w:val="03000509000000000000"/>
    <w:charset w:val="86"/>
    <w:family w:val="auto"/>
    <w:pitch w:val="default"/>
    <w:sig w:usb0="00000001" w:usb1="080E0000" w:usb2="00000000" w:usb3="00000000" w:csb0="00040000" w:csb1="00000000"/>
    <w:embedRegular r:id="rId14" w:fontKey="{C86FA5F4-2224-47EF-B84F-77AE79DB4D8B}"/>
  </w:font>
  <w:font w:name="楷体_GB2312">
    <w:panose1 w:val="02010609030101010101"/>
    <w:charset w:val="86"/>
    <w:family w:val="modern"/>
    <w:pitch w:val="default"/>
    <w:sig w:usb0="00000001" w:usb1="080E0000" w:usb2="00000000" w:usb3="00000000" w:csb0="00040000" w:csb1="00000000"/>
    <w:embedRegular r:id="rId15" w:fontKey="{1440A08F-BB54-45C7-A6B4-D5BC97520BD1}"/>
  </w:font>
  <w:font w:name="方正楷体_GBK">
    <w:panose1 w:val="03000509000000000000"/>
    <w:charset w:val="86"/>
    <w:family w:val="auto"/>
    <w:pitch w:val="default"/>
    <w:sig w:usb0="00000001" w:usb1="080E0000" w:usb2="00000000" w:usb3="00000000" w:csb0="00040000" w:csb1="00000000"/>
    <w:embedRegular r:id="rId16" w:fontKey="{0664C2CC-BA62-4413-97E5-7E296A589AF4}"/>
  </w:font>
  <w:font w:name="方正宋黑_GBK">
    <w:panose1 w:val="03000509000000000000"/>
    <w:charset w:val="86"/>
    <w:family w:val="auto"/>
    <w:pitch w:val="default"/>
    <w:sig w:usb0="00000001" w:usb1="080E0000" w:usb2="00000000" w:usb3="00000000" w:csb0="00040000" w:csb1="00000000"/>
    <w:embedRegular r:id="rId17" w:fontKey="{16CAADFE-E371-4527-BDED-B1548A460779}"/>
  </w:font>
  <w:font w:name="楷体">
    <w:panose1 w:val="02010609060101010101"/>
    <w:charset w:val="86"/>
    <w:family w:val="auto"/>
    <w:pitch w:val="default"/>
    <w:sig w:usb0="800002BF" w:usb1="38CF7CFA" w:usb2="00000016" w:usb3="00000000" w:csb0="00040001" w:csb1="00000000"/>
    <w:embedRegular r:id="rId18" w:fontKey="{F43F082D-DA45-495E-8FC1-BA109EC25441}"/>
  </w:font>
  <w:font w:name="仿宋">
    <w:panose1 w:val="02010609060101010101"/>
    <w:charset w:val="86"/>
    <w:family w:val="auto"/>
    <w:pitch w:val="default"/>
    <w:sig w:usb0="800002BF" w:usb1="38CF7CFA" w:usb2="00000016" w:usb3="00000000" w:csb0="00040001" w:csb1="00000000"/>
    <w:embedRegular r:id="rId19" w:fontKey="{F380D054-6002-45D0-A446-8C7EA900738E}"/>
  </w:font>
  <w:font w:name="方正黑体_GBK">
    <w:panose1 w:val="03000509000000000000"/>
    <w:charset w:val="86"/>
    <w:family w:val="auto"/>
    <w:pitch w:val="default"/>
    <w:sig w:usb0="00000001" w:usb1="080E0000" w:usb2="00000000" w:usb3="00000000" w:csb0="00040000" w:csb1="00000000"/>
    <w:embedRegular r:id="rId20" w:fontKey="{CB6FB4F0-150A-4656-B3CF-31B4B4DDD28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21" w:fontKey="{B2019232-E73B-49C3-B2B1-9909D41386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FB53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ADEB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19CC8">
                          <w:pPr>
                            <w:pStyle w:val="5"/>
                            <w:keepNext w:val="0"/>
                            <w:keepLines w:val="0"/>
                            <w:pageBreakBefore w:val="0"/>
                            <w:widowControl w:val="0"/>
                            <w:kinsoku/>
                            <w:wordWrap/>
                            <w:overflowPunct/>
                            <w:topLinePunct w:val="0"/>
                            <w:autoSpaceDE/>
                            <w:autoSpaceDN/>
                            <w:bidi w:val="0"/>
                            <w:adjustRightInd/>
                            <w:snapToGrid w:val="0"/>
                            <w:ind w:right="210" w:rightChars="100" w:firstLine="280" w:firstLineChars="100"/>
                            <w:textAlignment w:val="auto"/>
                            <w:rPr>
                              <w:rFonts w:hint="default" w:ascii="Times New Roman" w:hAnsi="Times New Roman" w:cs="Times New Roman" w:eastAsiaTheme="minorEastAsia"/>
                              <w:sz w:val="28"/>
                              <w:szCs w:val="24"/>
                              <w:lang w:val="en-US" w:eastAsia="zh-CN"/>
                            </w:rPr>
                          </w:pPr>
                          <w:r>
                            <w:rPr>
                              <w:rFonts w:hint="default" w:ascii="Times New Roman" w:hAnsi="Times New Roman" w:cs="Times New Roman"/>
                              <w:sz w:val="28"/>
                              <w:szCs w:val="24"/>
                              <w:lang w:eastAsia="zh-CN"/>
                            </w:rPr>
                            <w:fldChar w:fldCharType="begin"/>
                          </w:r>
                          <w:r>
                            <w:rPr>
                              <w:rFonts w:hint="default" w:ascii="Times New Roman" w:hAnsi="Times New Roman" w:cs="Times New Roman"/>
                              <w:sz w:val="28"/>
                              <w:szCs w:val="24"/>
                              <w:lang w:eastAsia="zh-CN"/>
                            </w:rPr>
                            <w:instrText xml:space="preserve"> PAGE  \* MERGEFORMAT </w:instrText>
                          </w:r>
                          <w:r>
                            <w:rPr>
                              <w:rFonts w:hint="default" w:ascii="Times New Roman" w:hAnsi="Times New Roman" w:cs="Times New Roman"/>
                              <w:sz w:val="28"/>
                              <w:szCs w:val="24"/>
                              <w:lang w:eastAsia="zh-CN"/>
                            </w:rPr>
                            <w:fldChar w:fldCharType="separate"/>
                          </w:r>
                          <w:r>
                            <w:rPr>
                              <w:rFonts w:hint="default" w:ascii="Times New Roman" w:hAnsi="Times New Roman" w:cs="Times New Roman"/>
                              <w:sz w:val="28"/>
                              <w:szCs w:val="24"/>
                              <w:lang w:eastAsia="zh-CN"/>
                            </w:rPr>
                            <w:t>- 1 -</w:t>
                          </w:r>
                          <w:r>
                            <w:rPr>
                              <w:rFonts w:hint="default" w:ascii="Times New Roman" w:hAnsi="Times New Roman" w:cs="Times New Roman"/>
                              <w:sz w:val="28"/>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7B19CC8">
                    <w:pPr>
                      <w:pStyle w:val="5"/>
                      <w:keepNext w:val="0"/>
                      <w:keepLines w:val="0"/>
                      <w:pageBreakBefore w:val="0"/>
                      <w:widowControl w:val="0"/>
                      <w:kinsoku/>
                      <w:wordWrap/>
                      <w:overflowPunct/>
                      <w:topLinePunct w:val="0"/>
                      <w:autoSpaceDE/>
                      <w:autoSpaceDN/>
                      <w:bidi w:val="0"/>
                      <w:adjustRightInd/>
                      <w:snapToGrid w:val="0"/>
                      <w:ind w:right="210" w:rightChars="100" w:firstLine="280" w:firstLineChars="100"/>
                      <w:textAlignment w:val="auto"/>
                      <w:rPr>
                        <w:rFonts w:hint="default" w:ascii="Times New Roman" w:hAnsi="Times New Roman" w:cs="Times New Roman" w:eastAsiaTheme="minorEastAsia"/>
                        <w:sz w:val="28"/>
                        <w:szCs w:val="24"/>
                        <w:lang w:val="en-US" w:eastAsia="zh-CN"/>
                      </w:rPr>
                    </w:pPr>
                    <w:r>
                      <w:rPr>
                        <w:rFonts w:hint="default" w:ascii="Times New Roman" w:hAnsi="Times New Roman" w:cs="Times New Roman"/>
                        <w:sz w:val="28"/>
                        <w:szCs w:val="24"/>
                        <w:lang w:eastAsia="zh-CN"/>
                      </w:rPr>
                      <w:fldChar w:fldCharType="begin"/>
                    </w:r>
                    <w:r>
                      <w:rPr>
                        <w:rFonts w:hint="default" w:ascii="Times New Roman" w:hAnsi="Times New Roman" w:cs="Times New Roman"/>
                        <w:sz w:val="28"/>
                        <w:szCs w:val="24"/>
                        <w:lang w:eastAsia="zh-CN"/>
                      </w:rPr>
                      <w:instrText xml:space="preserve"> PAGE  \* MERGEFORMAT </w:instrText>
                    </w:r>
                    <w:r>
                      <w:rPr>
                        <w:rFonts w:hint="default" w:ascii="Times New Roman" w:hAnsi="Times New Roman" w:cs="Times New Roman"/>
                        <w:sz w:val="28"/>
                        <w:szCs w:val="24"/>
                        <w:lang w:eastAsia="zh-CN"/>
                      </w:rPr>
                      <w:fldChar w:fldCharType="separate"/>
                    </w:r>
                    <w:r>
                      <w:rPr>
                        <w:rFonts w:hint="default" w:ascii="Times New Roman" w:hAnsi="Times New Roman" w:cs="Times New Roman"/>
                        <w:sz w:val="28"/>
                        <w:szCs w:val="24"/>
                        <w:lang w:eastAsia="zh-CN"/>
                      </w:rPr>
                      <w:t>- 1 -</w:t>
                    </w:r>
                    <w:r>
                      <w:rPr>
                        <w:rFonts w:hint="default" w:ascii="Times New Roman" w:hAnsi="Times New Roman" w:cs="Times New Roman"/>
                        <w:sz w:val="28"/>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MTYxMDM5NDMwZmFlNWFkNmMyYzBjZGZjN2ZmNjkifQ=="/>
  </w:docVars>
  <w:rsids>
    <w:rsidRoot w:val="128F64E7"/>
    <w:rsid w:val="002B0EAB"/>
    <w:rsid w:val="00740D7D"/>
    <w:rsid w:val="00A41A95"/>
    <w:rsid w:val="00CD07A1"/>
    <w:rsid w:val="01017FFA"/>
    <w:rsid w:val="01D3002C"/>
    <w:rsid w:val="025772DD"/>
    <w:rsid w:val="02963207"/>
    <w:rsid w:val="030D343C"/>
    <w:rsid w:val="0332665A"/>
    <w:rsid w:val="03731EDB"/>
    <w:rsid w:val="03A96E76"/>
    <w:rsid w:val="03E37F31"/>
    <w:rsid w:val="0517604A"/>
    <w:rsid w:val="05F52967"/>
    <w:rsid w:val="066E0F7F"/>
    <w:rsid w:val="06C32E72"/>
    <w:rsid w:val="07B66732"/>
    <w:rsid w:val="08310E02"/>
    <w:rsid w:val="08510E34"/>
    <w:rsid w:val="086377A2"/>
    <w:rsid w:val="08C47DB4"/>
    <w:rsid w:val="095E3DC5"/>
    <w:rsid w:val="097D248C"/>
    <w:rsid w:val="09AF481F"/>
    <w:rsid w:val="09F15A65"/>
    <w:rsid w:val="0AA423FD"/>
    <w:rsid w:val="0AAD4223"/>
    <w:rsid w:val="0AD51CAA"/>
    <w:rsid w:val="0B6B4B4E"/>
    <w:rsid w:val="0B8F6860"/>
    <w:rsid w:val="0B9937D1"/>
    <w:rsid w:val="0BF76853"/>
    <w:rsid w:val="0C1C0542"/>
    <w:rsid w:val="0C371D4C"/>
    <w:rsid w:val="0C593122"/>
    <w:rsid w:val="0C6F532A"/>
    <w:rsid w:val="0CAF6BEC"/>
    <w:rsid w:val="0CD74397"/>
    <w:rsid w:val="0D1B3CFC"/>
    <w:rsid w:val="0D7B2EA8"/>
    <w:rsid w:val="0DBE38B4"/>
    <w:rsid w:val="0DE311C4"/>
    <w:rsid w:val="0F13789A"/>
    <w:rsid w:val="0F2376B1"/>
    <w:rsid w:val="0F455E44"/>
    <w:rsid w:val="0F615103"/>
    <w:rsid w:val="10031D39"/>
    <w:rsid w:val="10236E60"/>
    <w:rsid w:val="10785998"/>
    <w:rsid w:val="10956D04"/>
    <w:rsid w:val="116F149C"/>
    <w:rsid w:val="11A05580"/>
    <w:rsid w:val="12015CA3"/>
    <w:rsid w:val="122F1739"/>
    <w:rsid w:val="125B771F"/>
    <w:rsid w:val="127506E8"/>
    <w:rsid w:val="12815CE6"/>
    <w:rsid w:val="128F64E7"/>
    <w:rsid w:val="131C5F87"/>
    <w:rsid w:val="1324643B"/>
    <w:rsid w:val="13DB0A4D"/>
    <w:rsid w:val="14791859"/>
    <w:rsid w:val="1491176F"/>
    <w:rsid w:val="14937EFC"/>
    <w:rsid w:val="1498060B"/>
    <w:rsid w:val="14BF5D3E"/>
    <w:rsid w:val="155272D0"/>
    <w:rsid w:val="1558316D"/>
    <w:rsid w:val="15A6017B"/>
    <w:rsid w:val="15CD7C63"/>
    <w:rsid w:val="15D566F3"/>
    <w:rsid w:val="161547DB"/>
    <w:rsid w:val="169E4CA8"/>
    <w:rsid w:val="16C242B8"/>
    <w:rsid w:val="170B604A"/>
    <w:rsid w:val="17CB141F"/>
    <w:rsid w:val="18897BC3"/>
    <w:rsid w:val="19034607"/>
    <w:rsid w:val="19623337"/>
    <w:rsid w:val="19CD2AA0"/>
    <w:rsid w:val="1A0F29BA"/>
    <w:rsid w:val="1A1438C9"/>
    <w:rsid w:val="1B405BDD"/>
    <w:rsid w:val="1C4D7F3E"/>
    <w:rsid w:val="1C6B2063"/>
    <w:rsid w:val="1CB90E29"/>
    <w:rsid w:val="1DEB631E"/>
    <w:rsid w:val="1E4C4BFB"/>
    <w:rsid w:val="1E6950E0"/>
    <w:rsid w:val="1E764684"/>
    <w:rsid w:val="1E7F6AC2"/>
    <w:rsid w:val="1EEC00F4"/>
    <w:rsid w:val="1F1032F4"/>
    <w:rsid w:val="1F5615C1"/>
    <w:rsid w:val="20553704"/>
    <w:rsid w:val="20767B7C"/>
    <w:rsid w:val="208A1CE4"/>
    <w:rsid w:val="20E25D06"/>
    <w:rsid w:val="215F1085"/>
    <w:rsid w:val="21621FA4"/>
    <w:rsid w:val="21674BE8"/>
    <w:rsid w:val="217D5D2B"/>
    <w:rsid w:val="21A4627C"/>
    <w:rsid w:val="21CD54A9"/>
    <w:rsid w:val="21D90F6A"/>
    <w:rsid w:val="221E7C0A"/>
    <w:rsid w:val="222C6970"/>
    <w:rsid w:val="22623FCE"/>
    <w:rsid w:val="227D43F6"/>
    <w:rsid w:val="22815BDF"/>
    <w:rsid w:val="22AD50A7"/>
    <w:rsid w:val="22E36792"/>
    <w:rsid w:val="237C46CF"/>
    <w:rsid w:val="23B97A07"/>
    <w:rsid w:val="23BB662F"/>
    <w:rsid w:val="248C3EBA"/>
    <w:rsid w:val="249C183C"/>
    <w:rsid w:val="24B03264"/>
    <w:rsid w:val="24B07E2D"/>
    <w:rsid w:val="251B3732"/>
    <w:rsid w:val="257617D5"/>
    <w:rsid w:val="26842156"/>
    <w:rsid w:val="26971975"/>
    <w:rsid w:val="26B447DF"/>
    <w:rsid w:val="26E213FB"/>
    <w:rsid w:val="270541E9"/>
    <w:rsid w:val="271E739F"/>
    <w:rsid w:val="27320EE5"/>
    <w:rsid w:val="273F5913"/>
    <w:rsid w:val="276D6A22"/>
    <w:rsid w:val="27706DC3"/>
    <w:rsid w:val="28125A4E"/>
    <w:rsid w:val="28CE08A0"/>
    <w:rsid w:val="2A5D7381"/>
    <w:rsid w:val="2B5F4429"/>
    <w:rsid w:val="2BAA61F9"/>
    <w:rsid w:val="2BFC3A78"/>
    <w:rsid w:val="2C1E0223"/>
    <w:rsid w:val="2C4E6F12"/>
    <w:rsid w:val="2D92574C"/>
    <w:rsid w:val="2DCB43EA"/>
    <w:rsid w:val="2E4F6CC3"/>
    <w:rsid w:val="2EA2507D"/>
    <w:rsid w:val="2F9010B2"/>
    <w:rsid w:val="2FC4440A"/>
    <w:rsid w:val="30196061"/>
    <w:rsid w:val="30210D9D"/>
    <w:rsid w:val="30301E9F"/>
    <w:rsid w:val="31614156"/>
    <w:rsid w:val="318D7314"/>
    <w:rsid w:val="32587271"/>
    <w:rsid w:val="32933ECB"/>
    <w:rsid w:val="32A64D63"/>
    <w:rsid w:val="334B51F9"/>
    <w:rsid w:val="336D72A0"/>
    <w:rsid w:val="34D949FE"/>
    <w:rsid w:val="356954DF"/>
    <w:rsid w:val="35BE5B5E"/>
    <w:rsid w:val="36342606"/>
    <w:rsid w:val="36514B5A"/>
    <w:rsid w:val="374923C6"/>
    <w:rsid w:val="375C564C"/>
    <w:rsid w:val="376C4132"/>
    <w:rsid w:val="394144E6"/>
    <w:rsid w:val="397A3554"/>
    <w:rsid w:val="39930EAA"/>
    <w:rsid w:val="39D6412A"/>
    <w:rsid w:val="3A037E89"/>
    <w:rsid w:val="3A1A713D"/>
    <w:rsid w:val="3A55623D"/>
    <w:rsid w:val="3A9B1C46"/>
    <w:rsid w:val="3B0C1751"/>
    <w:rsid w:val="3C512AD0"/>
    <w:rsid w:val="3CF6736A"/>
    <w:rsid w:val="3D6123FB"/>
    <w:rsid w:val="3F9D6F75"/>
    <w:rsid w:val="3FEF0C93"/>
    <w:rsid w:val="40011819"/>
    <w:rsid w:val="40245E4A"/>
    <w:rsid w:val="406D3E12"/>
    <w:rsid w:val="40AF7BCD"/>
    <w:rsid w:val="40C4147F"/>
    <w:rsid w:val="40D37796"/>
    <w:rsid w:val="40FD3B70"/>
    <w:rsid w:val="41D82B53"/>
    <w:rsid w:val="42A91E9C"/>
    <w:rsid w:val="42C10446"/>
    <w:rsid w:val="43113D16"/>
    <w:rsid w:val="43D7687F"/>
    <w:rsid w:val="43DE7BEE"/>
    <w:rsid w:val="43DF61E6"/>
    <w:rsid w:val="446F56E4"/>
    <w:rsid w:val="447721CF"/>
    <w:rsid w:val="449B2704"/>
    <w:rsid w:val="450B1B1D"/>
    <w:rsid w:val="452D3B70"/>
    <w:rsid w:val="45462E84"/>
    <w:rsid w:val="45C056C5"/>
    <w:rsid w:val="45EC0C5D"/>
    <w:rsid w:val="46277894"/>
    <w:rsid w:val="46984DF8"/>
    <w:rsid w:val="479271AB"/>
    <w:rsid w:val="47F9145B"/>
    <w:rsid w:val="485C7B8F"/>
    <w:rsid w:val="497F1E9D"/>
    <w:rsid w:val="49A735B5"/>
    <w:rsid w:val="4AC5317E"/>
    <w:rsid w:val="4AD827D0"/>
    <w:rsid w:val="4B074DBD"/>
    <w:rsid w:val="4B135475"/>
    <w:rsid w:val="4B176FE2"/>
    <w:rsid w:val="4B3D30ED"/>
    <w:rsid w:val="4BC75993"/>
    <w:rsid w:val="4C1F0BE7"/>
    <w:rsid w:val="4C451C5E"/>
    <w:rsid w:val="4CA855FB"/>
    <w:rsid w:val="4CC5438F"/>
    <w:rsid w:val="4CEA5DF5"/>
    <w:rsid w:val="4D010544"/>
    <w:rsid w:val="4D141F54"/>
    <w:rsid w:val="4D7075C9"/>
    <w:rsid w:val="4DA97356"/>
    <w:rsid w:val="4E037FFE"/>
    <w:rsid w:val="4E7109A1"/>
    <w:rsid w:val="4E8D41DB"/>
    <w:rsid w:val="4EBA169B"/>
    <w:rsid w:val="4EDA6EDB"/>
    <w:rsid w:val="4F7B7894"/>
    <w:rsid w:val="4FE45950"/>
    <w:rsid w:val="500F62FC"/>
    <w:rsid w:val="50417EF1"/>
    <w:rsid w:val="504E277A"/>
    <w:rsid w:val="507B4AC8"/>
    <w:rsid w:val="51473721"/>
    <w:rsid w:val="51776B62"/>
    <w:rsid w:val="5220415E"/>
    <w:rsid w:val="5250665D"/>
    <w:rsid w:val="527B091F"/>
    <w:rsid w:val="52863561"/>
    <w:rsid w:val="52D83391"/>
    <w:rsid w:val="53054A0A"/>
    <w:rsid w:val="53280A7B"/>
    <w:rsid w:val="53413F4D"/>
    <w:rsid w:val="538D377E"/>
    <w:rsid w:val="54C52FD9"/>
    <w:rsid w:val="54EB0CB0"/>
    <w:rsid w:val="54F44F89"/>
    <w:rsid w:val="55C2431C"/>
    <w:rsid w:val="55CE071D"/>
    <w:rsid w:val="567F4CFB"/>
    <w:rsid w:val="56D55286"/>
    <w:rsid w:val="575B63FA"/>
    <w:rsid w:val="580716CD"/>
    <w:rsid w:val="5874118D"/>
    <w:rsid w:val="58BB6DCF"/>
    <w:rsid w:val="59021541"/>
    <w:rsid w:val="59307A81"/>
    <w:rsid w:val="59650078"/>
    <w:rsid w:val="59743D83"/>
    <w:rsid w:val="59843637"/>
    <w:rsid w:val="59886B03"/>
    <w:rsid w:val="59AB1A19"/>
    <w:rsid w:val="59B1589C"/>
    <w:rsid w:val="59EF4709"/>
    <w:rsid w:val="59F17996"/>
    <w:rsid w:val="5A504131"/>
    <w:rsid w:val="5A7127CF"/>
    <w:rsid w:val="5A927F87"/>
    <w:rsid w:val="5A9C366B"/>
    <w:rsid w:val="5AF47C55"/>
    <w:rsid w:val="5B0573DF"/>
    <w:rsid w:val="5B5237B9"/>
    <w:rsid w:val="5BA8042A"/>
    <w:rsid w:val="5C4E2E70"/>
    <w:rsid w:val="5D2F28AB"/>
    <w:rsid w:val="5D451D0E"/>
    <w:rsid w:val="5DA66FD0"/>
    <w:rsid w:val="5E1C1F55"/>
    <w:rsid w:val="5F217D99"/>
    <w:rsid w:val="5F546102"/>
    <w:rsid w:val="5FA6012B"/>
    <w:rsid w:val="61CB15D9"/>
    <w:rsid w:val="62496815"/>
    <w:rsid w:val="62590452"/>
    <w:rsid w:val="62B3113D"/>
    <w:rsid w:val="62F678DE"/>
    <w:rsid w:val="63122045"/>
    <w:rsid w:val="63BC2837"/>
    <w:rsid w:val="646B0704"/>
    <w:rsid w:val="647A6E09"/>
    <w:rsid w:val="649B41FB"/>
    <w:rsid w:val="64A967A6"/>
    <w:rsid w:val="65373BF8"/>
    <w:rsid w:val="65732A74"/>
    <w:rsid w:val="657861F1"/>
    <w:rsid w:val="66756968"/>
    <w:rsid w:val="66F93354"/>
    <w:rsid w:val="67BA626B"/>
    <w:rsid w:val="67ED70BE"/>
    <w:rsid w:val="67F06356"/>
    <w:rsid w:val="68671DF1"/>
    <w:rsid w:val="6873417A"/>
    <w:rsid w:val="688E5AB4"/>
    <w:rsid w:val="69AE598C"/>
    <w:rsid w:val="69CF16A2"/>
    <w:rsid w:val="6A607B50"/>
    <w:rsid w:val="6AC1415C"/>
    <w:rsid w:val="6B0E37A9"/>
    <w:rsid w:val="6BE95355"/>
    <w:rsid w:val="6CB149F3"/>
    <w:rsid w:val="6DCB5523"/>
    <w:rsid w:val="6E4476B1"/>
    <w:rsid w:val="6EB1474E"/>
    <w:rsid w:val="6EB760C9"/>
    <w:rsid w:val="6EE116B7"/>
    <w:rsid w:val="6F0256B0"/>
    <w:rsid w:val="6F095EDB"/>
    <w:rsid w:val="6F1234BC"/>
    <w:rsid w:val="6F3D5B32"/>
    <w:rsid w:val="6F3E041D"/>
    <w:rsid w:val="6F5304E9"/>
    <w:rsid w:val="6F7A57D5"/>
    <w:rsid w:val="6FE82B4B"/>
    <w:rsid w:val="6FF721D8"/>
    <w:rsid w:val="700A66D9"/>
    <w:rsid w:val="70373AD6"/>
    <w:rsid w:val="70476749"/>
    <w:rsid w:val="704B11CB"/>
    <w:rsid w:val="70EB02B8"/>
    <w:rsid w:val="713E3D5F"/>
    <w:rsid w:val="71AD4B7A"/>
    <w:rsid w:val="71BC0C1B"/>
    <w:rsid w:val="72DC1640"/>
    <w:rsid w:val="72E228E5"/>
    <w:rsid w:val="730A0B8D"/>
    <w:rsid w:val="73AE5B72"/>
    <w:rsid w:val="73C9202A"/>
    <w:rsid w:val="73CC4D4A"/>
    <w:rsid w:val="7405254E"/>
    <w:rsid w:val="74455872"/>
    <w:rsid w:val="74B7544E"/>
    <w:rsid w:val="753E1A4C"/>
    <w:rsid w:val="754716D7"/>
    <w:rsid w:val="756A7FB5"/>
    <w:rsid w:val="7573737C"/>
    <w:rsid w:val="760953E4"/>
    <w:rsid w:val="7617744C"/>
    <w:rsid w:val="769F401E"/>
    <w:rsid w:val="76E50D35"/>
    <w:rsid w:val="771D7B6B"/>
    <w:rsid w:val="772E2BB9"/>
    <w:rsid w:val="779A2750"/>
    <w:rsid w:val="785655EB"/>
    <w:rsid w:val="7860158C"/>
    <w:rsid w:val="78C56A22"/>
    <w:rsid w:val="78F2622F"/>
    <w:rsid w:val="79195B13"/>
    <w:rsid w:val="79327D9F"/>
    <w:rsid w:val="798959FA"/>
    <w:rsid w:val="7A82657A"/>
    <w:rsid w:val="7B6059BA"/>
    <w:rsid w:val="7B864A26"/>
    <w:rsid w:val="7BFC6804"/>
    <w:rsid w:val="7C123DB7"/>
    <w:rsid w:val="7C1F4A5F"/>
    <w:rsid w:val="7C4A72C7"/>
    <w:rsid w:val="7C686978"/>
    <w:rsid w:val="7C9B79E0"/>
    <w:rsid w:val="7CCB612F"/>
    <w:rsid w:val="7CCE31ED"/>
    <w:rsid w:val="7D72068D"/>
    <w:rsid w:val="7D7B6E68"/>
    <w:rsid w:val="7E680A03"/>
    <w:rsid w:val="7ED71873"/>
    <w:rsid w:val="7F041A53"/>
    <w:rsid w:val="7F0F52B6"/>
    <w:rsid w:val="7F477D69"/>
    <w:rsid w:val="7FFB4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eastAsia="仿宋_GB2312"/>
      <w:sz w:val="32"/>
    </w:rPr>
  </w:style>
  <w:style w:type="paragraph" w:styleId="3">
    <w:name w:val="index 5"/>
    <w:basedOn w:val="1"/>
    <w:next w:val="1"/>
    <w:qFormat/>
    <w:uiPriority w:val="0"/>
    <w:pPr>
      <w:ind w:left="800" w:leftChars="800"/>
    </w:pPr>
    <w:rPr>
      <w:rFonts w:ascii="Calibri" w:hAnsi="Calibri" w:eastAsia="宋体"/>
      <w:sz w:val="21"/>
      <w:szCs w:val="24"/>
    </w:rPr>
  </w:style>
  <w:style w:type="paragraph" w:styleId="4">
    <w:name w:val="annotation text"/>
    <w:basedOn w:val="1"/>
    <w:unhideWhenUsed/>
    <w:qFormat/>
    <w:uiPriority w:val="99"/>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footnote text"/>
    <w:basedOn w:val="1"/>
    <w:next w:val="3"/>
    <w:qFormat/>
    <w:uiPriority w:val="0"/>
    <w:pPr>
      <w:snapToGrid w:val="0"/>
      <w:jc w:val="left"/>
    </w:pPr>
    <w:rPr>
      <w:rFonts w:cs="Calibri"/>
      <w:sz w:val="18"/>
    </w:rPr>
  </w:style>
  <w:style w:type="paragraph" w:styleId="9">
    <w:name w:val="toc 2"/>
    <w:basedOn w:val="1"/>
    <w:next w:val="1"/>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fontstyle01"/>
    <w:basedOn w:val="12"/>
    <w:qFormat/>
    <w:uiPriority w:val="0"/>
    <w:rPr>
      <w:rFonts w:ascii="FZFSK--GBK1-0" w:hAnsi="FZFSK--GBK1-0" w:eastAsia="FZFSK--GBK1-0" w:cs="FZFSK--GBK1-0"/>
      <w:color w:val="000000"/>
      <w:sz w:val="32"/>
      <w:szCs w:val="32"/>
    </w:rPr>
  </w:style>
  <w:style w:type="character" w:customStyle="1" w:styleId="14">
    <w:name w:val="fontstyle21"/>
    <w:basedOn w:val="12"/>
    <w:qFormat/>
    <w:uiPriority w:val="0"/>
    <w:rPr>
      <w:rFonts w:ascii="Helvetica" w:hAnsi="Helvetica" w:eastAsia="Helvetica" w:cs="Helvetica"/>
      <w:color w:val="808080"/>
      <w:sz w:val="28"/>
      <w:szCs w:val="28"/>
    </w:rPr>
  </w:style>
  <w:style w:type="character" w:customStyle="1" w:styleId="15">
    <w:name w:val="fontstyle31"/>
    <w:basedOn w:val="12"/>
    <w:qFormat/>
    <w:uiPriority w:val="0"/>
    <w:rPr>
      <w:rFonts w:ascii="TimesNewRomanPSMT" w:hAnsi="TimesNewRomanPSMT" w:eastAsia="TimesNewRomanPSMT" w:cs="TimesNewRomanPSMT"/>
      <w:color w:val="000000"/>
      <w:sz w:val="28"/>
      <w:szCs w:val="28"/>
    </w:rPr>
  </w:style>
  <w:style w:type="character" w:customStyle="1" w:styleId="16">
    <w:name w:val="fontstyle41"/>
    <w:basedOn w:val="12"/>
    <w:qFormat/>
    <w:uiPriority w:val="0"/>
    <w:rPr>
      <w:rFonts w:ascii="FZHTK--GBK1-0" w:hAnsi="FZHTK--GBK1-0" w:eastAsia="FZHTK--GBK1-0" w:cs="FZHTK--GBK1-0"/>
      <w:color w:val="000000"/>
      <w:sz w:val="24"/>
      <w:szCs w:val="24"/>
    </w:rPr>
  </w:style>
  <w:style w:type="character" w:customStyle="1" w:styleId="17">
    <w:name w:val="fontstyle51"/>
    <w:basedOn w:val="12"/>
    <w:qFormat/>
    <w:uiPriority w:val="0"/>
    <w:rPr>
      <w:rFonts w:ascii="宋体" w:hAnsi="宋体" w:eastAsia="宋体" w:cs="宋体"/>
      <w:color w:val="000000"/>
      <w:sz w:val="22"/>
      <w:szCs w:val="22"/>
    </w:rPr>
  </w:style>
  <w:style w:type="paragraph" w:customStyle="1" w:styleId="18">
    <w:name w:val="Body text|1"/>
    <w:basedOn w:val="1"/>
    <w:qFormat/>
    <w:uiPriority w:val="99"/>
    <w:pPr>
      <w:spacing w:line="420" w:lineRule="auto"/>
      <w:jc w:val="left"/>
    </w:pPr>
    <w:rPr>
      <w:rFonts w:ascii="宋体" w:hAnsi="宋体" w:eastAsia="宋体" w:cs="宋体"/>
      <w:kern w:val="0"/>
      <w:sz w:val="28"/>
      <w:szCs w:val="28"/>
      <w:lang w:val="zh-TW" w:eastAsia="zh-TW" w:bidi="zh-TW"/>
    </w:rPr>
  </w:style>
  <w:style w:type="paragraph" w:customStyle="1" w:styleId="19">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1" Type="http://schemas.openxmlformats.org/officeDocument/2006/relationships/font" Target="fonts/font21.odttf"/><Relationship Id="rId20" Type="http://schemas.openxmlformats.org/officeDocument/2006/relationships/font" Target="fonts/font20.odttf"/><Relationship Id="rId2" Type="http://schemas.openxmlformats.org/officeDocument/2006/relationships/font" Target="fonts/font2.odttf"/><Relationship Id="rId19" Type="http://schemas.openxmlformats.org/officeDocument/2006/relationships/font" Target="fonts/font19.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13970</Words>
  <Characters>14638</Characters>
  <Lines>0</Lines>
  <Paragraphs>0</Paragraphs>
  <TotalTime>0</TotalTime>
  <ScaleCrop>false</ScaleCrop>
  <LinksUpToDate>false</LinksUpToDate>
  <CharactersWithSpaces>14823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2021-03-08T00:54:00Z</dcterms:created>
  <dc:creator>酷</dc:creator>
  <cp:lastModifiedBy>寻找幸福的丫头</cp:lastModifiedBy>
  <dcterms:modified xsi:type="dcterms:W3CDTF">2026-01-27T03:26:22Z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746431097_embed</vt:lpwstr>
  </property>
  <property fmtid="{D5CDD505-2E9C-101B-9397-08002B2CF9AE}" pid="4" name="ICV">
    <vt:lpwstr>2E6F0A5BD2754AAAB0E61F16B1C8CFEC</vt:lpwstr>
  </property>
  <property fmtid="{D5CDD505-2E9C-101B-9397-08002B2CF9AE}" pid="5" name="commondata">
    <vt:lpwstr>eyJoZGlkIjoiZmNjOTI1ODY1ZTYzMWRlZjQ2OGJmNTZhY2M0YWJmMjAifQ==</vt:lpwstr>
  </property>
  <property fmtid="{D5CDD505-2E9C-101B-9397-08002B2CF9AE}" pid="6" name="KSOTemplateDocerSaveRecord">
    <vt:lpwstr>eyJoZGlkIjoiYmI1M2NmOGI2YWRiNTU5NGQxMjk1Njc1YTZmZjhjOWMiLCJ1c2VySWQiOiIyMTc4ODk1MzkifQ==</vt:lpwstr>
  </property>
</Properties>
</file>