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BC8C2">
      <w:pPr>
        <w:pageBreakBefore w:val="0"/>
        <w:kinsoku/>
        <w:wordWrap/>
        <w:overflowPunct/>
        <w:topLinePunct w:val="0"/>
        <w:autoSpaceDE/>
        <w:autoSpaceDN/>
        <w:bidi w:val="0"/>
        <w:adjustRightInd/>
        <w:snapToGrid/>
        <w:spacing w:before="312" w:beforeLines="100" w:after="312" w:afterLines="100" w:line="360" w:lineRule="auto"/>
        <w:ind w:left="0" w:leftChars="0"/>
        <w:jc w:val="center"/>
        <w:rPr>
          <w:rFonts w:ascii="Times New Roman" w:hAnsi="Times New Roman" w:eastAsia="方正小标宋简体" w:cs="Times New Roman"/>
          <w:b/>
          <w:sz w:val="36"/>
          <w:szCs w:val="36"/>
        </w:rPr>
      </w:pPr>
    </w:p>
    <w:p w14:paraId="7F04A37E">
      <w:pPr>
        <w:pageBreakBefore w:val="0"/>
        <w:kinsoku/>
        <w:wordWrap/>
        <w:overflowPunct/>
        <w:topLinePunct w:val="0"/>
        <w:autoSpaceDE/>
        <w:autoSpaceDN/>
        <w:bidi w:val="0"/>
        <w:adjustRightInd/>
        <w:snapToGrid/>
        <w:spacing w:before="312" w:beforeLines="100" w:after="312" w:afterLines="100" w:line="360" w:lineRule="auto"/>
        <w:ind w:left="0" w:leftChars="0"/>
        <w:jc w:val="center"/>
        <w:rPr>
          <w:rFonts w:ascii="Times New Roman" w:hAnsi="Times New Roman" w:eastAsia="方正小标宋简体" w:cs="Times New Roman"/>
          <w:b/>
          <w:sz w:val="36"/>
          <w:szCs w:val="36"/>
        </w:rPr>
      </w:pPr>
    </w:p>
    <w:p w14:paraId="160418D7">
      <w:pPr>
        <w:pStyle w:val="15"/>
        <w:pageBreakBefore w:val="0"/>
        <w:widowControl w:val="0"/>
        <w:kinsoku/>
        <w:wordWrap/>
        <w:overflowPunct/>
        <w:topLinePunct w:val="0"/>
        <w:autoSpaceDE/>
        <w:autoSpaceDN/>
        <w:bidi w:val="0"/>
        <w:adjustRightInd/>
        <w:snapToGrid/>
        <w:ind w:left="0" w:leftChars="0"/>
        <w:jc w:val="center"/>
        <w:rPr>
          <w:rFonts w:hint="eastAsia" w:ascii="Times New Roman" w:hAnsi="Times New Roman" w:eastAsia="方正小标宋简体" w:cs="Times New Roman"/>
          <w:bCs w:val="0"/>
          <w:color w:val="auto"/>
          <w:kern w:val="2"/>
          <w:sz w:val="52"/>
          <w:szCs w:val="52"/>
          <w:highlight w:val="none"/>
          <w:lang w:val="en-US" w:eastAsia="zh-CN" w:bidi="ar-SA"/>
        </w:rPr>
      </w:pPr>
    </w:p>
    <w:p w14:paraId="23CCDACB">
      <w:pPr>
        <w:pStyle w:val="15"/>
        <w:pageBreakBefore w:val="0"/>
        <w:widowControl w:val="0"/>
        <w:kinsoku/>
        <w:wordWrap/>
        <w:overflowPunct/>
        <w:topLinePunct w:val="0"/>
        <w:autoSpaceDE/>
        <w:autoSpaceDN/>
        <w:bidi w:val="0"/>
        <w:adjustRightInd/>
        <w:snapToGrid/>
        <w:ind w:left="0" w:leftChars="0"/>
        <w:jc w:val="center"/>
        <w:rPr>
          <w:rFonts w:hint="eastAsia" w:ascii="Times New Roman" w:hAnsi="Times New Roman" w:eastAsia="方正小标宋简体" w:cs="Times New Roman"/>
          <w:bCs w:val="0"/>
          <w:color w:val="auto"/>
          <w:kern w:val="2"/>
          <w:sz w:val="52"/>
          <w:szCs w:val="52"/>
          <w:highlight w:val="none"/>
          <w:lang w:val="en-US" w:eastAsia="zh-CN" w:bidi="ar-SA"/>
        </w:rPr>
      </w:pPr>
      <w:bookmarkStart w:id="0" w:name="_Toc426812799"/>
      <w:r>
        <w:rPr>
          <w:rFonts w:hint="eastAsia" w:ascii="Times New Roman" w:hAnsi="Times New Roman" w:eastAsia="方正小标宋简体" w:cs="Times New Roman"/>
          <w:bCs w:val="0"/>
          <w:color w:val="auto"/>
          <w:kern w:val="2"/>
          <w:sz w:val="52"/>
          <w:szCs w:val="52"/>
          <w:highlight w:val="none"/>
          <w:lang w:val="en-US" w:eastAsia="zh-CN" w:bidi="ar-SA"/>
        </w:rPr>
        <w:t>连云区“十四五”</w:t>
      </w:r>
      <w:bookmarkEnd w:id="0"/>
      <w:r>
        <w:rPr>
          <w:rFonts w:hint="eastAsia" w:ascii="Times New Roman" w:hAnsi="Times New Roman" w:eastAsia="方正小标宋简体" w:cs="Times New Roman"/>
          <w:bCs w:val="0"/>
          <w:color w:val="auto"/>
          <w:kern w:val="2"/>
          <w:sz w:val="52"/>
          <w:szCs w:val="52"/>
          <w:highlight w:val="none"/>
          <w:lang w:val="en-US" w:eastAsia="zh-CN" w:bidi="ar-SA"/>
        </w:rPr>
        <w:t>交通专项规划</w:t>
      </w:r>
    </w:p>
    <w:p w14:paraId="0D215CD8">
      <w:pPr>
        <w:ind w:left="0" w:leftChars="0" w:firstLine="0" w:firstLineChars="0"/>
        <w:jc w:val="center"/>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Cs w:val="0"/>
          <w:color w:val="auto"/>
          <w:kern w:val="2"/>
          <w:sz w:val="32"/>
          <w:szCs w:val="32"/>
          <w:highlight w:val="none"/>
          <w:lang w:val="en-US" w:eastAsia="zh-CN" w:bidi="ar-SA"/>
        </w:rPr>
        <w:t>（202</w:t>
      </w:r>
      <w:r>
        <w:rPr>
          <w:rFonts w:hint="eastAsia" w:ascii="Times New Roman" w:hAnsi="Times New Roman" w:eastAsia="楷体_GB2312" w:cs="Times New Roman"/>
          <w:bCs w:val="0"/>
          <w:color w:val="auto"/>
          <w:kern w:val="2"/>
          <w:sz w:val="32"/>
          <w:szCs w:val="32"/>
          <w:highlight w:val="none"/>
          <w:lang w:val="en-US" w:eastAsia="zh-CN" w:bidi="ar-SA"/>
        </w:rPr>
        <w:t>1</w:t>
      </w:r>
      <w:r>
        <w:rPr>
          <w:rFonts w:hint="default" w:ascii="Times New Roman" w:hAnsi="Times New Roman" w:eastAsia="楷体_GB2312" w:cs="Times New Roman"/>
          <w:bCs w:val="0"/>
          <w:color w:val="auto"/>
          <w:kern w:val="2"/>
          <w:sz w:val="32"/>
          <w:szCs w:val="32"/>
          <w:highlight w:val="none"/>
          <w:lang w:val="en-US" w:eastAsia="zh-CN" w:bidi="ar-SA"/>
        </w:rPr>
        <w:t>-2025）</w:t>
      </w:r>
    </w:p>
    <w:p w14:paraId="5E09B633">
      <w:pPr>
        <w:rPr>
          <w:rFonts w:hint="eastAsia"/>
          <w:lang w:val="en-US" w:eastAsia="zh-CN"/>
        </w:rPr>
      </w:pPr>
    </w:p>
    <w:p w14:paraId="2AFD7C48">
      <w:pPr>
        <w:pageBreakBefore w:val="0"/>
        <w:kinsoku/>
        <w:wordWrap/>
        <w:overflowPunct/>
        <w:topLinePunct w:val="0"/>
        <w:autoSpaceDE/>
        <w:autoSpaceDN/>
        <w:bidi w:val="0"/>
        <w:adjustRightInd/>
        <w:snapToGrid/>
        <w:spacing w:before="312" w:beforeLines="100" w:after="312" w:afterLines="100" w:line="360" w:lineRule="auto"/>
        <w:ind w:left="0" w:leftChars="0"/>
        <w:jc w:val="center"/>
        <w:rPr>
          <w:rFonts w:ascii="Times New Roman" w:hAnsi="Times New Roman" w:eastAsia="方正小标宋简体" w:cs="Times New Roman"/>
          <w:b/>
          <w:sz w:val="36"/>
          <w:szCs w:val="36"/>
        </w:rPr>
      </w:pPr>
    </w:p>
    <w:p w14:paraId="7E7431DF">
      <w:pPr>
        <w:pageBreakBefore w:val="0"/>
        <w:kinsoku/>
        <w:wordWrap/>
        <w:overflowPunct/>
        <w:topLinePunct w:val="0"/>
        <w:autoSpaceDE/>
        <w:autoSpaceDN/>
        <w:bidi w:val="0"/>
        <w:adjustRightInd/>
        <w:snapToGrid/>
        <w:spacing w:before="312" w:beforeLines="100" w:after="312" w:afterLines="100" w:line="360" w:lineRule="auto"/>
        <w:ind w:left="0" w:leftChars="0"/>
        <w:jc w:val="center"/>
        <w:rPr>
          <w:rFonts w:ascii="Times New Roman" w:hAnsi="Times New Roman" w:eastAsia="方正小标宋简体" w:cs="Times New Roman"/>
          <w:b/>
          <w:sz w:val="36"/>
          <w:szCs w:val="36"/>
        </w:rPr>
      </w:pPr>
    </w:p>
    <w:p w14:paraId="03FF5636">
      <w:pPr>
        <w:pageBreakBefore w:val="0"/>
        <w:kinsoku/>
        <w:wordWrap/>
        <w:overflowPunct/>
        <w:topLinePunct w:val="0"/>
        <w:autoSpaceDE/>
        <w:autoSpaceDN/>
        <w:bidi w:val="0"/>
        <w:adjustRightInd/>
        <w:snapToGrid/>
        <w:spacing w:before="312" w:beforeLines="100" w:after="312" w:afterLines="100" w:line="360" w:lineRule="auto"/>
        <w:ind w:left="0" w:leftChars="0"/>
        <w:jc w:val="center"/>
        <w:rPr>
          <w:rFonts w:ascii="Times New Roman" w:hAnsi="Times New Roman" w:eastAsia="方正小标宋简体" w:cs="Times New Roman"/>
          <w:b/>
          <w:sz w:val="36"/>
          <w:szCs w:val="36"/>
        </w:rPr>
      </w:pPr>
    </w:p>
    <w:p w14:paraId="33110445">
      <w:pPr>
        <w:pageBreakBefore w:val="0"/>
        <w:kinsoku/>
        <w:wordWrap/>
        <w:overflowPunct/>
        <w:topLinePunct w:val="0"/>
        <w:autoSpaceDE/>
        <w:autoSpaceDN/>
        <w:bidi w:val="0"/>
        <w:adjustRightInd/>
        <w:snapToGrid/>
        <w:spacing w:before="312" w:beforeLines="100" w:after="312" w:afterLines="100" w:line="360" w:lineRule="auto"/>
        <w:ind w:left="0" w:leftChars="0"/>
        <w:jc w:val="center"/>
        <w:rPr>
          <w:rFonts w:ascii="Times New Roman" w:hAnsi="Times New Roman" w:eastAsia="方正小标宋简体" w:cs="Times New Roman"/>
          <w:b/>
          <w:sz w:val="36"/>
          <w:szCs w:val="36"/>
        </w:rPr>
      </w:pPr>
    </w:p>
    <w:p w14:paraId="4186B221">
      <w:pPr>
        <w:pageBreakBefore w:val="0"/>
        <w:kinsoku/>
        <w:wordWrap/>
        <w:overflowPunct/>
        <w:topLinePunct w:val="0"/>
        <w:autoSpaceDE/>
        <w:autoSpaceDN/>
        <w:bidi w:val="0"/>
        <w:adjustRightInd/>
        <w:snapToGrid/>
        <w:spacing w:before="312" w:beforeLines="100" w:after="312" w:afterLines="100" w:line="360" w:lineRule="auto"/>
        <w:ind w:left="0" w:leftChars="0"/>
        <w:jc w:val="center"/>
        <w:rPr>
          <w:rFonts w:ascii="Times New Roman" w:hAnsi="Times New Roman" w:eastAsia="方正小标宋简体" w:cs="Times New Roman"/>
          <w:b/>
          <w:sz w:val="36"/>
          <w:szCs w:val="36"/>
        </w:rPr>
      </w:pPr>
    </w:p>
    <w:p w14:paraId="7F8D6D2D">
      <w:pPr>
        <w:pageBreakBefore w:val="0"/>
        <w:kinsoku/>
        <w:wordWrap/>
        <w:overflowPunct/>
        <w:topLinePunct w:val="0"/>
        <w:autoSpaceDE/>
        <w:autoSpaceDN/>
        <w:bidi w:val="0"/>
        <w:adjustRightInd/>
        <w:snapToGrid/>
        <w:spacing w:before="312" w:beforeLines="100" w:after="312" w:afterLines="100" w:line="360" w:lineRule="auto"/>
        <w:ind w:left="0" w:leftChars="0"/>
        <w:jc w:val="center"/>
        <w:rPr>
          <w:rFonts w:ascii="Times New Roman" w:hAnsi="Times New Roman" w:eastAsia="方正小标宋简体" w:cs="Times New Roman"/>
          <w:b/>
          <w:sz w:val="36"/>
          <w:szCs w:val="36"/>
        </w:rPr>
      </w:pPr>
    </w:p>
    <w:p w14:paraId="3C8E4668">
      <w:pPr>
        <w:pageBreakBefore w:val="0"/>
        <w:kinsoku/>
        <w:wordWrap/>
        <w:overflowPunct/>
        <w:topLinePunct w:val="0"/>
        <w:autoSpaceDE/>
        <w:autoSpaceDN/>
        <w:bidi w:val="0"/>
        <w:adjustRightInd/>
        <w:snapToGrid/>
        <w:spacing w:before="312" w:beforeLines="100" w:after="312" w:afterLines="100" w:line="360" w:lineRule="auto"/>
        <w:ind w:left="0" w:leftChars="0"/>
        <w:jc w:val="center"/>
        <w:rPr>
          <w:rFonts w:ascii="Times New Roman" w:hAnsi="Times New Roman" w:eastAsia="方正小标宋简体" w:cs="Times New Roman"/>
          <w:b/>
          <w:sz w:val="36"/>
          <w:szCs w:val="36"/>
        </w:rPr>
      </w:pPr>
    </w:p>
    <w:p w14:paraId="0DE29D3D">
      <w:pPr>
        <w:pageBreakBefore w:val="0"/>
        <w:kinsoku/>
        <w:wordWrap/>
        <w:overflowPunct/>
        <w:topLinePunct w:val="0"/>
        <w:autoSpaceDE/>
        <w:autoSpaceDN/>
        <w:bidi w:val="0"/>
        <w:adjustRightInd/>
        <w:snapToGrid/>
        <w:spacing w:before="312" w:beforeLines="100" w:after="312" w:afterLines="100" w:line="360" w:lineRule="auto"/>
        <w:ind w:left="0" w:leftChars="0"/>
        <w:jc w:val="center"/>
        <w:rPr>
          <w:rFonts w:ascii="Times New Roman" w:hAnsi="Times New Roman" w:eastAsia="方正小标宋简体" w:cs="Times New Roman"/>
          <w:b/>
          <w:sz w:val="36"/>
          <w:szCs w:val="36"/>
        </w:rPr>
      </w:pPr>
    </w:p>
    <w:p w14:paraId="3D259E5F">
      <w:pPr>
        <w:pageBreakBefore w:val="0"/>
        <w:widowControl w:val="0"/>
        <w:kinsoku/>
        <w:wordWrap/>
        <w:overflowPunct/>
        <w:topLinePunct w:val="0"/>
        <w:autoSpaceDE/>
        <w:autoSpaceDN/>
        <w:bidi w:val="0"/>
        <w:adjustRightInd/>
        <w:snapToGrid/>
        <w:spacing w:line="560" w:lineRule="exact"/>
        <w:ind w:left="0" w:leftChars="0" w:firstLine="0" w:firstLineChars="0"/>
        <w:jc w:val="center"/>
        <w:rPr>
          <w:rFonts w:hint="eastAsia" w:ascii="方正楷体_GBK" w:hAnsi="楷体_GB2312" w:eastAsia="方正楷体_GBK" w:cs="Times New Roman"/>
          <w:w w:val="90"/>
          <w:kern w:val="2"/>
          <w:sz w:val="36"/>
          <w:szCs w:val="36"/>
        </w:rPr>
      </w:pPr>
      <w:r>
        <w:rPr>
          <w:rFonts w:hint="eastAsia" w:ascii="方正楷体_GBK" w:hAnsi="楷体_GB2312" w:eastAsia="方正楷体_GBK" w:cs="Times New Roman"/>
          <w:w w:val="90"/>
          <w:kern w:val="2"/>
          <w:sz w:val="36"/>
          <w:szCs w:val="36"/>
        </w:rPr>
        <w:t>连云区住房和城乡建设局</w:t>
      </w:r>
    </w:p>
    <w:p w14:paraId="5CF47757">
      <w:pPr>
        <w:pageBreakBefore w:val="0"/>
        <w:widowControl w:val="0"/>
        <w:kinsoku/>
        <w:wordWrap/>
        <w:overflowPunct/>
        <w:topLinePunct w:val="0"/>
        <w:autoSpaceDE/>
        <w:autoSpaceDN/>
        <w:bidi w:val="0"/>
        <w:adjustRightInd/>
        <w:snapToGrid/>
        <w:spacing w:line="560" w:lineRule="exact"/>
        <w:ind w:left="0" w:leftChars="0" w:firstLine="0" w:firstLineChars="0"/>
        <w:jc w:val="center"/>
        <w:rPr>
          <w:rFonts w:hint="eastAsia" w:ascii="方正楷体_GBK" w:hAnsi="楷体_GB2312" w:eastAsia="方正楷体_GBK" w:cs="Times New Roman"/>
          <w:w w:val="90"/>
          <w:kern w:val="2"/>
          <w:sz w:val="36"/>
          <w:szCs w:val="36"/>
        </w:rPr>
        <w:sectPr>
          <w:footerReference r:id="rId3" w:type="default"/>
          <w:pgSz w:w="11906" w:h="16838"/>
          <w:pgMar w:top="2098" w:right="1474" w:bottom="1984" w:left="1587" w:header="851" w:footer="992" w:gutter="0"/>
          <w:pgNumType w:fmt="decimal"/>
          <w:cols w:space="425" w:num="1"/>
          <w:docGrid w:type="lines" w:linePitch="312" w:charSpace="0"/>
        </w:sectPr>
      </w:pPr>
    </w:p>
    <w:sdt>
      <w:sdtPr>
        <w:rPr>
          <w:rFonts w:ascii="Times New Roman" w:hAnsi="Times New Roman" w:cs="Times New Roman" w:eastAsiaTheme="minorEastAsia"/>
          <w:b w:val="0"/>
          <w:bCs w:val="0"/>
          <w:color w:val="auto"/>
          <w:kern w:val="2"/>
          <w:sz w:val="21"/>
          <w:szCs w:val="22"/>
          <w:lang w:val="zh-CN"/>
        </w:rPr>
        <w:id w:val="995697857"/>
        <w:docPartObj>
          <w:docPartGallery w:val="Table of Contents"/>
          <w:docPartUnique/>
        </w:docPartObj>
      </w:sdtPr>
      <w:sdtEndPr>
        <w:rPr>
          <w:rFonts w:ascii="Times New Roman" w:hAnsi="Times New Roman" w:eastAsia="仿宋_GB2312" w:cs="Times New Roman"/>
          <w:b w:val="0"/>
          <w:bCs w:val="0"/>
          <w:color w:val="auto"/>
          <w:kern w:val="0"/>
          <w:sz w:val="28"/>
          <w:szCs w:val="28"/>
          <w:lang w:val="zh-CN"/>
        </w:rPr>
      </w:sdtEndPr>
      <w:sdtContent>
        <w:p w14:paraId="61AA1274">
          <w:pPr>
            <w:pStyle w:val="36"/>
            <w:keepNext/>
            <w:keepLines/>
            <w:pageBreakBefore w:val="0"/>
            <w:widowControl/>
            <w:kinsoku/>
            <w:wordWrap/>
            <w:overflowPunct/>
            <w:topLinePunct w:val="0"/>
            <w:autoSpaceDE/>
            <w:autoSpaceDN/>
            <w:bidi w:val="0"/>
            <w:adjustRightInd/>
            <w:snapToGrid/>
            <w:spacing w:after="120" w:line="240" w:lineRule="auto"/>
            <w:ind w:left="0" w:leftChars="0"/>
            <w:jc w:val="center"/>
            <w:textAlignment w:val="auto"/>
            <w:rPr>
              <w:rFonts w:ascii="Times New Roman" w:hAnsi="Times New Roman" w:eastAsia="黑体" w:cs="Times New Roman"/>
              <w:color w:val="auto"/>
              <w:sz w:val="36"/>
            </w:rPr>
          </w:pPr>
          <w:r>
            <w:rPr>
              <w:rFonts w:hint="eastAsia" w:ascii="方正小标宋简体" w:hAnsi="方正小标宋简体" w:eastAsia="方正小标宋简体" w:cs="方正小标宋简体"/>
              <w:b w:val="0"/>
              <w:bCs w:val="0"/>
              <w:color w:val="auto"/>
              <w:sz w:val="36"/>
              <w:lang w:val="zh-CN"/>
            </w:rPr>
            <w:t>目</w:t>
          </w:r>
          <w:r>
            <w:rPr>
              <w:rFonts w:hint="eastAsia" w:ascii="方正小标宋简体" w:hAnsi="方正小标宋简体" w:eastAsia="方正小标宋简体" w:cs="方正小标宋简体"/>
              <w:b w:val="0"/>
              <w:bCs w:val="0"/>
              <w:color w:val="auto"/>
              <w:sz w:val="36"/>
              <w:lang w:val="en-US" w:eastAsia="zh-CN"/>
            </w:rPr>
            <w:t xml:space="preserve">  </w:t>
          </w:r>
          <w:r>
            <w:rPr>
              <w:rFonts w:hint="eastAsia" w:ascii="方正小标宋简体" w:hAnsi="方正小标宋简体" w:eastAsia="方正小标宋简体" w:cs="方正小标宋简体"/>
              <w:b w:val="0"/>
              <w:bCs w:val="0"/>
              <w:color w:val="auto"/>
              <w:sz w:val="36"/>
              <w:lang w:val="zh-CN"/>
            </w:rPr>
            <w:t>录</w:t>
          </w:r>
        </w:p>
        <w:p w14:paraId="17B00422">
          <w:pPr>
            <w:pStyle w:val="13"/>
            <w:pageBreakBefore w:val="0"/>
            <w:tabs>
              <w:tab w:val="right" w:leader="dot" w:pos="8296"/>
            </w:tabs>
            <w:kinsoku/>
            <w:wordWrap/>
            <w:overflowPunct/>
            <w:topLinePunct w:val="0"/>
            <w:autoSpaceDE/>
            <w:autoSpaceDN/>
            <w:bidi w:val="0"/>
            <w:adjustRightInd/>
            <w:snapToGrid/>
            <w:ind w:left="0" w:leftChars="0" w:firstLine="0" w:firstLineChars="0"/>
            <w:rPr>
              <w:rFonts w:asciiTheme="minorEastAsia" w:hAnsiTheme="minorEastAsia"/>
              <w:b/>
              <w:bCs/>
              <w:kern w:val="2"/>
              <w:sz w:val="28"/>
              <w:szCs w:val="28"/>
            </w:rPr>
          </w:pP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 TOC \o "1-4" \h \z \u </w:instrText>
          </w:r>
          <w:r>
            <w:rPr>
              <w:rFonts w:cs="Times New Roman" w:asciiTheme="minorEastAsia" w:hAnsiTheme="minorEastAsia"/>
              <w:sz w:val="28"/>
              <w:szCs w:val="28"/>
            </w:rPr>
            <w:fldChar w:fldCharType="separate"/>
          </w:r>
          <w:r>
            <w:rPr>
              <w:rFonts w:hint="eastAsia" w:ascii="宋体" w:hAnsi="宋体" w:eastAsia="宋体" w:cs="宋体"/>
              <w:b/>
              <w:bCs w:val="0"/>
              <w:color w:val="auto"/>
              <w:kern w:val="44"/>
              <w:sz w:val="24"/>
              <w:szCs w:val="24"/>
              <w:highlight w:val="none"/>
              <w:lang w:val="en-US" w:eastAsia="zh-CN" w:bidi="ar-SA"/>
            </w:rPr>
            <w:fldChar w:fldCharType="begin"/>
          </w:r>
          <w:r>
            <w:rPr>
              <w:rFonts w:hint="eastAsia" w:ascii="宋体" w:hAnsi="宋体" w:eastAsia="宋体" w:cs="宋体"/>
              <w:b/>
              <w:bCs w:val="0"/>
              <w:color w:val="auto"/>
              <w:kern w:val="44"/>
              <w:sz w:val="24"/>
              <w:szCs w:val="24"/>
              <w:highlight w:val="none"/>
              <w:lang w:val="en-US" w:eastAsia="zh-CN" w:bidi="ar-SA"/>
            </w:rPr>
            <w:instrText xml:space="preserve"> HYPERLINK \l "_Toc81203393" </w:instrText>
          </w:r>
          <w:r>
            <w:rPr>
              <w:rFonts w:hint="eastAsia" w:ascii="宋体" w:hAnsi="宋体" w:eastAsia="宋体" w:cs="宋体"/>
              <w:b/>
              <w:bCs w:val="0"/>
              <w:color w:val="auto"/>
              <w:kern w:val="44"/>
              <w:sz w:val="24"/>
              <w:szCs w:val="24"/>
              <w:highlight w:val="none"/>
              <w:lang w:val="en-US" w:eastAsia="zh-CN" w:bidi="ar-SA"/>
            </w:rPr>
            <w:fldChar w:fldCharType="separate"/>
          </w:r>
          <w:r>
            <w:rPr>
              <w:rFonts w:hint="eastAsia" w:ascii="宋体" w:hAnsi="宋体" w:eastAsia="宋体" w:cs="宋体"/>
              <w:b/>
              <w:bCs w:val="0"/>
              <w:color w:val="auto"/>
              <w:kern w:val="44"/>
              <w:sz w:val="24"/>
              <w:szCs w:val="24"/>
              <w:highlight w:val="none"/>
              <w:lang w:val="en-US" w:eastAsia="zh-CN" w:bidi="ar-SA"/>
            </w:rPr>
            <w:t>第一章</w:t>
          </w:r>
          <w:r>
            <w:rPr>
              <w:rFonts w:hint="eastAsia" w:ascii="宋体" w:hAnsi="宋体" w:eastAsia="宋体" w:cs="宋体"/>
              <w:b/>
              <w:bCs w:val="0"/>
              <w:color w:val="auto"/>
              <w:kern w:val="44"/>
              <w:sz w:val="24"/>
              <w:szCs w:val="24"/>
              <w:highlight w:val="none"/>
              <w:lang w:val="en-US" w:eastAsia="zh-CN"/>
            </w:rPr>
            <w:t xml:space="preserve">    </w:t>
          </w:r>
          <w:r>
            <w:rPr>
              <w:rFonts w:hint="eastAsia" w:ascii="宋体" w:hAnsi="宋体" w:eastAsia="宋体" w:cs="宋体"/>
              <w:b/>
              <w:bCs w:val="0"/>
              <w:color w:val="auto"/>
              <w:kern w:val="44"/>
              <w:sz w:val="24"/>
              <w:szCs w:val="24"/>
              <w:highlight w:val="none"/>
              <w:lang w:val="en-US" w:eastAsia="zh-CN" w:bidi="ar-SA"/>
            </w:rPr>
            <w:t>序言</w:t>
          </w:r>
          <w:r>
            <w:rPr>
              <w:rFonts w:hint="eastAsia" w:ascii="宋体" w:hAnsi="宋体" w:eastAsia="宋体" w:cs="宋体"/>
              <w:b w:val="0"/>
              <w:bCs/>
              <w:color w:val="auto"/>
              <w:kern w:val="44"/>
              <w:sz w:val="24"/>
              <w:szCs w:val="24"/>
              <w:highlight w:val="none"/>
              <w:lang w:val="en-US" w:eastAsia="zh-CN" w:bidi="ar-SA"/>
            </w:rPr>
            <w:tab/>
          </w:r>
          <w:r>
            <w:rPr>
              <w:rFonts w:hint="eastAsia" w:ascii="宋体" w:hAnsi="宋体" w:eastAsia="宋体" w:cs="宋体"/>
              <w:b w:val="0"/>
              <w:bCs/>
              <w:color w:val="auto"/>
              <w:kern w:val="44"/>
              <w:sz w:val="24"/>
              <w:szCs w:val="24"/>
              <w:highlight w:val="none"/>
              <w:lang w:val="en-US" w:eastAsia="zh-CN" w:bidi="ar-SA"/>
            </w:rPr>
            <w:t>2</w:t>
          </w:r>
          <w:r>
            <w:rPr>
              <w:rFonts w:hint="eastAsia" w:ascii="宋体" w:hAnsi="宋体" w:eastAsia="宋体" w:cs="宋体"/>
              <w:b/>
              <w:bCs w:val="0"/>
              <w:color w:val="auto"/>
              <w:kern w:val="44"/>
              <w:sz w:val="24"/>
              <w:szCs w:val="24"/>
              <w:highlight w:val="none"/>
              <w:lang w:val="en-US" w:eastAsia="zh-CN" w:bidi="ar-SA"/>
            </w:rPr>
            <w:fldChar w:fldCharType="end"/>
          </w:r>
        </w:p>
        <w:p w14:paraId="4E19CF8B">
          <w:pPr>
            <w:pStyle w:val="7"/>
            <w:keepNext w:val="0"/>
            <w:keepLines w:val="0"/>
            <w:pageBreakBefore w:val="0"/>
            <w:widowControl/>
            <w:tabs>
              <w:tab w:val="right" w:leader="dot" w:pos="8296"/>
            </w:tabs>
            <w:kinsoku/>
            <w:wordWrap/>
            <w:overflowPunct/>
            <w:topLinePunct w:val="0"/>
            <w:autoSpaceDE/>
            <w:autoSpaceDN/>
            <w:bidi w:val="0"/>
            <w:adjustRightInd/>
            <w:snapToGrid/>
            <w:spacing w:line="480" w:lineRule="exact"/>
            <w:ind w:left="0" w:leftChars="0" w:firstLine="1200" w:firstLineChars="500"/>
            <w:textAlignment w:val="auto"/>
            <w:rPr>
              <w:rFonts w:asciiTheme="minorEastAsia" w:hAnsiTheme="minorEastAsia"/>
              <w:kern w:val="2"/>
              <w:sz w:val="28"/>
              <w:szCs w:val="28"/>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"_Toc81203394" </w:instrText>
          </w:r>
          <w:r>
            <w:rPr>
              <w:rFonts w:hint="eastAsia" w:ascii="宋体" w:hAnsi="宋体" w:eastAsia="宋体" w:cs="宋体"/>
              <w:sz w:val="24"/>
              <w:szCs w:val="24"/>
            </w:rPr>
            <w:fldChar w:fldCharType="separate"/>
          </w:r>
          <w:r>
            <w:rPr>
              <w:rStyle w:val="23"/>
              <w:rFonts w:hint="eastAsia" w:ascii="宋体" w:hAnsi="宋体" w:eastAsia="宋体" w:cs="宋体"/>
              <w:sz w:val="24"/>
              <w:szCs w:val="24"/>
              <w:lang w:val="en-US" w:eastAsia="zh-CN"/>
            </w:rPr>
            <w:t>一、</w:t>
          </w:r>
          <w:r>
            <w:rPr>
              <w:rStyle w:val="23"/>
              <w:rFonts w:hint="eastAsia" w:ascii="宋体" w:hAnsi="宋体" w:eastAsia="宋体" w:cs="宋体"/>
              <w:sz w:val="24"/>
              <w:szCs w:val="24"/>
            </w:rPr>
            <w:t>规划背景</w:t>
          </w:r>
          <w:r>
            <w:rPr>
              <w:rFonts w:hint="eastAsia" w:ascii="宋体" w:hAnsi="宋体" w:eastAsia="宋体" w:cs="宋体"/>
              <w:sz w:val="24"/>
              <w:szCs w:val="24"/>
            </w:rPr>
            <w:tab/>
          </w:r>
          <w:r>
            <w:rPr>
              <w:rFonts w:hint="eastAsia" w:ascii="宋体" w:hAnsi="宋体" w:eastAsia="宋体" w:cs="宋体"/>
              <w:sz w:val="24"/>
              <w:szCs w:val="24"/>
              <w:lang w:val="en-US" w:eastAsia="zh-CN"/>
            </w:rPr>
            <w:t>2</w:t>
          </w:r>
          <w:r>
            <w:rPr>
              <w:rFonts w:hint="eastAsia" w:ascii="宋体" w:hAnsi="宋体" w:eastAsia="宋体" w:cs="宋体"/>
              <w:sz w:val="24"/>
              <w:szCs w:val="24"/>
            </w:rPr>
            <w:fldChar w:fldCharType="end"/>
          </w:r>
        </w:p>
        <w:p w14:paraId="64961981">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"_Toc81203395"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二、</w:t>
          </w:r>
          <w:r>
            <w:rPr>
              <w:rFonts w:hint="eastAsia" w:ascii="宋体" w:hAnsi="宋体" w:eastAsia="宋体" w:cs="宋体"/>
              <w:sz w:val="24"/>
              <w:szCs w:val="24"/>
            </w:rPr>
            <w:t>规划依据</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p>
        <w:p w14:paraId="03DC621C">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"_Toc81203396"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三、</w:t>
          </w:r>
          <w:r>
            <w:rPr>
              <w:rFonts w:hint="eastAsia" w:ascii="宋体" w:hAnsi="宋体" w:eastAsia="宋体" w:cs="宋体"/>
              <w:sz w:val="24"/>
              <w:szCs w:val="24"/>
            </w:rPr>
            <w:t>规划范围</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p>
        <w:p w14:paraId="6D5BB974">
          <w:pPr>
            <w:pStyle w:val="13"/>
            <w:pageBreakBefore w:val="0"/>
            <w:tabs>
              <w:tab w:val="right" w:leader="dot" w:pos="8296"/>
            </w:tabs>
            <w:kinsoku/>
            <w:wordWrap/>
            <w:overflowPunct/>
            <w:topLinePunct w:val="0"/>
            <w:autoSpaceDE/>
            <w:autoSpaceDN/>
            <w:bidi w:val="0"/>
            <w:adjustRightInd/>
            <w:snapToGrid/>
            <w:ind w:left="0" w:leftChars="0" w:firstLine="0" w:firstLineChars="0"/>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"_Toc81203397"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 xml:space="preserve">第二章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发展基础和面临形势</w:t>
          </w:r>
          <w:r>
            <w:rPr>
              <w:rFonts w:hint="eastAsia" w:ascii="宋体" w:hAnsi="宋体" w:eastAsia="宋体" w:cs="宋体"/>
              <w:b w:val="0"/>
              <w:bCs w:val="0"/>
              <w:sz w:val="24"/>
              <w:szCs w:val="24"/>
            </w:rPr>
            <w:tab/>
          </w:r>
          <w:r>
            <w:rPr>
              <w:rFonts w:hint="eastAsia" w:ascii="宋体" w:hAnsi="宋体" w:eastAsia="宋体" w:cs="宋体"/>
              <w:b w:val="0"/>
              <w:bCs w:val="0"/>
              <w:sz w:val="24"/>
              <w:szCs w:val="24"/>
              <w:lang w:val="en-US" w:eastAsia="zh-CN"/>
            </w:rPr>
            <w:t>4</w:t>
          </w:r>
          <w:r>
            <w:rPr>
              <w:rFonts w:hint="eastAsia" w:ascii="宋体" w:hAnsi="宋体" w:eastAsia="宋体" w:cs="宋体"/>
              <w:b/>
              <w:bCs/>
              <w:sz w:val="24"/>
              <w:szCs w:val="24"/>
            </w:rPr>
            <w:fldChar w:fldCharType="end"/>
          </w:r>
        </w:p>
        <w:p w14:paraId="0E27B797">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"_Toc81203398"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一、</w:t>
          </w:r>
          <w:r>
            <w:rPr>
              <w:rFonts w:hint="eastAsia" w:ascii="宋体" w:hAnsi="宋体" w:eastAsia="宋体" w:cs="宋体"/>
              <w:sz w:val="24"/>
              <w:szCs w:val="24"/>
            </w:rPr>
            <w:t>发展成就</w:t>
          </w:r>
          <w:r>
            <w:rPr>
              <w:rFonts w:hint="eastAsia" w:ascii="宋体" w:hAnsi="宋体" w:eastAsia="宋体" w:cs="宋体"/>
              <w:sz w:val="24"/>
              <w:szCs w:val="24"/>
            </w:rPr>
            <w:tab/>
          </w:r>
          <w:r>
            <w:rPr>
              <w:rFonts w:hint="eastAsia" w:ascii="宋体" w:hAnsi="宋体" w:eastAsia="宋体" w:cs="宋体"/>
              <w:sz w:val="24"/>
              <w:szCs w:val="24"/>
              <w:lang w:val="en-US" w:eastAsia="zh-CN"/>
            </w:rPr>
            <w:t>4</w:t>
          </w:r>
          <w:r>
            <w:rPr>
              <w:rFonts w:hint="eastAsia" w:ascii="宋体" w:hAnsi="宋体" w:eastAsia="宋体" w:cs="宋体"/>
              <w:sz w:val="24"/>
              <w:szCs w:val="24"/>
            </w:rPr>
            <w:fldChar w:fldCharType="end"/>
          </w:r>
        </w:p>
        <w:p w14:paraId="427076CA">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"_Toc81203399"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二、</w:t>
          </w:r>
          <w:r>
            <w:rPr>
              <w:rFonts w:hint="eastAsia" w:ascii="宋体" w:hAnsi="宋体" w:eastAsia="宋体" w:cs="宋体"/>
              <w:sz w:val="24"/>
              <w:szCs w:val="24"/>
            </w:rPr>
            <w:t>存在主要问题</w:t>
          </w:r>
          <w:r>
            <w:rPr>
              <w:rFonts w:hint="eastAsia" w:ascii="宋体" w:hAnsi="宋体" w:eastAsia="宋体" w:cs="宋体"/>
              <w:sz w:val="24"/>
              <w:szCs w:val="24"/>
            </w:rPr>
            <w:tab/>
          </w:r>
          <w:r>
            <w:rPr>
              <w:rFonts w:hint="eastAsia" w:ascii="宋体" w:hAnsi="宋体" w:eastAsia="宋体" w:cs="宋体"/>
              <w:sz w:val="24"/>
              <w:szCs w:val="24"/>
              <w:lang w:val="en-US" w:eastAsia="zh-CN"/>
            </w:rPr>
            <w:t>8</w:t>
          </w:r>
          <w:r>
            <w:rPr>
              <w:rFonts w:hint="eastAsia" w:ascii="宋体" w:hAnsi="宋体" w:eastAsia="宋体" w:cs="宋体"/>
              <w:sz w:val="24"/>
              <w:szCs w:val="24"/>
            </w:rPr>
            <w:fldChar w:fldCharType="end"/>
          </w:r>
        </w:p>
        <w:p w14:paraId="016AFBF5">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eastAsia="宋体" w:asciiTheme="minorEastAsia" w:hAnsiTheme="minorEastAsia"/>
              <w:kern w:val="2"/>
              <w:sz w:val="28"/>
              <w:szCs w:val="28"/>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"_Toc81203400"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三、</w:t>
          </w:r>
          <w:r>
            <w:rPr>
              <w:rFonts w:hint="eastAsia" w:ascii="宋体" w:hAnsi="宋体" w:eastAsia="宋体" w:cs="宋体"/>
              <w:sz w:val="24"/>
              <w:szCs w:val="24"/>
            </w:rPr>
            <w:t>发展面临形势与要求</w:t>
          </w:r>
          <w:r>
            <w:rPr>
              <w:rFonts w:hint="eastAsia" w:ascii="宋体" w:hAnsi="宋体" w:eastAsia="宋体" w:cs="宋体"/>
              <w:sz w:val="24"/>
              <w:szCs w:val="24"/>
            </w:rPr>
            <w:tab/>
          </w:r>
          <w:r>
            <w:rPr>
              <w:rFonts w:hint="eastAsia" w:ascii="宋体" w:hAnsi="宋体" w:eastAsia="宋体" w:cs="宋体"/>
              <w:sz w:val="24"/>
              <w:szCs w:val="24"/>
              <w:lang w:val="en-US" w:eastAsia="zh-CN"/>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5</w:t>
          </w:r>
        </w:p>
        <w:p w14:paraId="1A844115">
          <w:pPr>
            <w:pStyle w:val="13"/>
            <w:pageBreakBefore w:val="0"/>
            <w:tabs>
              <w:tab w:val="right" w:leader="dot" w:pos="8296"/>
            </w:tabs>
            <w:kinsoku/>
            <w:wordWrap/>
            <w:overflowPunct/>
            <w:topLinePunct w:val="0"/>
            <w:autoSpaceDE/>
            <w:autoSpaceDN/>
            <w:bidi w:val="0"/>
            <w:adjustRightInd/>
            <w:snapToGrid/>
            <w:ind w:left="0" w:leftChars="0" w:firstLine="0" w:firstLineChars="0"/>
            <w:rPr>
              <w:rFonts w:hint="eastAsia" w:eastAsia="宋体" w:asciiTheme="minorEastAsia" w:hAnsiTheme="minorEastAsia"/>
              <w:b/>
              <w:bCs/>
              <w:kern w:val="2"/>
              <w:sz w:val="28"/>
              <w:szCs w:val="28"/>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"_Toc81203401"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 xml:space="preserve">第三章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指导思想、原则和目标</w:t>
          </w:r>
          <w:r>
            <w:rPr>
              <w:rFonts w:hint="eastAsia" w:ascii="宋体" w:hAnsi="宋体" w:eastAsia="宋体" w:cs="宋体"/>
              <w:b w:val="0"/>
              <w:bCs w:val="0"/>
              <w:sz w:val="24"/>
              <w:szCs w:val="24"/>
            </w:rPr>
            <w:tab/>
          </w:r>
          <w:r>
            <w:rPr>
              <w:rFonts w:hint="eastAsia" w:ascii="宋体" w:hAnsi="宋体" w:eastAsia="宋体" w:cs="宋体"/>
              <w:b w:val="0"/>
              <w:bCs w:val="0"/>
              <w:sz w:val="24"/>
              <w:szCs w:val="24"/>
              <w:lang w:val="en-US" w:eastAsia="zh-CN"/>
            </w:rPr>
            <w:t>2</w:t>
          </w:r>
          <w:r>
            <w:rPr>
              <w:rFonts w:hint="eastAsia" w:ascii="宋体" w:hAnsi="宋体" w:eastAsia="宋体" w:cs="宋体"/>
              <w:b/>
              <w:bCs/>
              <w:sz w:val="24"/>
              <w:szCs w:val="24"/>
            </w:rPr>
            <w:fldChar w:fldCharType="end"/>
          </w:r>
          <w:r>
            <w:rPr>
              <w:rFonts w:hint="eastAsia" w:ascii="宋体" w:hAnsi="宋体" w:eastAsia="宋体" w:cs="宋体"/>
              <w:b w:val="0"/>
              <w:bCs w:val="0"/>
              <w:sz w:val="24"/>
              <w:szCs w:val="24"/>
              <w:lang w:val="en-US" w:eastAsia="zh-CN"/>
            </w:rPr>
            <w:t>0</w:t>
          </w:r>
        </w:p>
        <w:p w14:paraId="49504BC3">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"_Toc81203402"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一、</w:t>
          </w:r>
          <w:r>
            <w:rPr>
              <w:rFonts w:hint="eastAsia" w:ascii="宋体" w:hAnsi="宋体" w:eastAsia="宋体" w:cs="宋体"/>
              <w:sz w:val="24"/>
              <w:szCs w:val="24"/>
            </w:rPr>
            <w:t>指导思想</w:t>
          </w:r>
          <w:r>
            <w:rPr>
              <w:rFonts w:hint="eastAsia" w:ascii="宋体" w:hAnsi="宋体" w:eastAsia="宋体" w:cs="宋体"/>
              <w:sz w:val="24"/>
              <w:szCs w:val="24"/>
            </w:rPr>
            <w:tab/>
          </w:r>
          <w:r>
            <w:rPr>
              <w:rFonts w:hint="eastAsia" w:ascii="宋体" w:hAnsi="宋体" w:eastAsia="宋体" w:cs="宋体"/>
              <w:sz w:val="24"/>
              <w:szCs w:val="24"/>
              <w:lang w:val="en-US" w:eastAsia="zh-CN"/>
            </w:rPr>
            <w:t>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0</w:t>
          </w:r>
        </w:p>
        <w:p w14:paraId="1BF1A575">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"_Toc81203403"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二、</w:t>
          </w:r>
          <w:r>
            <w:rPr>
              <w:rFonts w:hint="eastAsia" w:ascii="宋体" w:hAnsi="宋体" w:eastAsia="宋体" w:cs="宋体"/>
              <w:sz w:val="24"/>
              <w:szCs w:val="24"/>
            </w:rPr>
            <w:t>发展原则</w:t>
          </w:r>
          <w:r>
            <w:rPr>
              <w:rFonts w:hint="eastAsia" w:ascii="宋体" w:hAnsi="宋体" w:eastAsia="宋体" w:cs="宋体"/>
              <w:sz w:val="24"/>
              <w:szCs w:val="24"/>
            </w:rPr>
            <w:tab/>
          </w:r>
          <w:r>
            <w:rPr>
              <w:rFonts w:hint="eastAsia" w:ascii="宋体" w:hAnsi="宋体" w:eastAsia="宋体" w:cs="宋体"/>
              <w:sz w:val="24"/>
              <w:szCs w:val="24"/>
              <w:lang w:val="en-US" w:eastAsia="zh-CN"/>
            </w:rPr>
            <w:t>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0</w:t>
          </w:r>
        </w:p>
        <w:p w14:paraId="6D39CCFA">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"_Toc81203404"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三、</w:t>
          </w:r>
          <w:r>
            <w:rPr>
              <w:rFonts w:hint="eastAsia" w:ascii="宋体" w:hAnsi="宋体" w:eastAsia="宋体" w:cs="宋体"/>
              <w:sz w:val="24"/>
              <w:szCs w:val="24"/>
            </w:rPr>
            <w:t>发展目标</w:t>
          </w:r>
          <w:r>
            <w:rPr>
              <w:rFonts w:hint="eastAsia" w:ascii="宋体" w:hAnsi="宋体" w:eastAsia="宋体" w:cs="宋体"/>
              <w:sz w:val="24"/>
              <w:szCs w:val="24"/>
            </w:rPr>
            <w:tab/>
          </w:r>
          <w:r>
            <w:rPr>
              <w:rFonts w:hint="eastAsia" w:ascii="宋体" w:hAnsi="宋体" w:eastAsia="宋体" w:cs="宋体"/>
              <w:sz w:val="24"/>
              <w:szCs w:val="24"/>
              <w:lang w:val="en-US" w:eastAsia="zh-CN"/>
            </w:rPr>
            <w:t>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5459B0EB">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"_Toc81203405"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总体目标</w:t>
          </w:r>
          <w:r>
            <w:rPr>
              <w:rFonts w:hint="eastAsia" w:ascii="宋体" w:hAnsi="宋体" w:eastAsia="宋体" w:cs="宋体"/>
              <w:sz w:val="24"/>
              <w:szCs w:val="24"/>
            </w:rPr>
            <w:tab/>
          </w:r>
          <w:r>
            <w:rPr>
              <w:rFonts w:hint="eastAsia" w:ascii="宋体" w:hAnsi="宋体" w:eastAsia="宋体" w:cs="宋体"/>
              <w:sz w:val="24"/>
              <w:szCs w:val="24"/>
              <w:lang w:val="en-US" w:eastAsia="zh-CN"/>
            </w:rPr>
            <w:t>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2FBB7B2E">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eastAsia="宋体" w:asciiTheme="minorEastAsia" w:hAnsiTheme="minorEastAsia"/>
              <w:sz w:val="28"/>
              <w:szCs w:val="28"/>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"_Toc81203406"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w:t>
          </w:r>
          <w:r>
            <w:rPr>
              <w:rFonts w:hint="eastAsia" w:ascii="宋体" w:hAnsi="宋体" w:eastAsia="宋体" w:cs="宋体"/>
              <w:sz w:val="24"/>
              <w:szCs w:val="24"/>
            </w:rPr>
            <w:t>具体目标</w:t>
          </w:r>
          <w:r>
            <w:rPr>
              <w:rFonts w:hint="eastAsia" w:ascii="宋体" w:hAnsi="宋体" w:eastAsia="宋体" w:cs="宋体"/>
              <w:sz w:val="24"/>
              <w:szCs w:val="24"/>
            </w:rPr>
            <w:tab/>
          </w:r>
          <w:r>
            <w:rPr>
              <w:rFonts w:hint="eastAsia" w:ascii="宋体" w:hAnsi="宋体" w:eastAsia="宋体" w:cs="宋体"/>
              <w:sz w:val="24"/>
              <w:szCs w:val="24"/>
              <w:lang w:val="en-US" w:eastAsia="zh-CN"/>
            </w:rPr>
            <w:t>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6E047761">
          <w:pPr>
            <w:pStyle w:val="13"/>
            <w:pageBreakBefore w:val="0"/>
            <w:tabs>
              <w:tab w:val="right" w:leader="dot" w:pos="8296"/>
            </w:tabs>
            <w:kinsoku/>
            <w:wordWrap/>
            <w:overflowPunct/>
            <w:topLinePunct w:val="0"/>
            <w:autoSpaceDE/>
            <w:autoSpaceDN/>
            <w:bidi w:val="0"/>
            <w:adjustRightInd/>
            <w:snapToGrid/>
            <w:ind w:left="0" w:leftChars="0" w:firstLine="0" w:firstLineChars="0"/>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"_Toc81203407"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 xml:space="preserve">第四章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发展重点和主要任务</w:t>
          </w:r>
          <w:r>
            <w:rPr>
              <w:rFonts w:hint="eastAsia" w:ascii="宋体" w:hAnsi="宋体" w:eastAsia="宋体" w:cs="宋体"/>
              <w:b w:val="0"/>
              <w:bCs w:val="0"/>
              <w:sz w:val="24"/>
              <w:szCs w:val="24"/>
            </w:rPr>
            <w:tab/>
          </w:r>
          <w:r>
            <w:rPr>
              <w:rFonts w:hint="eastAsia" w:ascii="宋体" w:hAnsi="宋体" w:eastAsia="宋体" w:cs="宋体"/>
              <w:b w:val="0"/>
              <w:bCs w:val="0"/>
              <w:sz w:val="24"/>
              <w:szCs w:val="24"/>
              <w:lang w:val="en-US" w:eastAsia="zh-CN"/>
            </w:rPr>
            <w:t>2</w:t>
          </w:r>
          <w:r>
            <w:rPr>
              <w:rFonts w:hint="eastAsia" w:ascii="宋体" w:hAnsi="宋体" w:eastAsia="宋体" w:cs="宋体"/>
              <w:b/>
              <w:bCs/>
              <w:sz w:val="24"/>
              <w:szCs w:val="24"/>
            </w:rPr>
            <w:fldChar w:fldCharType="end"/>
          </w:r>
          <w:r>
            <w:rPr>
              <w:rFonts w:hint="eastAsia" w:ascii="宋体" w:hAnsi="宋体" w:eastAsia="宋体" w:cs="宋体"/>
              <w:b w:val="0"/>
              <w:bCs w:val="0"/>
              <w:sz w:val="24"/>
              <w:szCs w:val="24"/>
              <w:lang w:val="en-US" w:eastAsia="zh-CN"/>
            </w:rPr>
            <w:t>4</w:t>
          </w:r>
        </w:p>
        <w:p w14:paraId="2582E776">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"_Toc81203408"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一、</w:t>
          </w:r>
          <w:r>
            <w:rPr>
              <w:rFonts w:hint="eastAsia" w:ascii="宋体" w:hAnsi="宋体" w:eastAsia="宋体" w:cs="宋体"/>
              <w:sz w:val="24"/>
              <w:szCs w:val="24"/>
            </w:rPr>
            <w:t>工作重点</w:t>
          </w:r>
          <w:r>
            <w:rPr>
              <w:rFonts w:hint="eastAsia" w:ascii="宋体" w:hAnsi="宋体" w:eastAsia="宋体" w:cs="宋体"/>
              <w:sz w:val="24"/>
              <w:szCs w:val="24"/>
            </w:rPr>
            <w:tab/>
          </w:r>
          <w:r>
            <w:rPr>
              <w:rFonts w:hint="eastAsia" w:ascii="宋体" w:hAnsi="宋体" w:eastAsia="宋体" w:cs="宋体"/>
              <w:sz w:val="24"/>
              <w:szCs w:val="24"/>
              <w:lang w:val="en-US" w:eastAsia="zh-CN"/>
            </w:rPr>
            <w:t>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4</w:t>
          </w:r>
        </w:p>
        <w:p w14:paraId="5A3D2DBF">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eastAsia="宋体" w:asciiTheme="minorEastAsia" w:hAnsiTheme="minorEastAsia"/>
              <w:kern w:val="2"/>
              <w:sz w:val="28"/>
              <w:szCs w:val="28"/>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"_Toc81203409"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二、</w:t>
          </w:r>
          <w:r>
            <w:rPr>
              <w:rFonts w:hint="eastAsia" w:ascii="宋体" w:hAnsi="宋体" w:eastAsia="宋体" w:cs="宋体"/>
              <w:sz w:val="24"/>
              <w:szCs w:val="24"/>
            </w:rPr>
            <w:t>主要任务</w:t>
          </w:r>
          <w:r>
            <w:rPr>
              <w:rFonts w:hint="eastAsia" w:ascii="宋体" w:hAnsi="宋体" w:eastAsia="宋体" w:cs="宋体"/>
              <w:sz w:val="24"/>
              <w:szCs w:val="24"/>
            </w:rPr>
            <w:tab/>
          </w:r>
          <w:r>
            <w:rPr>
              <w:rFonts w:hint="eastAsia" w:ascii="宋体" w:hAnsi="宋体" w:eastAsia="宋体" w:cs="宋体"/>
              <w:sz w:val="24"/>
              <w:szCs w:val="24"/>
              <w:lang w:val="en-US" w:eastAsia="zh-CN"/>
            </w:rPr>
            <w:t>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6</w:t>
          </w:r>
        </w:p>
        <w:p w14:paraId="3A85AD15">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"_Toc81203410"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快速通道建设</w:t>
          </w:r>
          <w:r>
            <w:rPr>
              <w:rFonts w:hint="eastAsia" w:ascii="宋体" w:hAnsi="宋体" w:eastAsia="宋体" w:cs="宋体"/>
              <w:sz w:val="24"/>
              <w:szCs w:val="24"/>
            </w:rPr>
            <w:tab/>
          </w:r>
          <w:r>
            <w:rPr>
              <w:rFonts w:hint="eastAsia" w:ascii="宋体" w:hAnsi="宋体" w:eastAsia="宋体" w:cs="宋体"/>
              <w:sz w:val="24"/>
              <w:szCs w:val="24"/>
              <w:lang w:val="en-US" w:eastAsia="zh-CN"/>
            </w:rPr>
            <w:t>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6</w:t>
          </w:r>
        </w:p>
        <w:p w14:paraId="3F0CE91F">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"_Toc81203411"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w:t>
          </w:r>
          <w:r>
            <w:rPr>
              <w:rFonts w:hint="eastAsia" w:ascii="宋体" w:hAnsi="宋体" w:eastAsia="宋体" w:cs="宋体"/>
              <w:sz w:val="24"/>
              <w:szCs w:val="24"/>
            </w:rPr>
            <w:t>集疏运体系建设</w:t>
          </w:r>
          <w:r>
            <w:rPr>
              <w:rFonts w:hint="eastAsia" w:ascii="宋体" w:hAnsi="宋体" w:eastAsia="宋体" w:cs="宋体"/>
              <w:sz w:val="24"/>
              <w:szCs w:val="24"/>
            </w:rPr>
            <w:tab/>
          </w:r>
          <w:r>
            <w:rPr>
              <w:rFonts w:hint="eastAsia" w:ascii="宋体" w:hAnsi="宋体" w:eastAsia="宋体" w:cs="宋体"/>
              <w:sz w:val="24"/>
              <w:szCs w:val="24"/>
              <w:lang w:val="en-US" w:eastAsia="zh-CN"/>
            </w:rPr>
            <w:t>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2</w:t>
          </w:r>
        </w:p>
        <w:p w14:paraId="1707BCA4">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"_Toc81203412"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三</w:t>
          </w:r>
          <w:r>
            <w:rPr>
              <w:rFonts w:hint="eastAsia" w:ascii="宋体" w:hAnsi="宋体" w:eastAsia="宋体" w:cs="宋体"/>
              <w:sz w:val="24"/>
              <w:szCs w:val="24"/>
              <w:lang w:eastAsia="zh-CN"/>
            </w:rPr>
            <w:t>）</w:t>
          </w:r>
          <w:r>
            <w:rPr>
              <w:rFonts w:hint="eastAsia" w:ascii="宋体" w:hAnsi="宋体" w:eastAsia="宋体" w:cs="宋体"/>
              <w:sz w:val="24"/>
              <w:szCs w:val="24"/>
            </w:rPr>
            <w:t>农村公路建设</w:t>
          </w:r>
          <w:r>
            <w:rPr>
              <w:rFonts w:hint="eastAsia" w:ascii="宋体" w:hAnsi="宋体" w:eastAsia="宋体" w:cs="宋体"/>
              <w:sz w:val="24"/>
              <w:szCs w:val="24"/>
            </w:rPr>
            <w:tab/>
          </w:r>
          <w:r>
            <w:rPr>
              <w:rFonts w:hint="eastAsia" w:ascii="宋体" w:hAnsi="宋体" w:eastAsia="宋体" w:cs="宋体"/>
              <w:sz w:val="24"/>
              <w:szCs w:val="24"/>
              <w:lang w:val="en-US" w:eastAsia="zh-CN"/>
            </w:rPr>
            <w:t>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5</w:t>
          </w:r>
        </w:p>
        <w:p w14:paraId="7726F22A">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"_Toc81203413"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四</w:t>
          </w:r>
          <w:r>
            <w:rPr>
              <w:rFonts w:hint="eastAsia" w:ascii="宋体" w:hAnsi="宋体" w:eastAsia="宋体" w:cs="宋体"/>
              <w:sz w:val="24"/>
              <w:szCs w:val="24"/>
              <w:lang w:eastAsia="zh-CN"/>
            </w:rPr>
            <w:t>）</w:t>
          </w:r>
          <w:r>
            <w:rPr>
              <w:rFonts w:hint="eastAsia" w:ascii="宋体" w:hAnsi="宋体" w:eastAsia="宋体" w:cs="宋体"/>
              <w:sz w:val="24"/>
              <w:szCs w:val="24"/>
            </w:rPr>
            <w:t>公共出行服务体系建设</w:t>
          </w:r>
          <w:r>
            <w:rPr>
              <w:rFonts w:hint="eastAsia" w:ascii="宋体" w:hAnsi="宋体" w:eastAsia="宋体" w:cs="宋体"/>
              <w:sz w:val="24"/>
              <w:szCs w:val="24"/>
            </w:rPr>
            <w:tab/>
          </w:r>
          <w:r>
            <w:rPr>
              <w:rFonts w:hint="eastAsia" w:ascii="宋体" w:hAnsi="宋体" w:eastAsia="宋体" w:cs="宋体"/>
              <w:sz w:val="24"/>
              <w:szCs w:val="24"/>
              <w:lang w:val="en-US" w:eastAsia="zh-CN"/>
            </w:rPr>
            <w:t>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7</w:t>
          </w:r>
        </w:p>
        <w:p w14:paraId="177D2603">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"_Toc81203414"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五</w:t>
          </w:r>
          <w:r>
            <w:rPr>
              <w:rFonts w:hint="eastAsia" w:ascii="宋体" w:hAnsi="宋体" w:eastAsia="宋体" w:cs="宋体"/>
              <w:sz w:val="24"/>
              <w:szCs w:val="24"/>
              <w:lang w:eastAsia="zh-CN"/>
            </w:rPr>
            <w:t>）</w:t>
          </w:r>
          <w:r>
            <w:rPr>
              <w:rFonts w:hint="eastAsia" w:ascii="宋体" w:hAnsi="宋体" w:eastAsia="宋体" w:cs="宋体"/>
              <w:sz w:val="24"/>
              <w:szCs w:val="24"/>
            </w:rPr>
            <w:t>货运物流服务体系建设</w:t>
          </w:r>
          <w:r>
            <w:rPr>
              <w:rFonts w:hint="eastAsia" w:ascii="宋体" w:hAnsi="宋体" w:eastAsia="宋体" w:cs="宋体"/>
              <w:sz w:val="24"/>
              <w:szCs w:val="24"/>
            </w:rPr>
            <w:tab/>
          </w:r>
          <w:r>
            <w:rPr>
              <w:rFonts w:hint="eastAsia" w:ascii="宋体" w:hAnsi="宋体" w:eastAsia="宋体" w:cs="宋体"/>
              <w:sz w:val="24"/>
              <w:szCs w:val="24"/>
              <w:lang w:val="en-US" w:eastAsia="zh-CN"/>
            </w:rPr>
            <w:t>5</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5</w:t>
          </w:r>
        </w:p>
        <w:p w14:paraId="03079034">
          <w:pPr>
            <w:pStyle w:val="7"/>
            <w:keepNext w:val="0"/>
            <w:keepLines w:val="0"/>
            <w:pageBreakBefore w:val="0"/>
            <w:widowControl/>
            <w:tabs>
              <w:tab w:val="right" w:leader="dot" w:pos="8296"/>
            </w:tabs>
            <w:kinsoku/>
            <w:wordWrap/>
            <w:overflowPunct/>
            <w:topLinePunct w:val="0"/>
            <w:autoSpaceDE/>
            <w:autoSpaceDN/>
            <w:bidi w:val="0"/>
            <w:adjustRightInd/>
            <w:snapToGrid/>
            <w:ind w:left="0" w:leftChars="0" w:firstLine="1200" w:firstLineChars="500"/>
            <w:textAlignment w:val="auto"/>
            <w:rPr>
              <w:rFonts w:hint="eastAsia" w:eastAsia="宋体" w:asciiTheme="minorEastAsia" w:hAnsiTheme="minorEastAsia"/>
              <w:sz w:val="28"/>
              <w:szCs w:val="28"/>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"_Toc81203415"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六</w:t>
          </w:r>
          <w:r>
            <w:rPr>
              <w:rFonts w:hint="eastAsia" w:ascii="宋体" w:hAnsi="宋体" w:eastAsia="宋体" w:cs="宋体"/>
              <w:sz w:val="24"/>
              <w:szCs w:val="24"/>
              <w:lang w:eastAsia="zh-CN"/>
            </w:rPr>
            <w:t>）</w:t>
          </w:r>
          <w:r>
            <w:rPr>
              <w:rFonts w:hint="eastAsia" w:ascii="宋体" w:hAnsi="宋体" w:eastAsia="宋体" w:cs="宋体"/>
              <w:sz w:val="24"/>
              <w:szCs w:val="24"/>
            </w:rPr>
            <w:t>交通运输治理体系建设</w:t>
          </w:r>
          <w:r>
            <w:rPr>
              <w:rFonts w:hint="eastAsia" w:ascii="宋体" w:hAnsi="宋体" w:eastAsia="宋体" w:cs="宋体"/>
              <w:sz w:val="24"/>
              <w:szCs w:val="24"/>
            </w:rPr>
            <w:tab/>
          </w:r>
          <w:r>
            <w:rPr>
              <w:rFonts w:hint="eastAsia" w:ascii="宋体" w:hAnsi="宋体" w:eastAsia="宋体" w:cs="宋体"/>
              <w:sz w:val="24"/>
              <w:szCs w:val="24"/>
              <w:lang w:val="en-US" w:eastAsia="zh-CN"/>
            </w:rPr>
            <w:t>5</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9</w:t>
          </w:r>
        </w:p>
        <w:p w14:paraId="6B43D6F3">
          <w:pPr>
            <w:pStyle w:val="13"/>
            <w:pageBreakBefore w:val="0"/>
            <w:tabs>
              <w:tab w:val="right" w:leader="dot" w:pos="8296"/>
            </w:tabs>
            <w:kinsoku/>
            <w:wordWrap/>
            <w:overflowPunct/>
            <w:topLinePunct w:val="0"/>
            <w:autoSpaceDE/>
            <w:autoSpaceDN/>
            <w:bidi w:val="0"/>
            <w:adjustRightInd/>
            <w:snapToGrid/>
            <w:ind w:left="0" w:leftChars="0" w:firstLine="0" w:firstLineChars="0"/>
            <w:rPr>
              <w:rFonts w:hint="eastAsia" w:eastAsia="宋体" w:asciiTheme="minorEastAsia" w:hAnsiTheme="minorEastAsia"/>
              <w:b/>
              <w:bCs/>
              <w:kern w:val="2"/>
              <w:sz w:val="28"/>
              <w:szCs w:val="28"/>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"_Toc81203416"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 xml:space="preserve">第五章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 xml:space="preserve"> 规划实施保障</w:t>
          </w:r>
          <w:r>
            <w:rPr>
              <w:rFonts w:hint="eastAsia" w:ascii="宋体" w:hAnsi="宋体" w:eastAsia="宋体" w:cs="宋体"/>
              <w:b w:val="0"/>
              <w:bCs w:val="0"/>
              <w:sz w:val="24"/>
              <w:szCs w:val="24"/>
            </w:rPr>
            <w:tab/>
          </w:r>
          <w:r>
            <w:rPr>
              <w:rFonts w:hint="eastAsia" w:ascii="宋体" w:hAnsi="宋体" w:eastAsia="宋体" w:cs="宋体"/>
              <w:b w:val="0"/>
              <w:bCs w:val="0"/>
              <w:sz w:val="24"/>
              <w:szCs w:val="24"/>
              <w:lang w:val="en-US" w:eastAsia="zh-CN"/>
            </w:rPr>
            <w:t>6</w:t>
          </w:r>
          <w:r>
            <w:rPr>
              <w:rFonts w:hint="eastAsia" w:ascii="宋体" w:hAnsi="宋体" w:eastAsia="宋体" w:cs="宋体"/>
              <w:b/>
              <w:bCs/>
              <w:sz w:val="24"/>
              <w:szCs w:val="24"/>
            </w:rPr>
            <w:fldChar w:fldCharType="end"/>
          </w:r>
          <w:r>
            <w:rPr>
              <w:rFonts w:hint="eastAsia" w:ascii="宋体" w:hAnsi="宋体" w:eastAsia="宋体" w:cs="宋体"/>
              <w:b w:val="0"/>
              <w:bCs w:val="0"/>
              <w:sz w:val="24"/>
              <w:szCs w:val="24"/>
              <w:lang w:val="en-US" w:eastAsia="zh-CN"/>
            </w:rPr>
            <w:t>3</w:t>
          </w:r>
        </w:p>
        <w:p w14:paraId="5678DC60">
          <w:pPr>
            <w:pageBreakBefore w:val="0"/>
            <w:kinsoku/>
            <w:wordWrap/>
            <w:overflowPunct/>
            <w:topLinePunct w:val="0"/>
            <w:autoSpaceDE/>
            <w:autoSpaceDN/>
            <w:bidi w:val="0"/>
            <w:adjustRightInd/>
            <w:snapToGrid/>
            <w:spacing w:line="360" w:lineRule="auto"/>
            <w:ind w:left="0" w:leftChars="0"/>
            <w:rPr>
              <w:rFonts w:ascii="Times New Roman" w:hAnsi="Times New Roman" w:eastAsia="仿宋_GB2312" w:cs="Times New Roman"/>
              <w:sz w:val="28"/>
              <w:szCs w:val="28"/>
            </w:rPr>
          </w:pPr>
          <w:r>
            <w:rPr>
              <w:rFonts w:cs="Times New Roman" w:asciiTheme="minorEastAsia" w:hAnsiTheme="minorEastAsia" w:eastAsiaTheme="minorEastAsia"/>
              <w:sz w:val="28"/>
              <w:szCs w:val="28"/>
            </w:rPr>
            <w:fldChar w:fldCharType="end"/>
          </w:r>
        </w:p>
      </w:sdtContent>
    </w:sdt>
    <w:p w14:paraId="2AF3912B">
      <w:pPr>
        <w:pageBreakBefore w:val="0"/>
        <w:kinsoku/>
        <w:wordWrap/>
        <w:overflowPunct/>
        <w:topLinePunct w:val="0"/>
        <w:autoSpaceDE/>
        <w:autoSpaceDN/>
        <w:bidi w:val="0"/>
        <w:adjustRightInd/>
        <w:snapToGrid/>
        <w:ind w:left="0" w:leftChars="0"/>
        <w:rPr>
          <w:rFonts w:ascii="Times New Roman" w:hAnsi="Times New Roman" w:eastAsia="方正小标宋简体" w:cs="Times New Roman"/>
          <w:sz w:val="28"/>
          <w:szCs w:val="28"/>
        </w:rPr>
        <w:sectPr>
          <w:headerReference r:id="rId4" w:type="default"/>
          <w:footerReference r:id="rId5" w:type="default"/>
          <w:pgSz w:w="11906" w:h="16838"/>
          <w:pgMar w:top="1440" w:right="1800" w:bottom="1440" w:left="1800" w:header="851" w:footer="992" w:gutter="0"/>
          <w:pgNumType w:fmt="numberInDash" w:start="1"/>
          <w:cols w:space="425" w:num="1"/>
          <w:docGrid w:type="lines" w:linePitch="312" w:charSpace="0"/>
        </w:sectPr>
      </w:pPr>
      <w:r>
        <w:rPr>
          <w:rFonts w:ascii="Times New Roman" w:hAnsi="Times New Roman" w:eastAsia="方正小标宋简体" w:cs="Times New Roman"/>
          <w:sz w:val="28"/>
          <w:szCs w:val="28"/>
        </w:rPr>
        <w:br w:type="page"/>
      </w:r>
    </w:p>
    <w:p w14:paraId="56119154">
      <w:pPr>
        <w:keepNext w:val="0"/>
        <w:keepLines w:val="0"/>
        <w:pageBreakBefore w:val="0"/>
        <w:widowControl/>
        <w:kinsoku/>
        <w:wordWrap/>
        <w:overflowPunct/>
        <w:topLinePunct w:val="0"/>
        <w:autoSpaceDE/>
        <w:autoSpaceDN/>
        <w:bidi w:val="0"/>
        <w:adjustRightInd/>
        <w:snapToGrid/>
        <w:spacing w:before="312" w:beforeLines="100" w:after="312" w:afterLines="100" w:line="560" w:lineRule="exact"/>
        <w:ind w:left="0" w:leftChars="0"/>
        <w:jc w:val="center"/>
        <w:textAlignment w:val="auto"/>
        <w:outlineLvl w:val="1"/>
        <w:rPr>
          <w:rFonts w:hint="default" w:ascii="Times New Roman" w:hAnsi="Times New Roman" w:eastAsia="黑体" w:cs="Times New Roman"/>
          <w:b w:val="0"/>
          <w:bCs/>
          <w:sz w:val="36"/>
          <w:szCs w:val="36"/>
        </w:rPr>
      </w:pPr>
      <w:bookmarkStart w:id="1" w:name="_Toc426812800"/>
      <w:bookmarkStart w:id="2" w:name="_Toc81203393"/>
      <w:r>
        <w:rPr>
          <w:rFonts w:hint="default" w:ascii="Times New Roman" w:hAnsi="Times New Roman" w:eastAsia="黑体" w:cs="Times New Roman"/>
          <w:color w:val="auto"/>
          <w:kern w:val="2"/>
          <w:sz w:val="36"/>
          <w:szCs w:val="36"/>
          <w:lang w:val="en-US" w:eastAsia="zh-CN"/>
        </w:rPr>
        <w:t>第一章</w:t>
      </w:r>
      <w:bookmarkEnd w:id="1"/>
      <w:r>
        <w:rPr>
          <w:rFonts w:hint="default" w:ascii="Times New Roman" w:hAnsi="Times New Roman" w:eastAsia="黑体" w:cs="Times New Roman"/>
          <w:color w:val="auto"/>
          <w:kern w:val="2"/>
          <w:sz w:val="36"/>
          <w:szCs w:val="36"/>
          <w:lang w:val="en-US" w:eastAsia="zh-CN"/>
        </w:rPr>
        <w:t xml:space="preserve">  序言</w:t>
      </w:r>
      <w:bookmarkEnd w:id="2"/>
    </w:p>
    <w:p w14:paraId="7360AD4C">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2"/>
        <w:rPr>
          <w:rFonts w:hint="eastAsia" w:ascii="楷体" w:hAnsi="楷体" w:eastAsia="楷体" w:cs="楷体"/>
          <w:sz w:val="32"/>
          <w:szCs w:val="32"/>
        </w:rPr>
      </w:pPr>
      <w:bookmarkStart w:id="3" w:name="_Toc81203394"/>
      <w:r>
        <w:rPr>
          <w:rFonts w:hint="eastAsia" w:ascii="楷体" w:hAnsi="楷体" w:eastAsia="楷体" w:cs="楷体"/>
          <w:sz w:val="32"/>
          <w:szCs w:val="32"/>
          <w:lang w:val="en-US" w:eastAsia="zh-CN"/>
        </w:rPr>
        <w:t>一、</w:t>
      </w:r>
      <w:r>
        <w:rPr>
          <w:rFonts w:hint="eastAsia" w:ascii="楷体" w:hAnsi="楷体" w:eastAsia="楷体" w:cs="楷体"/>
          <w:sz w:val="32"/>
          <w:szCs w:val="32"/>
        </w:rPr>
        <w:t>规划背景</w:t>
      </w:r>
      <w:bookmarkEnd w:id="3"/>
    </w:p>
    <w:p w14:paraId="50125F9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rPr>
        <w:t>“十四五”时期，是我国“两个一百年”奋斗目标的历史交汇期，开启了新时代全面建设社会主义现代化和交通强国的新征程。“一带一路”、长江经济带、长三角一体化等国家战略提出，习近平总书记在十九大报告中对“交通强国”要“加快形成安全、便捷、高效、绿色、经济的综合交通体系”的指示，省委十三届四次全会提出建设现代综合交通运输体系，连云区交通运输发展面临新的机遇和挑战。</w:t>
      </w:r>
    </w:p>
    <w:p w14:paraId="65ACCE4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rPr>
        <w:t>“十四五”综合交通运输发展规划是进入新时代、开启全面建设社会主义现代化国家新征程的五年规划，是全面推进交通强国建设的第一个五年规划，是推动交通运输高质量发展的五年规划，是贯彻落实中央完善规划体系、加强规划衔接要求的五年规划。要充分认识做好“十四五”综合交通运输发展规划的重大意义。</w:t>
      </w:r>
    </w:p>
    <w:p w14:paraId="741944A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z w:val="30"/>
          <w:szCs w:val="30"/>
        </w:rPr>
      </w:pPr>
      <w:r>
        <w:rPr>
          <w:rFonts w:hint="eastAsia" w:ascii="Times New Roman" w:hAnsi="Times New Roman" w:eastAsia="仿宋_GB2312" w:cs="Times New Roman"/>
          <w:color w:val="auto"/>
          <w:kern w:val="2"/>
          <w:sz w:val="32"/>
          <w:szCs w:val="32"/>
        </w:rPr>
        <w:t>我们要以国家及省“十四五”规划为指导，聚焦“一带一路”交汇点强支点城市定位，按照打造标杆和示范要求，紧扣自贸试验区三大任务，编制符合沿海开放城市发展、加快实现后发先至的规划。要以更大格局谋划交通建设，在建设国际枢纽海港、畅通铁路出行、构建公路网络、畅通海河联运等方面着力突破，加快打造加快构建“东西双向、海陆互换”的现代综合交通运输体系。有力带动连云区经济社会高质量发展。在此背景下，现开展《连云区“十四五”交通规划》研究编制工作。</w:t>
      </w:r>
    </w:p>
    <w:p w14:paraId="46308A9B">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2"/>
        <w:rPr>
          <w:rFonts w:hint="eastAsia" w:ascii="楷体" w:hAnsi="楷体" w:eastAsia="楷体" w:cs="楷体"/>
          <w:sz w:val="32"/>
          <w:szCs w:val="32"/>
        </w:rPr>
      </w:pPr>
      <w:bookmarkStart w:id="4" w:name="_Toc81203395"/>
      <w:r>
        <w:rPr>
          <w:rFonts w:hint="eastAsia" w:ascii="楷体" w:hAnsi="楷体" w:eastAsia="楷体" w:cs="楷体"/>
          <w:sz w:val="32"/>
          <w:szCs w:val="32"/>
          <w:lang w:val="en-US" w:eastAsia="zh-CN"/>
        </w:rPr>
        <w:t>二、</w:t>
      </w:r>
      <w:r>
        <w:rPr>
          <w:rFonts w:hint="eastAsia" w:ascii="楷体" w:hAnsi="楷体" w:eastAsia="楷体" w:cs="楷体"/>
          <w:sz w:val="32"/>
          <w:szCs w:val="32"/>
        </w:rPr>
        <w:t>规划依据</w:t>
      </w:r>
      <w:bookmarkEnd w:id="4"/>
    </w:p>
    <w:p w14:paraId="7A4138B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rPr>
        <w:t>《中华人民共和国城乡规划法》，2007</w:t>
      </w:r>
    </w:p>
    <w:p w14:paraId="20952C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rPr>
        <w:t>《城市综合交通体系规划标准》，GB/T 51328-2018</w:t>
      </w:r>
    </w:p>
    <w:p w14:paraId="236073F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rPr>
        <w:t>《江苏省城市综合交通规划导则》，2005</w:t>
      </w:r>
    </w:p>
    <w:p w14:paraId="1A445FC7">
      <w:pPr>
        <w:keepNext w:val="0"/>
        <w:keepLines w:val="0"/>
        <w:pageBreakBefore w:val="0"/>
        <w:widowControl w:val="0"/>
        <w:kinsoku/>
        <w:wordWrap/>
        <w:overflowPunct/>
        <w:topLinePunct w:val="0"/>
        <w:autoSpaceDE/>
        <w:autoSpaceDN/>
        <w:bidi w:val="0"/>
        <w:adjustRightInd/>
        <w:snapToGrid/>
        <w:spacing w:line="560" w:lineRule="exact"/>
        <w:ind w:left="319" w:leftChars="133" w:firstLine="320" w:firstLineChars="1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rPr>
        <w:t>《关于加强城市综合交通规划编制工作的通知》（苏建规</w:t>
      </w:r>
      <w:r>
        <w:rPr>
          <w:rFonts w:hint="eastAsia" w:ascii="方正仿宋_GBK" w:hAnsi="方正仿宋_GBK" w:eastAsia="方正仿宋_GBK" w:cs="方正仿宋_GBK"/>
          <w:color w:val="auto"/>
          <w:kern w:val="2"/>
          <w:sz w:val="32"/>
          <w:szCs w:val="32"/>
        </w:rPr>
        <w:t>〔</w:t>
      </w:r>
      <w:r>
        <w:rPr>
          <w:rFonts w:hint="eastAsia" w:ascii="Times New Roman" w:hAnsi="Times New Roman" w:eastAsia="仿宋_GB2312" w:cs="Times New Roman"/>
          <w:color w:val="auto"/>
          <w:kern w:val="2"/>
          <w:sz w:val="32"/>
          <w:szCs w:val="32"/>
        </w:rPr>
        <w:t>2005</w:t>
      </w:r>
      <w:r>
        <w:rPr>
          <w:rFonts w:hint="eastAsia" w:ascii="方正仿宋_GBK" w:hAnsi="方正仿宋_GBK" w:eastAsia="方正仿宋_GBK" w:cs="方正仿宋_GBK"/>
          <w:color w:val="auto"/>
          <w:kern w:val="2"/>
          <w:sz w:val="32"/>
          <w:szCs w:val="32"/>
        </w:rPr>
        <w:t>〕</w:t>
      </w:r>
      <w:r>
        <w:rPr>
          <w:rFonts w:hint="eastAsia" w:ascii="Times New Roman" w:hAnsi="Times New Roman" w:eastAsia="仿宋_GB2312" w:cs="Times New Roman"/>
          <w:color w:val="auto"/>
          <w:kern w:val="2"/>
          <w:sz w:val="32"/>
          <w:szCs w:val="32"/>
        </w:rPr>
        <w:t>193号），2005</w:t>
      </w:r>
    </w:p>
    <w:p w14:paraId="602C44F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rPr>
        <w:t>《连云港市国民经济和社会发展第十三个五年规划纲要》，2016</w:t>
      </w:r>
    </w:p>
    <w:p w14:paraId="61C9D9A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rPr>
        <w:t>《连云港市城市总体规划（2008-2030）》，2008</w:t>
      </w:r>
    </w:p>
    <w:p w14:paraId="07F8F4D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rPr>
        <w:t>《连云港市城市综合交通规划（2008-2030）》，2006</w:t>
      </w:r>
    </w:p>
    <w:p w14:paraId="2674F61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color w:val="auto"/>
          <w:kern w:val="2"/>
          <w:sz w:val="32"/>
          <w:szCs w:val="32"/>
        </w:rPr>
        <w:t>《连云港港总体规划》，2007</w:t>
      </w:r>
    </w:p>
    <w:p w14:paraId="165A35C8">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2"/>
        <w:rPr>
          <w:rFonts w:hint="eastAsia" w:ascii="楷体" w:hAnsi="楷体" w:eastAsia="楷体" w:cs="楷体"/>
          <w:sz w:val="32"/>
          <w:szCs w:val="32"/>
        </w:rPr>
      </w:pPr>
      <w:bookmarkStart w:id="5" w:name="_Toc81203396"/>
      <w:r>
        <w:rPr>
          <w:rFonts w:hint="eastAsia" w:ascii="楷体" w:hAnsi="楷体" w:eastAsia="楷体" w:cs="楷体"/>
          <w:sz w:val="32"/>
          <w:szCs w:val="32"/>
          <w:lang w:val="en-US" w:eastAsia="zh-CN"/>
        </w:rPr>
        <w:t>三、</w:t>
      </w:r>
      <w:r>
        <w:rPr>
          <w:rFonts w:hint="eastAsia" w:ascii="楷体" w:hAnsi="楷体" w:eastAsia="楷体" w:cs="楷体"/>
          <w:sz w:val="32"/>
          <w:szCs w:val="32"/>
        </w:rPr>
        <w:t>规划范围</w:t>
      </w:r>
      <w:bookmarkEnd w:id="5"/>
    </w:p>
    <w:p w14:paraId="274ED30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rPr>
        <w:t>本次规划范围为连云区下辖的9个乡街（墟沟、海州湾、连云、云山、连岛、板桥、宿城、高公岛街道，前三岛乡）及连云新城，不含徐圩新区与连云港经济技术开发区。</w:t>
      </w:r>
    </w:p>
    <w:p w14:paraId="53B907C9">
      <w:pPr>
        <w:keepNext w:val="0"/>
        <w:keepLines w:val="0"/>
        <w:pageBreakBefore w:val="0"/>
        <w:widowControl/>
        <w:kinsoku/>
        <w:wordWrap/>
        <w:overflowPunct/>
        <w:topLinePunct w:val="0"/>
        <w:autoSpaceDE/>
        <w:autoSpaceDN/>
        <w:bidi w:val="0"/>
        <w:adjustRightInd/>
        <w:snapToGrid/>
        <w:spacing w:line="560" w:lineRule="exact"/>
        <w:ind w:left="0" w:leftChars="0" w:firstLine="600" w:firstLineChars="200"/>
        <w:jc w:val="both"/>
        <w:textAlignment w:val="auto"/>
        <w:rPr>
          <w:rFonts w:ascii="Times New Roman" w:hAnsi="Times New Roman" w:eastAsia="仿宋_GB2312" w:cs="Times New Roman"/>
          <w:sz w:val="30"/>
          <w:szCs w:val="30"/>
        </w:rPr>
      </w:pPr>
    </w:p>
    <w:p w14:paraId="3DC182F0">
      <w:pPr>
        <w:keepNext w:val="0"/>
        <w:keepLines w:val="0"/>
        <w:pageBreakBefore w:val="0"/>
        <w:widowControl/>
        <w:kinsoku/>
        <w:wordWrap/>
        <w:overflowPunct/>
        <w:topLinePunct w:val="0"/>
        <w:autoSpaceDE/>
        <w:autoSpaceDN/>
        <w:bidi w:val="0"/>
        <w:adjustRightInd/>
        <w:snapToGrid/>
        <w:spacing w:line="560" w:lineRule="exact"/>
        <w:ind w:left="0" w:leftChars="0" w:firstLine="600" w:firstLineChars="200"/>
        <w:jc w:val="both"/>
        <w:textAlignment w:val="auto"/>
        <w:rPr>
          <w:rFonts w:ascii="Times New Roman" w:hAnsi="Times New Roman" w:eastAsia="仿宋_GB2312" w:cs="Times New Roman"/>
          <w:sz w:val="30"/>
          <w:szCs w:val="30"/>
        </w:rPr>
        <w:sectPr>
          <w:headerReference r:id="rId6" w:type="default"/>
          <w:footerReference r:id="rId7" w:type="default"/>
          <w:pgSz w:w="11906" w:h="16838"/>
          <w:pgMar w:top="2098" w:right="1474" w:bottom="1984" w:left="1587" w:header="851" w:footer="992" w:gutter="0"/>
          <w:pgNumType w:fmt="numberInDash"/>
          <w:cols w:space="425" w:num="1"/>
          <w:docGrid w:type="lines" w:linePitch="312" w:charSpace="0"/>
        </w:sectPr>
      </w:pPr>
    </w:p>
    <w:p w14:paraId="209F97C5">
      <w:pPr>
        <w:keepNext w:val="0"/>
        <w:keepLines w:val="0"/>
        <w:pageBreakBefore w:val="0"/>
        <w:widowControl/>
        <w:kinsoku/>
        <w:wordWrap/>
        <w:overflowPunct/>
        <w:topLinePunct w:val="0"/>
        <w:autoSpaceDE/>
        <w:autoSpaceDN/>
        <w:bidi w:val="0"/>
        <w:adjustRightInd/>
        <w:snapToGrid/>
        <w:spacing w:before="312" w:beforeLines="100" w:after="312" w:afterLines="100" w:line="560" w:lineRule="exact"/>
        <w:ind w:left="0" w:leftChars="0"/>
        <w:jc w:val="center"/>
        <w:textAlignment w:val="auto"/>
        <w:outlineLvl w:val="1"/>
        <w:rPr>
          <w:rFonts w:ascii="Times New Roman" w:hAnsi="Times New Roman" w:eastAsia="黑体" w:cs="Times New Roman"/>
          <w:b/>
          <w:sz w:val="36"/>
          <w:szCs w:val="36"/>
        </w:rPr>
      </w:pPr>
      <w:bookmarkStart w:id="6" w:name="_Toc426812802"/>
      <w:bookmarkStart w:id="7" w:name="_Toc81203397"/>
      <w:r>
        <w:rPr>
          <w:rFonts w:ascii="Times New Roman" w:hAnsi="Times New Roman" w:eastAsia="黑体" w:cs="Times New Roman"/>
          <w:b w:val="0"/>
          <w:bCs/>
          <w:sz w:val="36"/>
          <w:szCs w:val="36"/>
        </w:rPr>
        <w:t>第二章</w:t>
      </w:r>
      <w:bookmarkEnd w:id="6"/>
      <w:r>
        <w:rPr>
          <w:rFonts w:hint="eastAsia" w:ascii="Times New Roman" w:hAnsi="Times New Roman" w:eastAsia="黑体" w:cs="Times New Roman"/>
          <w:b w:val="0"/>
          <w:bCs/>
          <w:sz w:val="36"/>
          <w:szCs w:val="36"/>
        </w:rPr>
        <w:t xml:space="preserve">  发展基础和面临形势</w:t>
      </w:r>
      <w:bookmarkEnd w:id="7"/>
    </w:p>
    <w:p w14:paraId="70C5E9B8">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2"/>
        <w:rPr>
          <w:rFonts w:hint="eastAsia" w:ascii="楷体" w:hAnsi="楷体" w:eastAsia="楷体" w:cs="楷体"/>
          <w:sz w:val="32"/>
          <w:szCs w:val="32"/>
        </w:rPr>
      </w:pPr>
      <w:bookmarkStart w:id="8" w:name="_Toc81203398"/>
      <w:bookmarkStart w:id="9" w:name="_Toc426812803"/>
      <w:r>
        <w:rPr>
          <w:rFonts w:hint="eastAsia" w:ascii="楷体" w:hAnsi="楷体" w:eastAsia="楷体" w:cs="楷体"/>
          <w:sz w:val="32"/>
          <w:szCs w:val="32"/>
          <w:lang w:val="en-US" w:eastAsia="zh-CN"/>
        </w:rPr>
        <w:t>一、</w:t>
      </w:r>
      <w:r>
        <w:rPr>
          <w:rFonts w:hint="eastAsia" w:ascii="楷体" w:hAnsi="楷体" w:eastAsia="楷体" w:cs="楷体"/>
          <w:sz w:val="32"/>
          <w:szCs w:val="32"/>
        </w:rPr>
        <w:t>发展成就</w:t>
      </w:r>
      <w:bookmarkEnd w:id="8"/>
      <w:bookmarkEnd w:id="9"/>
    </w:p>
    <w:p w14:paraId="2BC4C93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近年来，在省、市上级交通部门的正确指导下，我区围绕发展定位，抢抓政策机遇，紧盯目标任务，加快综合交通运输体系建设，全区交通运输事业呈现出快速发展的良好局面。</w:t>
      </w:r>
    </w:p>
    <w:p w14:paraId="001EB068">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继“十二五”期间大力、快速、高效推进基础设施建设，取得了丰硕的成果和历史性突破以来，连云区交通“十三五”期间继续保持良好的发展态势，在基础设施建设、交通运输服务、行业规范管理等各项工作中再创佳绩。</w:t>
      </w:r>
    </w:p>
    <w:p w14:paraId="5CEE8690">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一是港航路园齐头并进，“一带一路”标杆示范通道更加顺畅</w:t>
      </w:r>
    </w:p>
    <w:p w14:paraId="55A537D9">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年来，连云区交通部门充分发挥港口核心战略资源优势，全面融入“一带一路”、自贸区等国家战略，成功打造了新亚欧陆海联运标杆示范通道，在服务国家对外开放全局及重大产业布局中发挥了重要作用。依托多年发展形成的独特优势和基础条件，全力推进陆海联运通道建设，构建形成港、航、路、园无缝对接、联动发展的国际物流运输大通道。经过“十三五”五年的发展，连云港深水大港承载能力显著提升，建成投用连云港区30万吨级航道，徐圩港区30万吨航道建设全面推进，已拥有集装箱、铁矿石、氧化铝、散化</w:t>
      </w:r>
      <w:r>
        <w:rPr>
          <w:rFonts w:hint="eastAsia" w:ascii="Times New Roman" w:hAnsi="Times New Roman" w:eastAsia="仿宋_GB2312" w:cs="Times New Roman"/>
          <w:sz w:val="30"/>
          <w:szCs w:val="30"/>
        </w:rPr>
        <w:t>肥、粮食、煤</w:t>
      </w:r>
      <w:r>
        <w:rPr>
          <w:rFonts w:hint="eastAsia" w:ascii="Times New Roman" w:hAnsi="Times New Roman" w:eastAsia="仿宋_GB2312" w:cs="Times New Roman"/>
          <w:sz w:val="32"/>
          <w:szCs w:val="32"/>
        </w:rPr>
        <w:t>炭、液体化工等专业化泊位为代表的万吨级以上生产泊位71个。2020年底完成货物吞吐量2.5亿吨，集装箱480万标箱，“一体两翼”组合港区建设全面铺开并形成规模。港航运输网络日益完善，已开通中东、美西南、非洲等3条远洋干线在内的集装箱航线73条，形成覆盖“海上丝路”主要国家或地区的高密度运输网。铁路国际班列运输稳步增长，成为全国少有的同时开通阿拉山口、霍尔果斯、喀什、二连浩特4条国际过境通道的港口，班列运输在江苏省占比超过40%，运量位居全省首位、全国前列，成为全国中欧班列最具特色的运输品牌。通道沿线物流园区逐步形成规模，搭建起以中哈物流合作基地、上合组织国际物流园、霍尔果斯东门无水港为重要节点的物流链式发展格局。</w:t>
      </w:r>
    </w:p>
    <w:p w14:paraId="7BB472A3">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二是公铁水空加速发展，综合交通枢纽全面构建</w:t>
      </w:r>
    </w:p>
    <w:p w14:paraId="4835184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年来，铁路发展取得重大突破。市级层面，连云港交通加快补短板、强优势，国家级铁路枢纽及高速公路网、4D级空港、覆盖苏鲁豫皖内河网络等海陆空兼备的全国性综合交通枢纽全面构建。青盐铁路于2018年底开通运营，连淮扬镇铁路连淮段于2019年底开通运营，2020年12月11日全线开通运营，连徐高铁于2020年底建成，2021年春节前开通运营。连云区层面，城市动车于2019年底开通运营，旗台作业区铁路专用线建成运行，上合物流园铁路专用线主体建成，徐圩铁路专用线加快建设。</w:t>
      </w:r>
    </w:p>
    <w:p w14:paraId="5EFAA43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公路通达能力显著提高。全区范围以高速公路和国省道为主脉、以县级公路为分支侧脉、以村路为网状细脉的干支线相结合、站点合理、网络通顺的“叶脉型”公路网络日趋形成。国省干线公路形成以G228、G310国道和S242省道构成的“两纵一横”布局。县道三级及以上达标里程115.4公里，占县道总里程90.2%。基本覆盖辖区内的街道，以及经济开发区、3A及以上级旅游景点；全区所有行政村双车道四级公路全覆盖。连云区大桅尖路入选2019全国美丽乡村路。</w:t>
      </w:r>
    </w:p>
    <w:p w14:paraId="76E508DB">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内河水运优势逐步显现。连云港港作为我国北方唯一拥有海河江联运功能的港口，内河航道为叁级航道，可通行1000吨级船舶，现已形成了辐射苏鲁豫皖的“一港四线”物流格局。</w:t>
      </w:r>
    </w:p>
    <w:p w14:paraId="1BDC4756">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机场迈入中型机场行列。白塔埠机场实现一类口岸开放，花果山国际机场建成投入使用。</w:t>
      </w:r>
    </w:p>
    <w:p w14:paraId="7887653C">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三是人便其行货畅其流，运输服务水平不断提高</w:t>
      </w:r>
    </w:p>
    <w:p w14:paraId="4C322696">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客运方面，形成了以城市动车和BRT为骨干、常规公交为</w:t>
      </w:r>
      <w:r>
        <w:rPr>
          <w:rFonts w:hint="eastAsia" w:ascii="Times New Roman" w:hAnsi="Times New Roman" w:eastAsia="仿宋_GB2312" w:cs="Times New Roman"/>
          <w:color w:val="auto"/>
          <w:kern w:val="2"/>
          <w:sz w:val="32"/>
          <w:szCs w:val="32"/>
        </w:rPr>
        <w:t>主体</w:t>
      </w:r>
      <w:r>
        <w:rPr>
          <w:rFonts w:hint="eastAsia" w:ascii="Times New Roman" w:hAnsi="Times New Roman" w:eastAsia="仿宋_GB2312" w:cs="Times New Roman"/>
          <w:sz w:val="32"/>
          <w:szCs w:val="32"/>
        </w:rPr>
        <w:t xml:space="preserve">、旅游公交为亮点、出租汽车为补充的城市客运体系。江苏交通“一卡通”实现全覆盖。镇村公交开通率100%。连云港至日本邮轮航线开通运营，成为全省首个开行国际邮轮的港口。 </w:t>
      </w:r>
    </w:p>
    <w:p w14:paraId="4A31BA6C">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货运方面，连云港入选国家物流枢纽布局承载城市，新亚欧大陆桥集装箱多式联运示范工程入选部级示范。形成“连新亚”等中欧、中亚班列品牌线路，“十三五”期间国际班列开行最高达到827列，东行货运量增长60%以上，“连新亚”完成运量全国首位。中哈、上合两基地承载能力不断提升。2019年中哈物流集装箱进出量14万标箱，哈国东门无水港集装箱换装量12.7万标箱，上合物流园物流量突破1800万吨。运输结构调整有序推进，“公转铁”“公转水”不断上量，港口铁路集疏运量达4513万吨。</w:t>
      </w:r>
    </w:p>
    <w:p w14:paraId="5FF3318C">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四是加快发展方式转变，行业治理能力不断提升</w:t>
      </w:r>
    </w:p>
    <w:p w14:paraId="5A7DD48A">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智慧交通发展取得突破。连云港港国家集装箱海铁联运物联网应用示范工程通过竣工验收，建成航道信息化管理体系，实现水上ETC100%覆盖。建成BRT智能调度中心、市级重点营运车辆动态监控中心，有效支撑交通运行监测、管理水平提升。</w:t>
      </w:r>
    </w:p>
    <w:p w14:paraId="37420883">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绿色交通发展扎实推进。印发实施“十三五”交通运输节能环保规划，推进普通国省道、高速公路、港口、航道、铁路等交通干线沿线环境综合整治并通过省级“五项行动”考核验收。</w:t>
      </w:r>
    </w:p>
    <w:p w14:paraId="1633CCF8">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平安交通发展不断深入。扎实开展“两客一危”挂靠车辆清理、危货运输排查治理等专项活动，广泛开展“平安工地”创建活动，全区交通运输行业安全生产形势持续平稳。</w:t>
      </w:r>
    </w:p>
    <w:p w14:paraId="03870529">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五是党建引领促发展，行业新风铸辉煌</w:t>
      </w:r>
    </w:p>
    <w:p w14:paraId="57D8BA3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五年来，连云区交通坚持党对交通事业发展的领导不动摇，坚持从严治党，强化党风廉政建设，推进行业精神文明和人才队伍建设取得丰硕成果。</w:t>
      </w:r>
    </w:p>
    <w:p w14:paraId="49D7C31D">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交通党的建设不断加强。“十三五”期间，持续深入学习贯彻习近平新时代中国特色社会主义思想和党的十八大、十九大精神。不断健全“三重一大”集体决策制度，定期召开局党组会、局长办公会，落实巡视整改和重大事项督察工作。严格落实中央八项规定，常态化开展形式主义、官僚主义整治活动，定期开展明查暗访，行业作风建设取得新进展。</w:t>
      </w:r>
    </w:p>
    <w:p w14:paraId="5028402C">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sz w:val="32"/>
          <w:szCs w:val="32"/>
        </w:rPr>
      </w:pPr>
      <w:bookmarkStart w:id="10" w:name="_Toc81203399"/>
      <w:bookmarkStart w:id="11" w:name="_Toc426812805"/>
      <w:r>
        <w:rPr>
          <w:rFonts w:hint="eastAsia" w:ascii="楷体" w:hAnsi="楷体" w:eastAsia="楷体" w:cs="楷体"/>
          <w:sz w:val="32"/>
          <w:szCs w:val="32"/>
          <w:lang w:val="en-US" w:eastAsia="zh-CN"/>
        </w:rPr>
        <w:t>二、</w:t>
      </w:r>
      <w:r>
        <w:rPr>
          <w:rFonts w:hint="eastAsia" w:ascii="楷体" w:hAnsi="楷体" w:eastAsia="楷体" w:cs="楷体"/>
          <w:sz w:val="32"/>
          <w:szCs w:val="32"/>
        </w:rPr>
        <w:t>存在主要问题</w:t>
      </w:r>
      <w:bookmarkEnd w:id="10"/>
      <w:bookmarkEnd w:id="11"/>
    </w:p>
    <w:p w14:paraId="3F12193D">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一是与东西城区缺乏快速通道，城市组团优势无法发挥</w:t>
      </w:r>
    </w:p>
    <w:p w14:paraId="08626DB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与同类城市相比，连云港空间尺度较大，居民出行耗时长。</w:t>
      </w:r>
      <w:r>
        <w:rPr>
          <w:rFonts w:hint="eastAsia" w:ascii="Times New Roman" w:hAnsi="Times New Roman" w:eastAsia="仿宋_GB2312" w:cs="Times New Roman"/>
          <w:sz w:val="32"/>
          <w:szCs w:val="32"/>
          <w:lang w:val="zh-CN"/>
        </w:rPr>
        <w:t>目前现状是海州组团与连云组团间距离达到了20公里，港城大道作为港城一体化的交通支撑轴线，沿途有19个平交道口，严重制约了道路通行能力和通行效率的发挥，港城联动发展弱，空间一体化程度不高。港城大道现状早晚高峰时期通行时间较长，通行时间约1.5小时。</w:t>
      </w:r>
      <w:r>
        <w:rPr>
          <w:rFonts w:hint="eastAsia" w:ascii="Times New Roman" w:hAnsi="Times New Roman" w:eastAsia="仿宋_GB2312" w:cs="Times New Roman"/>
          <w:sz w:val="32"/>
          <w:szCs w:val="32"/>
        </w:rPr>
        <w:t>根据目前现有城市道路体系来看，连云港市目前尚无城市快速路，东部城区与主城区之间交通拥堵，交通压力不断增加的现象归根结底是城市道路功能的缺失城市组团之间缺少快速路体系，带状组团城市空间格局，需要组团间的快速联通。</w:t>
      </w:r>
    </w:p>
    <w:p w14:paraId="4C369A44">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二是集疏运体系还需提升，综合交通运输体系还需完善</w:t>
      </w:r>
    </w:p>
    <w:p w14:paraId="54D7391D">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default" w:eastAsia="仿宋_GB2312"/>
          <w:lang w:val="en-US" w:eastAsia="zh-CN"/>
        </w:rPr>
      </w:pPr>
      <w:r>
        <w:rPr>
          <w:rFonts w:hint="eastAsia" w:ascii="Times New Roman" w:hAnsi="Times New Roman" w:eastAsia="仿宋_GB2312" w:cs="Times New Roman"/>
          <w:sz w:val="32"/>
          <w:szCs w:val="32"/>
        </w:rPr>
        <w:t>连云港港的集疏运方式主要为公路、铁路和水路三种方式。连云区公路依然居于主导地位，铁路货运南绕线处于研究阶段，水路运输能力有待进一步挖掘。需进一步整合运力，形成合力。</w:t>
      </w:r>
    </w:p>
    <w:p w14:paraId="2E7AB58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rPr>
        <w:t>港口</w:t>
      </w:r>
    </w:p>
    <w:p w14:paraId="3CED60BB">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港口方面，连云港区吞吐量占到全港吞吐量规模的近80%，承担着“十四五”时期连云港港上量发展和提质增效的重要使命。现状港区后方陆域狭窄，是国内唯一没有直接腹地的大港，本地也缺乏足够的大型重工业企业消化港口进口原材料，大部分属于过境货物，故对疏港交通的要求较高，而现状疏港交通与城市交通的矛盾成为制约港口和城市发展的瓶颈。</w:t>
      </w:r>
    </w:p>
    <w:p w14:paraId="348EE3CA">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rPr>
        <w:t>公路</w:t>
      </w:r>
    </w:p>
    <w:p w14:paraId="5D368601">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公路运输方面，连云港区拥有东西向的南疏港和南北向的东疏港两条主要疏港通道。</w:t>
      </w:r>
    </w:p>
    <w:p w14:paraId="774D212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连云港区南疏港通道向西主要通过大港路连接G30连霍高速及G25长深高速，大港路货运车辆与城市生活出行混流，严重影响居民出行安全和生活环境。近年来屡次发生恶性交通事故，造成人员伤亡。2020年228国道大港路段机动车当量数日平均值是34570，目前，港口货运车辆增多，造成交通拥堵日益严重，货运车辆尾气、抛洒和噪音严重影响城市环境质量。部分路段虽然实行社会车辆和疏港车辆分区行驶，但社会车辆为双向四车道，部分路段是双向三车道，上下班高峰期经常造成交通拥堵，居民反映强烈，希望解决港口货运通道问题。</w:t>
      </w:r>
    </w:p>
    <w:p w14:paraId="14DE38B9">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cs="Times New Roman"/>
          <w:sz w:val="30"/>
          <w:szCs w:val="30"/>
        </w:rPr>
      </w:pPr>
      <w:r>
        <w:rPr>
          <w:rFonts w:hint="eastAsia" w:ascii="Times New Roman" w:hAnsi="Times New Roman" w:eastAsia="仿宋_GB2312" w:cs="Times New Roman"/>
          <w:sz w:val="32"/>
          <w:szCs w:val="32"/>
        </w:rPr>
        <w:t>连云港区主要通过东疏港高速实现与上合物流园之间的货运通道连接，港口货运车辆在由东疏港228互通向中心货运站、保税物流中心以及新云台内河码头等主要物流节点进行往返和集结时，与社会车辆存在大量的交织，且在228国道行驶车辆多为过境大货车，造成该道路在连云区境内货运车辆与社会车辆混行，形成巨大的安全隐患，造成多个交叉路口经常处于堵塞状态，也给城市交通增加了较大的压力。</w:t>
      </w:r>
    </w:p>
    <w:p w14:paraId="6A74BFA6">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w:t>
      </w:r>
      <w:r>
        <w:rPr>
          <w:rFonts w:hint="eastAsia" w:ascii="楷体" w:hAnsi="楷体" w:eastAsia="楷体" w:cs="楷体"/>
          <w:sz w:val="32"/>
          <w:szCs w:val="32"/>
        </w:rPr>
        <w:t>铁路</w:t>
      </w:r>
    </w:p>
    <w:p w14:paraId="7E628D48">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铁路运输方面，连徐高铁开通后东陇海铁路货运能力得以强化，但在连云站这个节点上，客货运冲突和矛盾依存，目前市域列车径路与货运列车进出港径路在连云站内存在交叉干扰，连云站线路咽喉全面紧张，后期对港口东部散货中心货运列车开行的能力限制将更为突出。</w:t>
      </w:r>
    </w:p>
    <w:p w14:paraId="3E5307EB">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四</w:t>
      </w:r>
      <w:r>
        <w:rPr>
          <w:rFonts w:hint="eastAsia" w:ascii="楷体" w:hAnsi="楷体" w:eastAsia="楷体" w:cs="楷体"/>
          <w:sz w:val="32"/>
          <w:szCs w:val="32"/>
          <w:lang w:eastAsia="zh-CN"/>
        </w:rPr>
        <w:t>）</w:t>
      </w:r>
      <w:r>
        <w:rPr>
          <w:rFonts w:hint="eastAsia" w:ascii="楷体" w:hAnsi="楷体" w:eastAsia="楷体" w:cs="楷体"/>
          <w:sz w:val="32"/>
          <w:szCs w:val="32"/>
        </w:rPr>
        <w:t>内河航道</w:t>
      </w:r>
    </w:p>
    <w:p w14:paraId="382C33C6">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内河航运方面，内河航运体系由烧香河航道、烧香河支流航道及航道沿线码头组成。烧香河为三级航道，连接上合组织物流园，设置中云台作业区，通过S73东疏港高速、上合物流园铁路专用线进行“公转水”“铁转水”运输实现海河联运；同时需进一步内河航道资源，积极协调解决内河航道不畅的问题，充分利用沿海港区资源，构建公、铁、水综合交通运输体系。</w:t>
      </w:r>
    </w:p>
    <w:p w14:paraId="15C229EE">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五</w:t>
      </w:r>
      <w:r>
        <w:rPr>
          <w:rFonts w:hint="eastAsia" w:ascii="楷体" w:hAnsi="楷体" w:eastAsia="楷体" w:cs="楷体"/>
          <w:sz w:val="32"/>
          <w:szCs w:val="32"/>
          <w:lang w:eastAsia="zh-CN"/>
        </w:rPr>
        <w:t>）</w:t>
      </w:r>
      <w:r>
        <w:rPr>
          <w:rFonts w:hint="eastAsia" w:ascii="楷体" w:hAnsi="楷体" w:eastAsia="楷体" w:cs="楷体"/>
          <w:sz w:val="32"/>
          <w:szCs w:val="32"/>
        </w:rPr>
        <w:t>货运场站</w:t>
      </w:r>
    </w:p>
    <w:p w14:paraId="1586AC8D">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货运场站方面，连云港公路港位于上合物流园区内紧临高速公路的出入口和G228，货车与小型车辆均只有一个进出口，经十八路未开通及未设置平交道口，随着查超查限的持续及港口吞吐量的不断上涨，进出港车数日益增加，经十八路开通等问题已经迫在眉睫。</w:t>
      </w:r>
    </w:p>
    <w:p w14:paraId="79F2E7C6">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三是客运铁路发展相对滞后</w:t>
      </w:r>
    </w:p>
    <w:p w14:paraId="2040AE2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随着青连、连盐、连淮扬镇和徐连4条高铁线路的开通，连云港正式加入至南京、郑州、济南、上海的3小时内“朋友圈”，市内连云港站、赣榆站、东海县站、灌云站、灌南站等高铁站点相继开通，但是高铁未延伸至山、海、港、岛、城等优势旅游资源相对集中的东部城区，东部城区成为连云港市县区中唯一不通高铁的城区，使其在三区三县中有被边缘化的趋势。</w:t>
      </w:r>
    </w:p>
    <w:p w14:paraId="0DFEA321">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今年“五一”小长假期间，连云港市迎来后疫情首个旅游高峰，成为“新晋旅游热门城市”，东部城区日均接待游客近8万人，大量外地游客为了观海爬山赏美景，到达连云港站后二次转乘公交或者出租车再花一个多小时前往景区，加之公交站点人满为患，排队如长龙，无形增加通行时间成本，浪费了大量出行时间，也挤占了本地居民出行的公共交通资源，给本地居民出行造成不便。</w:t>
      </w:r>
    </w:p>
    <w:p w14:paraId="63530453">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根据《连云港市域铁路发展规划》，连云区与海州区之间设客运铁路市域铁路S1线，利用陇海铁路改建。S1线是连云港市域铁路网东西向主骨架线路，串联桃林镇、东海县城、白塔埠镇、海州中心、连云中心，主要服务东海-海州-连云一线的通勤客流，对于推动连云港沿东陇海城镇轴一体化发展、带动沿线重点中心镇（桃林、白塔埠）以及人口较多的一般乡镇的发展具有重要意义。S1支线由S1线引出至徐圩，串联海州组团与徐圩新区组团，主要服务市区海州中心-徐圩新区组团通道的通勤客流，带动徐圩新区组团发展。</w:t>
      </w:r>
    </w:p>
    <w:p w14:paraId="7F2A92D4">
      <w:pPr>
        <w:pageBreakBefore w:val="0"/>
        <w:kinsoku/>
        <w:wordWrap/>
        <w:overflowPunct/>
        <w:topLinePunct w:val="0"/>
        <w:autoSpaceDE/>
        <w:autoSpaceDN/>
        <w:bidi w:val="0"/>
        <w:adjustRightInd/>
        <w:snapToGrid/>
        <w:spacing w:line="360" w:lineRule="auto"/>
        <w:ind w:left="0" w:leftChars="0" w:hanging="2"/>
        <w:jc w:val="both"/>
        <w:rPr>
          <w:rFonts w:ascii="Times New Roman" w:hAnsi="Times New Roman" w:eastAsia="仿宋_GB2312" w:cs="Times New Roman"/>
          <w:sz w:val="30"/>
          <w:szCs w:val="30"/>
        </w:rPr>
      </w:pPr>
      <w:r>
        <w:rPr>
          <w:rFonts w:ascii="Times New Roman" w:hAnsi="Times New Roman" w:eastAsia="仿宋_GB2312" w:cs="Times New Roman"/>
          <w:sz w:val="30"/>
          <w:szCs w:val="30"/>
        </w:rPr>
        <w:drawing>
          <wp:inline distT="0" distB="0" distL="0" distR="0">
            <wp:extent cx="5831840" cy="40005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5">
                      <a:extLst>
                        <a:ext uri="{28A0092B-C50C-407E-A947-70E740481C1C}">
                          <a14:useLocalDpi xmlns:a14="http://schemas.microsoft.com/office/drawing/2010/main" val="0"/>
                        </a:ext>
                      </a:extLst>
                    </a:blip>
                    <a:srcRect t="18608" r="6272"/>
                    <a:stretch>
                      <a:fillRect/>
                    </a:stretch>
                  </pic:blipFill>
                  <pic:spPr>
                    <a:xfrm>
                      <a:off x="0" y="0"/>
                      <a:ext cx="5844846" cy="4009330"/>
                    </a:xfrm>
                    <a:prstGeom prst="rect">
                      <a:avLst/>
                    </a:prstGeom>
                    <a:noFill/>
                    <a:ln>
                      <a:noFill/>
                    </a:ln>
                  </pic:spPr>
                </pic:pic>
              </a:graphicData>
            </a:graphic>
          </wp:inline>
        </w:drawing>
      </w:r>
    </w:p>
    <w:p w14:paraId="5575F16B">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其中S1陇海铁路连云港至连云站（一期）于2019年12月30日建成通车。通过运行一年多的实践看，存在如下问题:</w:t>
      </w:r>
    </w:p>
    <w:p w14:paraId="7F84DBE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rPr>
        <w:t>沿线车站较少，发送旅客量小</w:t>
      </w:r>
      <w:r>
        <w:rPr>
          <w:rFonts w:hint="eastAsia" w:ascii="楷体" w:hAnsi="楷体" w:eastAsia="楷体" w:cs="楷体"/>
          <w:sz w:val="32"/>
          <w:szCs w:val="32"/>
          <w:lang w:eastAsia="zh-CN"/>
        </w:rPr>
        <w:t>。</w:t>
      </w:r>
    </w:p>
    <w:p w14:paraId="6C260848">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目前市域列车只设连云港站、盐坨站、连云港东站、墟沟站、连云站五个停靠站点，并且车站位置均远离市民相对集中居住区，居民如选择乘坐市域列车出行大都需要先行乘坐公交到以上车站进行换乘。由于货运列车运行和检修需求，导致市域列车在10:00~16:00段内无法开行，现有开行车次主要集中在上下班时段，不利于市民游客往返乘坐。此外，东部城区内各大企业有大量职工居住在海州主城区，需常态化往返于东西部城区，但因市域列车出站后仍需短驳至企业,无法彻底解决出行“最后一公里”问题，所以各企业均选择配置班车，一次解决职工通勤问题。调查发现，市域列车2020年全年日均发送旅客人数不足500人（每列列车有4节车厢，可搭载乘客约400人) ,其中，仅连云港站（230人)、连云港东站（200人）日均发送人数超过百人，当年亏损约8000万元。</w:t>
      </w:r>
    </w:p>
    <w:p w14:paraId="7B64BE6D">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）客货运冲突和矛盾较突出。</w:t>
      </w:r>
    </w:p>
    <w:p w14:paraId="5688CB80">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调查发现，港口集团在连云站节点货运压力巨大，仅新苏港公司每年铁路货运量就达2000多万吨，占该公司总货运量的65%以上，并且货运需求呈逐年增加趋势。市域列车开通运营后，客货运冲突尤为明显，与之前平均水平相比，每天疏港列车至少减发两列(8000-10000吨)，每年减发300万吨，无法满足客户需求。后经协调，市域列车已取消或调整部分班次，目前客货运排班密度均已达最大化。</w:t>
      </w:r>
    </w:p>
    <w:p w14:paraId="3AB83156">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）无法与高铁班次衔接。</w:t>
      </w:r>
    </w:p>
    <w:p w14:paraId="2E5E08C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市域列车在海州主城区只停靠连云港站，到主城区市区出行的人员仍需二次换乘公交，造成乘车不便，利用率相对较低。随着连云港高铁线路的班次不断增加，市域列车在班次设置上无法与高铁实现有效衔接，没有在根本上帮助解决城市道路拥挤问题，轨道交通便利优势无法体现，市域列车被大部分居民排除在出行选择之外。</w:t>
      </w:r>
    </w:p>
    <w:p w14:paraId="365C730D">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四是交通基础设施存在明显短板制约承接徐圩新区产业人口</w:t>
      </w:r>
    </w:p>
    <w:p w14:paraId="00E00C9B">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徐圩新区世界级石化基地建设将带来大量就业人口，这对连云区城市发展带来重要机遇，连云区城市生活配套功能较好，且较其他县区与之最为邻近，具备吸引大量产业人口落户的优势。228国道是联系连云区和徐圩新区的主要通道，但目前有大量过境货车和危化品车辆通行，穿越城区造成安全隐患、交通拥堵、噪音和空气污染，给社会车辆通行特别是周边居民出行带来了很大的困扰和安全隐患，且平交路口多，无法支撑大量人员快捷通勤的需求。</w:t>
      </w:r>
    </w:p>
    <w:p w14:paraId="6F4341FE">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规划市域铁路S1支线利用徐圩支线联通徐圩与中心城区组团，设徐圩站、东辛站、云台山站（不办理客运）、盐坨站、连云港站5个站点，乘客往来连云区与徐圩新区需通过盐坨站反向换乘，极为不便，也无法实现与连云组团的有效连接。</w:t>
      </w:r>
    </w:p>
    <w:p w14:paraId="3EEB590F">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五是内外部制约条件明显，资金缺口较大难以为继</w:t>
      </w:r>
    </w:p>
    <w:p w14:paraId="1B83109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伴随着连云区交通运输需求的持续增长，交通发展任务仍然艰巨而繁重，还面临着土地、能源、环境、资金等多方面的制约。近年来交通建设项目造价急剧提升，上级补助标准维持不变，地方配套资金压力巨大，导致许多必要的项目难以顺利推进，亟需省、市主管部门给予关心。</w:t>
      </w:r>
    </w:p>
    <w:p w14:paraId="38B653C6">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六是交通文明执法还需进一步加强</w:t>
      </w:r>
    </w:p>
    <w:p w14:paraId="4CC1B47C">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中央在十八届四中全会上提出了“依法治国”的战略，上级交通部门也在逐步推进“依法治交通”的进程，这将进一步促进交通工作特别是交通执法的更加规范化。但是基层的交通执法环境依然严峻。</w:t>
      </w:r>
    </w:p>
    <w:p w14:paraId="37F6F2C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此外，全区交通运输还存在服务质量和水平较低，信息化管理程度低，运输安全问题突出、运输成本高等问题，交通运输服务质量、水平有待进一步提高。</w:t>
      </w:r>
      <w:bookmarkStart w:id="12" w:name="_Toc426812806"/>
      <w:bookmarkStart w:id="13" w:name="_Toc81203400"/>
    </w:p>
    <w:p w14:paraId="6F3F6F2A">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w:t>
      </w:r>
      <w:r>
        <w:rPr>
          <w:rFonts w:hint="eastAsia" w:ascii="楷体" w:hAnsi="楷体" w:eastAsia="楷体" w:cs="楷体"/>
          <w:sz w:val="32"/>
          <w:szCs w:val="32"/>
        </w:rPr>
        <w:t>发展面临形势与要求</w:t>
      </w:r>
      <w:bookmarkEnd w:id="12"/>
      <w:bookmarkEnd w:id="13"/>
    </w:p>
    <w:p w14:paraId="45B7B3D7">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一</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rPr>
        <w:t>为全面建设社会主义现代化国家新征程当好先行</w:t>
      </w:r>
    </w:p>
    <w:p w14:paraId="0E1E690C">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党的十九届五中全会明确开启建设社会主义现代化国家新征程。习近平总书记赋予江苏“争当表率、争做示范、走在前列”的新使命新要求，其中包括“在率先实现社会主义现代化上走在前列”。习近平总书记强调“十四五”规划要着眼长远、把握大势，开门问策、集思广益，研究新情况、作出新规划。省委省政府要求围绕高质量发展、高品质生活、高效能治理的要求，认真做好“十四五”规划编制工作。“十四五”时期是连云港“后发先至”的关键时期。连云区交通应全面对标建设现代化新征程的要求，瞄准国际先进水平，要系统、科学谋划“十四五”时期交通运输发展路径，研究提出连云区交通运输现代化的内涵、阶段性目标和路径，找准参照系、想好关键处、绘好路线图，为新时代交通运输现代化建设贡献力量。</w:t>
      </w:r>
    </w:p>
    <w:p w14:paraId="49CB1B1B">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二</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rPr>
        <w:t>为加快构建国内国际双循环新发展格局提供保障</w:t>
      </w:r>
    </w:p>
    <w:p w14:paraId="3C1870E1">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世界百年未有之大变局叠加新冠肺炎疫情全球大流行，国际政治、经济、科技、文化、安全格局深刻调整。开放型经济面临全球产业回流与分流的重大挑战，国际贸易不确定因素显著变多。习近平总书记指出，要加快构建以国内大循环为主体、国内国际双循环相互促进的新发展格局。“十四五”期，我省将在国内大循环中发挥重要战略支点作用，在国内国际双循环中发挥重要战略枢纽作用，高水平扩内需、促开放、畅循环，建设具有世界聚合力的双向开放枢纽。面对国内循环，连云港是沿海地区仍是我省乃至东部沿海的一块洼地，在进一步承接产业转移，实现后发先至方面有巨大潜力。要更加突出高水平对外开放，进一步完善与周边区域交通的高效衔接和互联互通，向西加强与丝绸之路经济带沿线中西部地区的联系，向南加强与长三角、粤港澳地区衔接，向北加强与京津冀、环渤海地区的联通。面向国际循环，连云区要以中国（江苏）自由贸易试验区连云港片区获批为契机，进一步强化并充分发挥亚欧重要国际交通枢纽功能，用好自贸区平台，加快外向型经济发展，加强与“</w:t>
      </w:r>
      <w:bookmarkStart w:id="77" w:name="_GoBack"/>
      <w:r>
        <w:rPr>
          <w:rFonts w:hint="eastAsia" w:ascii="Times New Roman" w:hAnsi="Times New Roman" w:eastAsia="仿宋_GB2312" w:cs="Times New Roman"/>
          <w:sz w:val="32"/>
          <w:szCs w:val="32"/>
        </w:rPr>
        <w:t>一带一路</w:t>
      </w:r>
      <w:bookmarkEnd w:id="77"/>
      <w:r>
        <w:rPr>
          <w:rFonts w:hint="eastAsia" w:ascii="Times New Roman" w:hAnsi="Times New Roman" w:eastAsia="仿宋_GB2312" w:cs="Times New Roman"/>
          <w:sz w:val="32"/>
          <w:szCs w:val="32"/>
        </w:rPr>
        <w:t>”沿线国家间的国际综合运输联系，重点建设东西双向新亚欧陆海联运通道。</w:t>
      </w:r>
    </w:p>
    <w:p w14:paraId="4ECCB0E5">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三</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rPr>
        <w:t>为牢牢抓住国省重大战略叠加新机遇强化支撑</w:t>
      </w:r>
    </w:p>
    <w:p w14:paraId="2F9C8D7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连云区是“一带一路”、长江经济带、长三角区域一体化等重大国家战略的交汇叠加区，应充分发挥资源禀赋优势，用好多重国家战略叠加优势，加快建设山海相拥的现代化美丽港城。与此同时，沿海高质量发展纵深推进，总书记要求加快建设世界一流的海洋港口，为海洋强国建设作出贡献。省委省政府要求系统谋划推进沿海地区高质量发展，实现发展大跨越、实力大提升，成为支撑我省高质量发展和全国区域经济布局的重要板块，要深入贯彻新发展理念，与徐州陆港、淮安空港实现联动发展，全面支撑苏北物流“金三角”，坚持陆海统筹、江海联动，实现绿色发展，在加快融入长三角一体化发展中谋求新突破。同时积极策应沿海高质量发展新要求，连云区将做好发展海港经济、对外开放、产业转型的文章，突出沿海深水大港建设，提升国际运输能力，建设国家级大通道，提升区域运输能力，形成以连云港港为支撑的陆海联运出海口，服务临港产业，支撑港产城融合发展。</w:t>
      </w:r>
    </w:p>
    <w:p w14:paraId="40A0CB3D">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四</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rPr>
        <w:t>为实力打造美丽江苏新愿景增添效能</w:t>
      </w:r>
    </w:p>
    <w:p w14:paraId="77BB74C6">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十九大报告中指出，加快生态文明体制改革，建设美丽中国。习近平总书记要求把建设美丽中国转化为全体人民的自觉行动。省委省政府提出要高起点推进美丽江苏建设，打造美丽中国的现实样板，并把建设美丽江苏作为推动高质量发展的重要抓手，要求把沿海地区打造成为集中展现美丽江苏建设成效的重要窗口和标杆示范，提出要深化陆海统筹、江海联动、港产城融合发展，打造令人向往的生态风光带、人海和谐的蓝色经济带。连云港市委市政府印发《关于深入推进美丽连云港建设的实施意见》，提出把连云港打造成为美丽江苏建设的连云港样板。“十四五”时期，贯彻落实生态文明建设要求，推进美丽江苏、美丽连云港建设力度将不断加大，交通运输行业作为三大能源消耗及碳排放源之一，是应对气候变化的重点领域，需要承担艰巨的减排任务。要更加突出绿色发展理念，注重国土空间开发和生态环境保护，做好交通运输治污、添绿文章，更好发挥水运优势，打造绿色港口、美丽航道，把综合交通大通道和“四好农村路”打造成为生态绿色景观廊道。</w:t>
      </w:r>
    </w:p>
    <w:p w14:paraId="32EC7972">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五</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rPr>
        <w:t>为奋力加快新时代的后发先至展现新作为</w:t>
      </w:r>
    </w:p>
    <w:p w14:paraId="20897F21">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十九大报告明确提出我国经济已由高速增长阶段转向高质量发展阶段，建设现代化经济体系是跨越关口的迫切要求和我国发展的战略目标。省委省政府明确提出，江苏作为东部发达省份要努力在高质量发展上走在全国前列。当前，连云区“后发先至”来到了新起点，新时代的“后发先至”即要速度，更重质量。市委市政府要求聚焦高质量发展，坚定不移推进“工业立市、产业强市、以港兴市”三大核心战略，更加强化互联互通，以东方大港为龙头，加快打造综合交通“新枢纽”，进一步提升交通能级，形成大交通格局。对照至“十四五”末，“高质发展更加强劲，综合实力明显提升”“社会民生更加优化，生活品质明显提升”的经济社会发展目标，连云区交通要进一步聚力突出“后发先至”的战略引领，围绕高质量发展的主线，坚持以人民为中心的发展思想，更加突出共享发展，注重建设人民满意交通，做好交通运输保畅通、保安全，强服务等各项工作，为连云区经济社会的高质量发展提供有力支撑，以更加优质的交通供给支撑人民群众更高水平的生产生活，为加快推进新时代的后发先至开辟新境界、展现新作为。</w:t>
      </w:r>
    </w:p>
    <w:p w14:paraId="079C3B80">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六</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rPr>
        <w:t>为坚定落实交通运输行业发展新使命输出智慧</w:t>
      </w:r>
    </w:p>
    <w:p w14:paraId="14F29ED9">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交通强国建设纲要》明确提出要构建安全、便捷、高效、绿色、经济的现代化综合交通体系，建成人民满意、保障有力、世界前列的交通强国。为贯彻落实交通强国战略，中央印发了《国家综合立体交通网规划纲要》，这是指导国家未来三十年综合交通发展的顶层设计文件，将连云港列入为全国11个沿海国际枢纽海港之一。江苏被交通运输部列入全国第一批试点省份，《交通强国江苏方案》由省委省政府正式印发，先后5次直接点到连云港，提出要着力打造连云港全国性综合交通枢纽，加快形成以连云港港为支撑的陆海联运出海口，大力发展集装箱运输，加大海铁联运国际班列开行密度，强化中哈物流合作基地和上合组织（连云港）国际物流园建设。与此同时，新技术快速崛起，推动交通组织模式不断创新，赋予行业发展新动能。连云区要抓住交通强国建设试点和国家“新基建”快速推进机遇，充分发挥交通运输作为发展“先行官”的支撑和引领作用，全面提升国家级综合交通枢纽地位，消除瓶颈、优化网络，完善多式联运公共服务设施和对外集疏运通道，强化各种运输方式的顺畅衔接，突出创新的核心地位，注重交通运输创新驱动和智慧发展，以开放包容的心态面对新兴事物，抢占创新发展“制高点”，加快智慧港口等新型基础设施建设和TOCC综合交通运输信息管理平台整合，为交通强国、强省建设输出连云港智慧。</w:t>
      </w:r>
    </w:p>
    <w:p w14:paraId="5990EEA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sectPr>
          <w:headerReference r:id="rId8" w:type="default"/>
          <w:pgSz w:w="11906" w:h="16838"/>
          <w:pgMar w:top="2098" w:right="1474" w:bottom="1984" w:left="1587" w:header="851" w:footer="992" w:gutter="0"/>
          <w:pgNumType w:fmt="numberInDash"/>
          <w:cols w:space="425" w:num="1"/>
          <w:docGrid w:type="lines" w:linePitch="312" w:charSpace="0"/>
        </w:sectPr>
      </w:pPr>
    </w:p>
    <w:p w14:paraId="5FE7098C">
      <w:pPr>
        <w:keepNext w:val="0"/>
        <w:keepLines w:val="0"/>
        <w:pageBreakBefore w:val="0"/>
        <w:widowControl/>
        <w:kinsoku/>
        <w:wordWrap/>
        <w:overflowPunct/>
        <w:topLinePunct w:val="0"/>
        <w:autoSpaceDE/>
        <w:autoSpaceDN/>
        <w:bidi w:val="0"/>
        <w:adjustRightInd/>
        <w:snapToGrid/>
        <w:spacing w:before="312" w:beforeLines="100" w:after="312" w:afterLines="100" w:line="560" w:lineRule="exact"/>
        <w:ind w:left="0" w:leftChars="0"/>
        <w:jc w:val="center"/>
        <w:textAlignment w:val="auto"/>
        <w:outlineLvl w:val="1"/>
        <w:rPr>
          <w:rFonts w:ascii="Times New Roman" w:hAnsi="Times New Roman" w:eastAsia="黑体" w:cs="Times New Roman"/>
          <w:b w:val="0"/>
          <w:bCs/>
          <w:sz w:val="36"/>
          <w:szCs w:val="36"/>
        </w:rPr>
      </w:pPr>
      <w:bookmarkStart w:id="14" w:name="_Toc81203401"/>
      <w:bookmarkStart w:id="15" w:name="_Toc426812812"/>
      <w:r>
        <w:rPr>
          <w:rFonts w:ascii="Times New Roman" w:hAnsi="Times New Roman" w:eastAsia="黑体" w:cs="Times New Roman"/>
          <w:b w:val="0"/>
          <w:bCs/>
          <w:sz w:val="36"/>
          <w:szCs w:val="36"/>
        </w:rPr>
        <w:t>第</w:t>
      </w:r>
      <w:r>
        <w:rPr>
          <w:rFonts w:hint="eastAsia" w:ascii="Times New Roman" w:hAnsi="Times New Roman" w:eastAsia="黑体" w:cs="Times New Roman"/>
          <w:b w:val="0"/>
          <w:bCs/>
          <w:sz w:val="36"/>
          <w:szCs w:val="36"/>
        </w:rPr>
        <w:t>三</w:t>
      </w:r>
      <w:r>
        <w:rPr>
          <w:rFonts w:ascii="Times New Roman" w:hAnsi="Times New Roman" w:eastAsia="黑体" w:cs="Times New Roman"/>
          <w:b w:val="0"/>
          <w:bCs/>
          <w:sz w:val="36"/>
          <w:szCs w:val="36"/>
        </w:rPr>
        <w:t>章</w:t>
      </w:r>
      <w:r>
        <w:rPr>
          <w:rFonts w:hint="eastAsia" w:ascii="Times New Roman" w:hAnsi="Times New Roman" w:eastAsia="黑体" w:cs="Times New Roman"/>
          <w:b w:val="0"/>
          <w:bCs/>
          <w:sz w:val="36"/>
          <w:szCs w:val="36"/>
        </w:rPr>
        <w:t xml:space="preserve">  </w:t>
      </w:r>
      <w:r>
        <w:rPr>
          <w:rFonts w:ascii="Times New Roman" w:hAnsi="Times New Roman" w:eastAsia="黑体" w:cs="Times New Roman"/>
          <w:b w:val="0"/>
          <w:bCs/>
          <w:sz w:val="36"/>
          <w:szCs w:val="36"/>
        </w:rPr>
        <w:t>指导思想、原则和目标</w:t>
      </w:r>
      <w:bookmarkEnd w:id="14"/>
      <w:bookmarkEnd w:id="15"/>
    </w:p>
    <w:p w14:paraId="63CDFFB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2"/>
        <w:rPr>
          <w:rFonts w:hint="eastAsia" w:ascii="楷体" w:hAnsi="楷体" w:eastAsia="楷体" w:cs="楷体"/>
          <w:sz w:val="32"/>
          <w:szCs w:val="32"/>
        </w:rPr>
      </w:pPr>
      <w:bookmarkStart w:id="16" w:name="_Toc426812813"/>
      <w:bookmarkStart w:id="17" w:name="_Toc81203402"/>
      <w:r>
        <w:rPr>
          <w:rFonts w:hint="eastAsia" w:ascii="楷体" w:hAnsi="楷体" w:eastAsia="楷体" w:cs="楷体"/>
          <w:sz w:val="32"/>
          <w:szCs w:val="32"/>
          <w:lang w:val="en-US" w:eastAsia="zh-CN"/>
        </w:rPr>
        <w:t>一、</w:t>
      </w:r>
      <w:r>
        <w:rPr>
          <w:rFonts w:hint="eastAsia" w:ascii="楷体" w:hAnsi="楷体" w:eastAsia="楷体" w:cs="楷体"/>
          <w:sz w:val="32"/>
          <w:szCs w:val="32"/>
        </w:rPr>
        <w:t>指导思想</w:t>
      </w:r>
      <w:bookmarkEnd w:id="16"/>
      <w:bookmarkEnd w:id="17"/>
    </w:p>
    <w:p w14:paraId="7E78E0C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以习近平新时代中国特色社会主义思想为指导，深入贯彻党的十九大和十九届二中、三中、四中、五中、六中全会精神和习近平总书记对交通运输发展要求，围绕“一带一路”</w:t>
      </w:r>
      <w:r>
        <w:rPr>
          <w:rFonts w:hint="eastAsia" w:ascii="Times New Roman" w:hAnsi="Times New Roman" w:eastAsia="仿宋_GB2312" w:cs="Times New Roman"/>
          <w:sz w:val="32"/>
          <w:szCs w:val="32"/>
          <w:lang w:val="en-US" w:eastAsia="zh-CN"/>
        </w:rPr>
        <w:t>强</w:t>
      </w:r>
      <w:r>
        <w:rPr>
          <w:rFonts w:hint="eastAsia" w:ascii="Times New Roman" w:hAnsi="Times New Roman" w:eastAsia="仿宋_GB2312" w:cs="Times New Roman"/>
          <w:sz w:val="32"/>
          <w:szCs w:val="32"/>
        </w:rPr>
        <w:t>支点城市、中国（江苏）自由贸易试验区建设、交通强国以及市委市政府新时代后发先至的总体要求，坚持稳中求进工作总基调，坚持新发展理念，坚持高质量发展，坚持以人民为中心，立足亚欧重要国际交通枢纽和全国性综合交通枢纽定位，充分发挥综合交通融合发展和陆海联运特色优势，统筹对内、对外两个大局，在既有大交通格局基本成型基础上，更加注重完善市域内部综合交通体系，加快构建“面向国际、承东启西、辐射南北、便捷高效”的现代综合交通运输体系，力争在全面建设社会主义现代化新征程和交通强省建设中走在全省前列。</w:t>
      </w:r>
    </w:p>
    <w:p w14:paraId="37112130">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2"/>
        <w:rPr>
          <w:rFonts w:hint="eastAsia" w:ascii="楷体" w:hAnsi="楷体" w:eastAsia="楷体" w:cs="楷体"/>
          <w:sz w:val="32"/>
          <w:szCs w:val="32"/>
        </w:rPr>
      </w:pPr>
      <w:bookmarkStart w:id="18" w:name="_Toc81203403"/>
      <w:bookmarkStart w:id="19" w:name="_Toc426812814"/>
      <w:r>
        <w:rPr>
          <w:rFonts w:hint="eastAsia" w:ascii="楷体" w:hAnsi="楷体" w:eastAsia="楷体" w:cs="楷体"/>
          <w:sz w:val="32"/>
          <w:szCs w:val="32"/>
          <w:lang w:val="en-US" w:eastAsia="zh-CN"/>
        </w:rPr>
        <w:t>二、</w:t>
      </w:r>
      <w:r>
        <w:rPr>
          <w:rFonts w:hint="eastAsia" w:ascii="楷体" w:hAnsi="楷体" w:eastAsia="楷体" w:cs="楷体"/>
          <w:sz w:val="32"/>
          <w:szCs w:val="32"/>
        </w:rPr>
        <w:t>发展原则</w:t>
      </w:r>
      <w:bookmarkEnd w:id="18"/>
      <w:bookmarkEnd w:id="19"/>
    </w:p>
    <w:p w14:paraId="3ED95431">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适度超前，综合发展</w:t>
      </w:r>
      <w:r>
        <w:rPr>
          <w:rFonts w:hint="eastAsia" w:ascii="Times New Roman" w:hAnsi="Times New Roman" w:eastAsia="仿宋_GB2312" w:cs="Times New Roman"/>
          <w:sz w:val="32"/>
          <w:szCs w:val="32"/>
        </w:rPr>
        <w:t>。继续贯彻“经济发展、交通先行”方针，以率先构建现代综合交通运输体系为核心，着力加强综合运输通道和枢纽规划建设，完善综合交通网络，有力支撑和引导产业空间布局调整和功能区优化，服务城市生产要素配置与三次产业联动，引导区域经济协调发展和新型城镇化发展。</w:t>
      </w:r>
    </w:p>
    <w:p w14:paraId="43EB0A42">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服务民生，统筹发展。</w:t>
      </w:r>
      <w:r>
        <w:rPr>
          <w:rFonts w:hint="eastAsia" w:ascii="Times New Roman" w:hAnsi="Times New Roman" w:eastAsia="仿宋_GB2312" w:cs="Times New Roman"/>
          <w:sz w:val="32"/>
          <w:szCs w:val="32"/>
        </w:rPr>
        <w:t>坚持发展更高水平的“行有所乘”，特别注重提升公众出行体验，改善运输服务质量，推进交通运输公共服务均等化，协调东西城区联动发展，协调港口发展与城市、产业的联动发展。</w:t>
      </w:r>
    </w:p>
    <w:p w14:paraId="05816C1A">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提质增效，转型发展。</w:t>
      </w:r>
      <w:r>
        <w:rPr>
          <w:rFonts w:hint="eastAsia" w:ascii="Times New Roman" w:hAnsi="Times New Roman" w:eastAsia="仿宋_GB2312" w:cs="Times New Roman"/>
          <w:sz w:val="32"/>
          <w:szCs w:val="32"/>
        </w:rPr>
        <w:t>以提升交通运输发展的质量和效益为中心，将先进理念、制度、政策和技术手段融入发展全领域全过程，推动交通运输向更智慧、更绿色、更安全的方向发展，不断提升区域综合竞争力，让人民群众更好地共享交通运输现代化建设成果。</w:t>
      </w:r>
    </w:p>
    <w:p w14:paraId="56D7154E">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改革驱动，创新发展。</w:t>
      </w:r>
      <w:r>
        <w:rPr>
          <w:rFonts w:hint="eastAsia" w:ascii="Times New Roman" w:hAnsi="Times New Roman" w:eastAsia="仿宋_GB2312" w:cs="Times New Roman"/>
          <w:sz w:val="32"/>
          <w:szCs w:val="32"/>
        </w:rPr>
        <w:t>按照中央和省委省政府关于全面深化改革的战略部署，用改革的办法和创新的思路解决制约交通运输发展的突出困难和问题，加强交通运输重点领域和关键环节改革攻坚，深入推进管理创新、科技创新，形成有利于交通运输又好又快发展的体制机制环境，增强交通运输转型发展的活力和动力。</w:t>
      </w:r>
    </w:p>
    <w:p w14:paraId="6EE0685F">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outlineLvl w:val="2"/>
        <w:rPr>
          <w:rFonts w:hint="eastAsia" w:ascii="楷体" w:hAnsi="楷体" w:eastAsia="楷体" w:cs="楷体"/>
          <w:sz w:val="32"/>
          <w:szCs w:val="32"/>
        </w:rPr>
      </w:pPr>
      <w:bookmarkStart w:id="20" w:name="_Toc81203404"/>
      <w:bookmarkStart w:id="21" w:name="_Toc426812815"/>
      <w:r>
        <w:rPr>
          <w:rFonts w:hint="eastAsia" w:ascii="楷体" w:hAnsi="楷体" w:eastAsia="楷体" w:cs="楷体"/>
          <w:sz w:val="32"/>
          <w:szCs w:val="32"/>
        </w:rPr>
        <w:t>发展目标</w:t>
      </w:r>
      <w:bookmarkEnd w:id="20"/>
      <w:bookmarkEnd w:id="21"/>
      <w:bookmarkStart w:id="22" w:name="_Toc81203405"/>
    </w:p>
    <w:p w14:paraId="4C72938B">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jc w:val="both"/>
        <w:textAlignment w:val="auto"/>
        <w:outlineLvl w:val="2"/>
        <w:rPr>
          <w:rFonts w:ascii="Times New Roman" w:hAnsi="Times New Roman" w:eastAsia="仿宋_GB2312" w:cs="Times New Roman"/>
          <w:b/>
          <w:color w:val="0D0D0D" w:themeColor="text1" w:themeTint="F2"/>
          <w:sz w:val="30"/>
          <w:szCs w:val="30"/>
          <w14:textFill>
            <w14:solidFill>
              <w14:schemeClr w14:val="tx1">
                <w14:lumMod w14:val="95000"/>
                <w14:lumOff w14:val="5000"/>
              </w14:schemeClr>
            </w14:solidFill>
          </w14:textFill>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rPr>
        <w:t>总体目标</w:t>
      </w:r>
      <w:bookmarkEnd w:id="22"/>
    </w:p>
    <w:p w14:paraId="771A35D8">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构筑功能完备、集约高效的一体化综合交通系统，以满足不断增长的客货运输需求和不断提高的运输服务质量要求，为连云区城市跨越式发展提供交通支撑，并以完善的交通系统引导城市开发与发展。</w:t>
      </w:r>
    </w:p>
    <w:p w14:paraId="263A54D0">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3"/>
        <w:rPr>
          <w:rFonts w:ascii="Times New Roman" w:hAnsi="Times New Roman" w:eastAsia="仿宋_GB2312" w:cs="Times New Roman"/>
          <w:b/>
          <w:color w:val="0D0D0D" w:themeColor="text1" w:themeTint="F2"/>
          <w:sz w:val="30"/>
          <w:szCs w:val="30"/>
          <w14:textFill>
            <w14:solidFill>
              <w14:schemeClr w14:val="tx1">
                <w14:lumMod w14:val="95000"/>
                <w14:lumOff w14:val="5000"/>
              </w14:schemeClr>
            </w14:solidFill>
          </w14:textFill>
        </w:rPr>
      </w:pPr>
      <w:bookmarkStart w:id="23" w:name="_Toc81203406"/>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）具体目标</w:t>
      </w:r>
      <w:bookmarkEnd w:id="23"/>
    </w:p>
    <w:p w14:paraId="09468287">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建成布局完善、衔接紧密的现代综合交通运输体系。</w:t>
      </w:r>
      <w:r>
        <w:rPr>
          <w:rFonts w:hint="eastAsia" w:ascii="Times New Roman" w:hAnsi="Times New Roman" w:eastAsia="仿宋_GB2312" w:cs="Times New Roman"/>
          <w:sz w:val="32"/>
          <w:szCs w:val="32"/>
        </w:rPr>
        <w:t>形成公路、铁路、水运运输综合协调发展的现代化、一体化交通网络，构建更适应城乡经济社会统筹发展的公路网络、高效便捷无缝衔接的铁路网络、海河联运全面通航的水路网络，促进以公路为纽带的各类运输方式充分融合，快速铁路和高等级航道在基础设施中占据重要位置。形成“物流园区+物流中心+配送中心”的物流基地，建设货运枢纽信息管理中心。</w:t>
      </w:r>
    </w:p>
    <w:p w14:paraId="56AA0419">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建成快速便捷、城乡一体、多式协调的综合客运体系。</w:t>
      </w:r>
      <w:r>
        <w:rPr>
          <w:rFonts w:hint="eastAsia" w:ascii="Times New Roman" w:hAnsi="Times New Roman" w:eastAsia="仿宋_GB2312" w:cs="Times New Roman"/>
          <w:sz w:val="32"/>
          <w:szCs w:val="32"/>
        </w:rPr>
        <w:t>多样化的客运服务有效提升公众出行满意率。构建面向长三角区域主要城市的城际客运体系，城际客运保障快速出行，形成与周边市县半日往返的快速客运系统；形成连云区铁路综合客运枢纽，实现与城市交通的无缝衔接，提供乘客方便的换乘条件，实现公交与个体交通的有效转换。构建市、区、街道三级换乘体系，加强区、街道客运站和乡街公交站、回车场建设，实现居民出行零距离换乘。城市公交更具吸引力，公交品质显著提高；城乡客运普惠民生，镇村公交开通率达到100%。构筑与小伊机场的直达运输通道。</w:t>
      </w:r>
    </w:p>
    <w:p w14:paraId="1460A179">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建成分工合理、衔接高效、运行安全的综合货运体系。</w:t>
      </w:r>
      <w:r>
        <w:rPr>
          <w:rFonts w:hint="eastAsia" w:ascii="Times New Roman" w:hAnsi="Times New Roman" w:eastAsia="仿宋_GB2312" w:cs="Times New Roman"/>
          <w:sz w:val="32"/>
          <w:szCs w:val="32"/>
        </w:rPr>
        <w:t>依托运能充沛的交通通道，以连云港港区为支点，通过高速公路、干线公路、铁路、内河航道与主要物流园区的沟通，建成能源、原材料等大宗物资的分工合理、衔接高效、运行安全的综合货运体系。</w:t>
      </w:r>
    </w:p>
    <w:p w14:paraId="3445D649">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构建高度融合、开放兼容的信息应用体系。</w:t>
      </w:r>
      <w:r>
        <w:rPr>
          <w:rFonts w:hint="eastAsia" w:ascii="Times New Roman" w:hAnsi="Times New Roman" w:eastAsia="仿宋_GB2312" w:cs="Times New Roman"/>
          <w:sz w:val="32"/>
          <w:szCs w:val="32"/>
        </w:rPr>
        <w:t>现代信息技术在交通运输各领域全过程高度融合，现代交通运输信息平台基本建成。内河干线航道船闸ETC和沿海港口EDI系统覆盖率达到100%，普通国省道重要节点测覆盖率均达到100%，交通行政权力网上公开透明运行，交通行政许可在线办理率显著提高，联网售票和交通运行实时查询水平提升。</w:t>
      </w:r>
    </w:p>
    <w:p w14:paraId="45788C7A">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构建法制文明、绿色安全的交通治理体系。</w:t>
      </w:r>
      <w:r>
        <w:rPr>
          <w:rFonts w:hint="eastAsia" w:ascii="Times New Roman" w:hAnsi="Times New Roman" w:eastAsia="仿宋_GB2312" w:cs="Times New Roman"/>
          <w:sz w:val="32"/>
          <w:szCs w:val="32"/>
        </w:rPr>
        <w:t>交通运输文明素质普遍提高，法治交通水平明显提高，依法行政水平和行政效率明显提高。安全成为交通运输发展的基础价值理念，安全监管能力显著增强，安全运营水平显著提升。绿色循环低碳的价值取向贯穿交通运输发展的全过程和各领域，单位周转量能源消耗和碳排放量相比现状大幅减少。基础设施管理维护水平和运行质量达到国内先进水平。</w:t>
      </w:r>
    </w:p>
    <w:p w14:paraId="3B001A26">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构建改革突破、创新主导的发展驱动体系。</w:t>
      </w:r>
      <w:r>
        <w:rPr>
          <w:rFonts w:hint="eastAsia" w:ascii="Times New Roman" w:hAnsi="Times New Roman" w:eastAsia="仿宋_GB2312" w:cs="Times New Roman"/>
          <w:sz w:val="32"/>
          <w:szCs w:val="32"/>
        </w:rPr>
        <w:t>通过改革突破交通运输发展的深层次矛盾，在转变政府职能、交通运输管理体制、投融资体制等方面改革取得重大突破。通过体制机制创新，有效调动整合资源，推动交通运输发展；通过管理手段创新，促进行业规范化文明化发展；通过工程建设创新，保障工程建设质量。</w:t>
      </w:r>
    </w:p>
    <w:p w14:paraId="438787D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到2025年，连云区交通运输发展水平将更上一个台阶，现代综合交通运输体系初步构建，发展的协调性、系统性和可持续性显著提升。</w:t>
      </w:r>
    </w:p>
    <w:p w14:paraId="444DAC9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sectPr>
          <w:headerReference r:id="rId9" w:type="default"/>
          <w:pgSz w:w="11906" w:h="16838"/>
          <w:pgMar w:top="2098" w:right="1474" w:bottom="1984" w:left="1587" w:header="851" w:footer="992" w:gutter="0"/>
          <w:pgNumType w:fmt="numberInDash"/>
          <w:cols w:space="425" w:num="1"/>
          <w:docGrid w:type="lines" w:linePitch="312" w:charSpace="0"/>
        </w:sectPr>
      </w:pPr>
    </w:p>
    <w:p w14:paraId="32CC1747">
      <w:pPr>
        <w:keepNext w:val="0"/>
        <w:keepLines w:val="0"/>
        <w:pageBreakBefore w:val="0"/>
        <w:widowControl/>
        <w:kinsoku/>
        <w:wordWrap/>
        <w:overflowPunct/>
        <w:topLinePunct w:val="0"/>
        <w:autoSpaceDE/>
        <w:autoSpaceDN/>
        <w:bidi w:val="0"/>
        <w:adjustRightInd/>
        <w:snapToGrid/>
        <w:spacing w:before="312" w:beforeLines="100" w:after="312" w:afterLines="100" w:line="560" w:lineRule="exact"/>
        <w:ind w:left="0" w:leftChars="0"/>
        <w:jc w:val="center"/>
        <w:textAlignment w:val="auto"/>
        <w:outlineLvl w:val="1"/>
        <w:rPr>
          <w:rFonts w:ascii="Times New Roman" w:hAnsi="Times New Roman" w:eastAsia="黑体" w:cs="Times New Roman"/>
          <w:b w:val="0"/>
          <w:bCs/>
          <w:sz w:val="36"/>
          <w:szCs w:val="36"/>
        </w:rPr>
      </w:pPr>
      <w:bookmarkStart w:id="24" w:name="_Toc426812816"/>
      <w:bookmarkStart w:id="25" w:name="_Toc81203407"/>
      <w:r>
        <w:rPr>
          <w:rFonts w:ascii="Times New Roman" w:hAnsi="Times New Roman" w:eastAsia="黑体" w:cs="Times New Roman"/>
          <w:b w:val="0"/>
          <w:bCs/>
          <w:sz w:val="36"/>
          <w:szCs w:val="36"/>
        </w:rPr>
        <w:t>第</w:t>
      </w:r>
      <w:r>
        <w:rPr>
          <w:rFonts w:hint="eastAsia" w:ascii="Times New Roman" w:hAnsi="Times New Roman" w:eastAsia="黑体" w:cs="Times New Roman"/>
          <w:b w:val="0"/>
          <w:bCs/>
          <w:sz w:val="36"/>
          <w:szCs w:val="36"/>
        </w:rPr>
        <w:t>四</w:t>
      </w:r>
      <w:r>
        <w:rPr>
          <w:rFonts w:ascii="Times New Roman" w:hAnsi="Times New Roman" w:eastAsia="黑体" w:cs="Times New Roman"/>
          <w:b w:val="0"/>
          <w:bCs/>
          <w:sz w:val="36"/>
          <w:szCs w:val="36"/>
        </w:rPr>
        <w:t>章</w:t>
      </w:r>
      <w:r>
        <w:rPr>
          <w:rFonts w:hint="eastAsia" w:ascii="Times New Roman" w:hAnsi="Times New Roman" w:eastAsia="黑体" w:cs="Times New Roman"/>
          <w:b w:val="0"/>
          <w:bCs/>
          <w:sz w:val="36"/>
          <w:szCs w:val="36"/>
        </w:rPr>
        <w:t xml:space="preserve">  </w:t>
      </w:r>
      <w:bookmarkEnd w:id="24"/>
      <w:r>
        <w:rPr>
          <w:rFonts w:hint="eastAsia" w:ascii="Times New Roman" w:hAnsi="Times New Roman" w:eastAsia="黑体" w:cs="Times New Roman"/>
          <w:b w:val="0"/>
          <w:bCs/>
          <w:sz w:val="36"/>
          <w:szCs w:val="36"/>
        </w:rPr>
        <w:t>发展重点和主要任务</w:t>
      </w:r>
      <w:bookmarkEnd w:id="25"/>
    </w:p>
    <w:p w14:paraId="2D771B3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3"/>
        <w:rPr>
          <w:rFonts w:hint="eastAsia" w:ascii="楷体" w:hAnsi="楷体" w:eastAsia="楷体" w:cs="楷体"/>
          <w:sz w:val="32"/>
          <w:szCs w:val="32"/>
        </w:rPr>
      </w:pPr>
      <w:bookmarkStart w:id="26" w:name="_Toc81203408"/>
      <w:r>
        <w:rPr>
          <w:rFonts w:hint="eastAsia" w:ascii="楷体" w:hAnsi="楷体" w:eastAsia="楷体" w:cs="楷体"/>
          <w:sz w:val="32"/>
          <w:szCs w:val="32"/>
          <w:lang w:val="en-US" w:eastAsia="zh-CN"/>
        </w:rPr>
        <w:t>一、</w:t>
      </w:r>
      <w:r>
        <w:rPr>
          <w:rFonts w:hint="eastAsia" w:ascii="楷体" w:hAnsi="楷体" w:eastAsia="楷体" w:cs="楷体"/>
          <w:sz w:val="32"/>
          <w:szCs w:val="32"/>
        </w:rPr>
        <w:t>工作重点</w:t>
      </w:r>
      <w:bookmarkEnd w:id="26"/>
    </w:p>
    <w:p w14:paraId="15B7B95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“十四五”期，连云区交通运输发展将进入“综合运输一体化、城乡交通一体化和交通运输现代化”发展阶段，发展重点向“优化交通运输结构和提高管理、服务水平”转变。具体工作重点如下：</w:t>
      </w:r>
    </w:p>
    <w:p w14:paraId="21BFCB2C">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3"/>
        <w:rPr>
          <w:rFonts w:hint="eastAsia" w:ascii="楷体" w:hAnsi="楷体" w:eastAsia="楷体" w:cs="楷体"/>
          <w:b w:val="0"/>
          <w:bCs w:val="0"/>
          <w:sz w:val="32"/>
          <w:szCs w:val="32"/>
        </w:rPr>
      </w:pPr>
      <w:bookmarkStart w:id="27" w:name="_Toc401677182"/>
      <w:bookmarkStart w:id="28" w:name="_Toc402019155"/>
      <w:bookmarkStart w:id="29" w:name="_Toc401676023"/>
      <w:bookmarkStart w:id="30" w:name="_Toc402185493"/>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一</w:t>
      </w: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rPr>
        <w:t>加快交通运输结构调整</w:t>
      </w:r>
      <w:bookmarkEnd w:id="27"/>
      <w:bookmarkEnd w:id="28"/>
      <w:bookmarkEnd w:id="29"/>
      <w:bookmarkEnd w:id="30"/>
    </w:p>
    <w:p w14:paraId="5567D46D">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整体把握好连云区铁、公、水运的发展节奏：加强对铁路交通的倾斜力度，大力提升水运交通的发展力度，继续巩固公路交通的基础地位。依托沿海港口、新亚欧陆海联运通道，打造亚欧重要的国际交通枢纽和智慧物流中心，提高对“一带一路”的支撑能力。</w:t>
      </w:r>
    </w:p>
    <w:p w14:paraId="15610E8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3"/>
        <w:rPr>
          <w:rFonts w:hint="eastAsia" w:ascii="楷体" w:hAnsi="楷体" w:eastAsia="楷体" w:cs="楷体"/>
          <w:b w:val="0"/>
          <w:bCs w:val="0"/>
          <w:sz w:val="32"/>
          <w:szCs w:val="32"/>
        </w:rPr>
      </w:pPr>
      <w:bookmarkStart w:id="31" w:name="_Toc402019157"/>
      <w:bookmarkStart w:id="32" w:name="_Toc401677184"/>
      <w:bookmarkStart w:id="33" w:name="_Toc401676025"/>
      <w:bookmarkStart w:id="34" w:name="_Toc402185495"/>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二</w:t>
      </w: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rPr>
        <w:t>强化东西城区交通一体化发展</w:t>
      </w:r>
      <w:bookmarkEnd w:id="31"/>
      <w:bookmarkEnd w:id="32"/>
      <w:bookmarkEnd w:id="33"/>
      <w:bookmarkEnd w:id="34"/>
    </w:p>
    <w:p w14:paraId="5785724A">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方面，突破行政区划界限，建立和完善边界区域交通规划建设的协调机制，加强与中心城区交通网络的衔接，最大程度发挥组团发展优势；另一方面，抢抓区域重大交通基础设施建设的机遇，强化对接，“跳出连云看交通”，深度参与沿海经济带的发展。</w:t>
      </w:r>
    </w:p>
    <w:p w14:paraId="2D5FC9F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3"/>
        <w:rPr>
          <w:rFonts w:hint="eastAsia" w:ascii="楷体" w:hAnsi="楷体" w:eastAsia="楷体" w:cs="楷体"/>
          <w:b w:val="0"/>
          <w:bCs w:val="0"/>
          <w:sz w:val="32"/>
          <w:szCs w:val="32"/>
        </w:rPr>
      </w:pPr>
      <w:bookmarkStart w:id="35" w:name="_Toc401677183"/>
      <w:bookmarkStart w:id="36" w:name="_Toc402019156"/>
      <w:bookmarkStart w:id="37" w:name="_Toc401676024"/>
      <w:bookmarkStart w:id="38" w:name="_Toc402185494"/>
      <w:bookmarkStart w:id="39" w:name="_Toc402019158"/>
      <w:bookmarkStart w:id="40" w:name="_Toc401677185"/>
      <w:bookmarkStart w:id="41" w:name="_Toc402185496"/>
      <w:bookmarkStart w:id="42" w:name="_Toc401676026"/>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三</w:t>
      </w: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rPr>
        <w:t>完善多种运输方式衔接</w:t>
      </w:r>
      <w:bookmarkEnd w:id="35"/>
      <w:bookmarkEnd w:id="36"/>
      <w:bookmarkEnd w:id="37"/>
      <w:bookmarkEnd w:id="38"/>
    </w:p>
    <w:p w14:paraId="34091998">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综合运输一体化发展的关键环节之一在于综合运输枢纽建设，也是连云区利用铁路资源，推进交通现代化发展的有力抓手。综合运输枢纽建设，将以实现客运零换乘、货运无缝衔接为目标，突出加强交通运输枢纽的整合，引导各种运输场站共建共享和加强连接性设施建设。</w:t>
      </w:r>
    </w:p>
    <w:p w14:paraId="51299F41">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3"/>
        <w:rPr>
          <w:rFonts w:hint="eastAsia" w:ascii="楷体" w:hAnsi="楷体" w:eastAsia="楷体" w:cs="楷体"/>
          <w:b w:val="0"/>
          <w:bCs w:val="0"/>
          <w:sz w:val="32"/>
          <w:szCs w:val="32"/>
        </w:rPr>
      </w:pP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四</w:t>
      </w: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rPr>
        <w:t>加强城乡交通一体化发展</w:t>
      </w:r>
      <w:bookmarkEnd w:id="39"/>
      <w:bookmarkEnd w:id="40"/>
      <w:bookmarkEnd w:id="41"/>
      <w:bookmarkEnd w:id="42"/>
    </w:p>
    <w:p w14:paraId="21CB006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突破城乡交通的壁垒，强化城市交通与乡村交通的衔接。积极发展城乡公交，大力推进运输管理、服务的一体化，最终实现城乡道路运输一体化；推进农村道路与客运站点的建设，提高农村交通公共服务水平，实现城乡基本交通服务均等化。</w:t>
      </w:r>
    </w:p>
    <w:p w14:paraId="2704248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3"/>
        <w:rPr>
          <w:rFonts w:hint="eastAsia" w:ascii="楷体" w:hAnsi="楷体" w:eastAsia="楷体" w:cs="楷体"/>
          <w:b w:val="0"/>
          <w:bCs w:val="0"/>
          <w:sz w:val="32"/>
          <w:szCs w:val="32"/>
        </w:rPr>
      </w:pPr>
      <w:bookmarkStart w:id="43" w:name="_Toc401677186"/>
      <w:bookmarkStart w:id="44" w:name="_Toc401676027"/>
      <w:bookmarkStart w:id="45" w:name="_Toc402019159"/>
      <w:bookmarkStart w:id="46" w:name="_Toc402185497"/>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五</w:t>
      </w: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rPr>
        <w:t>加快交通运输信息化智能化发展</w:t>
      </w:r>
      <w:bookmarkEnd w:id="43"/>
      <w:bookmarkEnd w:id="44"/>
      <w:bookmarkEnd w:id="45"/>
      <w:bookmarkEnd w:id="46"/>
    </w:p>
    <w:p w14:paraId="6FCE0266">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强化行业管理信息系统的建设，整合优化信息系统间互联互通和信息资源综合利用。加快面向物流信息服务和公众出行信息服务的信息服务系统建设。着力提升在运输组织、公众出行、城市客运管理、安全应急保障等领域的信息化智能化水平。</w:t>
      </w:r>
    </w:p>
    <w:p w14:paraId="49B31EDD">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br w:type="page"/>
      </w:r>
    </w:p>
    <w:p w14:paraId="481E385B">
      <w:pPr>
        <w:keepNext w:val="0"/>
        <w:keepLines w:val="0"/>
        <w:pageBreakBefore w:val="0"/>
        <w:widowControl/>
        <w:kinsoku/>
        <w:wordWrap/>
        <w:overflowPunct/>
        <w:topLinePunct w:val="0"/>
        <w:autoSpaceDE/>
        <w:autoSpaceDN/>
        <w:bidi w:val="0"/>
        <w:adjustRightInd/>
        <w:snapToGrid/>
        <w:spacing w:line="560" w:lineRule="exact"/>
        <w:ind w:left="0" w:leftChars="0" w:firstLine="960" w:firstLineChars="300"/>
        <w:jc w:val="both"/>
        <w:textAlignment w:val="auto"/>
        <w:outlineLvl w:val="3"/>
        <w:rPr>
          <w:rFonts w:hint="eastAsia" w:ascii="楷体" w:hAnsi="楷体" w:eastAsia="楷体" w:cs="楷体"/>
          <w:sz w:val="32"/>
          <w:szCs w:val="32"/>
        </w:rPr>
      </w:pPr>
      <w:bookmarkStart w:id="47" w:name="_Toc81203409"/>
      <w:r>
        <w:rPr>
          <w:rFonts w:hint="eastAsia" w:ascii="楷体" w:hAnsi="楷体" w:eastAsia="楷体" w:cs="楷体"/>
          <w:sz w:val="32"/>
          <w:szCs w:val="32"/>
          <w:lang w:val="en-US" w:eastAsia="zh-CN"/>
        </w:rPr>
        <w:t>二、</w:t>
      </w:r>
      <w:r>
        <w:rPr>
          <w:rFonts w:hint="eastAsia" w:ascii="楷体" w:hAnsi="楷体" w:eastAsia="楷体" w:cs="楷体"/>
          <w:sz w:val="32"/>
          <w:szCs w:val="32"/>
        </w:rPr>
        <w:t>主要任务</w:t>
      </w:r>
      <w:bookmarkEnd w:id="47"/>
    </w:p>
    <w:p w14:paraId="1967DCBC">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3"/>
        <w:rPr>
          <w:rFonts w:ascii="Times New Roman" w:hAnsi="Times New Roman" w:eastAsia="仿宋_GB2312" w:cs="Times New Roman"/>
          <w:b/>
          <w:sz w:val="30"/>
          <w:szCs w:val="30"/>
        </w:rPr>
      </w:pPr>
      <w:bookmarkStart w:id="48" w:name="_Toc81203410"/>
      <w:r>
        <w:rPr>
          <w:rFonts w:hint="eastAsia" w:ascii="楷体" w:hAnsi="楷体" w:eastAsia="楷体" w:cs="楷体"/>
          <w:sz w:val="32"/>
          <w:szCs w:val="32"/>
          <w:lang w:val="en-US" w:eastAsia="zh-CN"/>
        </w:rPr>
        <w:t>（一）</w:t>
      </w:r>
      <w:r>
        <w:rPr>
          <w:rFonts w:hint="eastAsia" w:ascii="楷体" w:hAnsi="楷体" w:eastAsia="楷体" w:cs="楷体"/>
          <w:sz w:val="32"/>
          <w:szCs w:val="32"/>
        </w:rPr>
        <w:t>快速通道建设</w:t>
      </w:r>
      <w:bookmarkEnd w:id="48"/>
    </w:p>
    <w:p w14:paraId="7D16823E">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结合新一轮的连云港城市快速通道布局规划，连云区境内将形成“三纵三横”的快速路网布局。“三纵”即228国道大港路至徐新路段快速路及新光路北延、花果山大道快速通道、临洪大道快速路及北延；“三横”即金海大道、大港路高架、临洪大道快速路东方大道支线、港城大道快速路。按照“配置合理、外围发展、衔接畅通”的规划原则，“十四五”期间连云区快速路网规划布局如下：</w:t>
      </w:r>
    </w:p>
    <w:p w14:paraId="0D6AAECB">
      <w:pPr>
        <w:pageBreakBefore w:val="0"/>
        <w:kinsoku/>
        <w:wordWrap/>
        <w:overflowPunct/>
        <w:topLinePunct w:val="0"/>
        <w:autoSpaceDE/>
        <w:autoSpaceDN/>
        <w:bidi w:val="0"/>
        <w:adjustRightInd/>
        <w:snapToGrid/>
        <w:spacing w:line="360" w:lineRule="auto"/>
        <w:ind w:left="51" w:leftChars="0" w:hanging="51" w:hangingChars="17"/>
        <w:jc w:val="both"/>
        <w:rPr>
          <w:rFonts w:ascii="Times New Roman" w:hAnsi="Times New Roman" w:eastAsia="仿宋_GB2312" w:cs="Times New Roman"/>
          <w:b/>
          <w:sz w:val="30"/>
          <w:szCs w:val="30"/>
          <w:lang w:val="zh-CN"/>
        </w:rPr>
      </w:pPr>
      <w:r>
        <w:rPr>
          <w:rFonts w:ascii="Times New Roman" w:hAnsi="Times New Roman" w:eastAsia="仿宋_GB2312" w:cs="Times New Roman"/>
          <w:b/>
          <w:sz w:val="30"/>
          <w:szCs w:val="30"/>
          <w:lang w:val="zh-CN"/>
        </w:rPr>
        <w:drawing>
          <wp:inline distT="0" distB="0" distL="0" distR="0">
            <wp:extent cx="5245735" cy="4765040"/>
            <wp:effectExtent l="0" t="0" r="12065" b="50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6" cstate="print">
                      <a:extLst>
                        <a:ext uri="{28A0092B-C50C-407E-A947-70E740481C1C}">
                          <a14:useLocalDpi xmlns:a14="http://schemas.microsoft.com/office/drawing/2010/main" val="0"/>
                        </a:ext>
                      </a:extLst>
                    </a:blip>
                    <a:srcRect l="10474" t="9873" r="21261" b="2469"/>
                    <a:stretch>
                      <a:fillRect/>
                    </a:stretch>
                  </pic:blipFill>
                  <pic:spPr>
                    <a:xfrm>
                      <a:off x="0" y="0"/>
                      <a:ext cx="5245735" cy="4765040"/>
                    </a:xfrm>
                    <a:prstGeom prst="rect">
                      <a:avLst/>
                    </a:prstGeom>
                    <a:noFill/>
                    <a:ln>
                      <a:noFill/>
                    </a:ln>
                  </pic:spPr>
                </pic:pic>
              </a:graphicData>
            </a:graphic>
          </wp:inline>
        </w:drawing>
      </w:r>
    </w:p>
    <w:p w14:paraId="33752C90">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1.</w:t>
      </w:r>
      <w:r>
        <w:rPr>
          <w:rFonts w:hint="eastAsia" w:ascii="楷体" w:hAnsi="楷体" w:eastAsia="楷体" w:cs="楷体"/>
          <w:sz w:val="32"/>
          <w:szCs w:val="32"/>
          <w:lang w:val="zh-CN"/>
        </w:rPr>
        <w:t>连云-海州组团</w:t>
      </w:r>
    </w:p>
    <w:p w14:paraId="7733872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1</w:t>
      </w:r>
      <w:r>
        <w:rPr>
          <w:rFonts w:hint="eastAsia" w:ascii="楷体" w:hAnsi="楷体" w:eastAsia="楷体" w:cs="楷体"/>
          <w:sz w:val="32"/>
          <w:szCs w:val="32"/>
          <w:lang w:val="zh-CN"/>
        </w:rPr>
        <w:t>）港城大道快速化改造</w:t>
      </w:r>
    </w:p>
    <w:p w14:paraId="7EDBBC31">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起于凌洲路路口，向北至新光路路口，全长17.8公里，现状基本为双八主干道。港城大道作为港城一体化的交通支撑轴线，沿途有19个平交道口，建议改造方案采用归并次要路口、重要道路交叉口修建立交桥、取消部分红绿灯等方式提升通行效率，重点优先考虑处理与BRT的关系，在新光路节点、花果山大道（体育中心）节点、振华路节点、凌州路节点增设上跨立交桥，工程计划总投资约25亿元。</w:t>
      </w:r>
    </w:p>
    <w:p w14:paraId="0366252F">
      <w:pPr>
        <w:pageBreakBefore w:val="0"/>
        <w:kinsoku/>
        <w:wordWrap/>
        <w:overflowPunct/>
        <w:topLinePunct w:val="0"/>
        <w:autoSpaceDE/>
        <w:autoSpaceDN/>
        <w:bidi w:val="0"/>
        <w:adjustRightInd/>
        <w:snapToGrid/>
        <w:spacing w:line="360" w:lineRule="auto"/>
        <w:ind w:left="0" w:leftChars="0" w:firstLine="480" w:firstLineChars="200"/>
        <w:jc w:val="both"/>
        <w:rPr>
          <w:rFonts w:ascii="Times New Roman" w:hAnsi="Times New Roman" w:eastAsia="仿宋_GB2312" w:cs="Times New Roman"/>
          <w:sz w:val="30"/>
          <w:szCs w:val="30"/>
          <w:lang w:val="zh-CN"/>
        </w:rPr>
      </w:pPr>
      <w:r>
        <w:drawing>
          <wp:inline distT="0" distB="0" distL="114300" distR="114300">
            <wp:extent cx="4226560" cy="3231515"/>
            <wp:effectExtent l="0" t="0" r="1016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4226560" cy="3231515"/>
                    </a:xfrm>
                    <a:prstGeom prst="rect">
                      <a:avLst/>
                    </a:prstGeom>
                    <a:noFill/>
                    <a:ln>
                      <a:noFill/>
                    </a:ln>
                  </pic:spPr>
                </pic:pic>
              </a:graphicData>
            </a:graphic>
          </wp:inline>
        </w:drawing>
      </w:r>
    </w:p>
    <w:p w14:paraId="380C0470">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a.与BRT的关系处理</w:t>
      </w:r>
    </w:p>
    <w:p w14:paraId="5C28D36A">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可将站台设置于支路路口或路段上，右进右出处理，也可设置在主、次干路重要路口，跨线桥设置在现状BRT站台两侧，避免影响现状BRT站台。</w:t>
      </w:r>
    </w:p>
    <w:p w14:paraId="606D8121">
      <w:pPr>
        <w:pageBreakBefore w:val="0"/>
        <w:kinsoku/>
        <w:wordWrap/>
        <w:overflowPunct/>
        <w:topLinePunct w:val="0"/>
        <w:autoSpaceDE/>
        <w:autoSpaceDN/>
        <w:bidi w:val="0"/>
        <w:adjustRightInd/>
        <w:snapToGrid/>
        <w:spacing w:line="360" w:lineRule="auto"/>
        <w:ind w:left="0" w:leftChars="0"/>
        <w:jc w:val="both"/>
        <w:rPr>
          <w:rFonts w:ascii="Times New Roman" w:hAnsi="Times New Roman" w:eastAsia="仿宋_GB2312" w:cs="Times New Roman"/>
          <w:sz w:val="30"/>
          <w:szCs w:val="30"/>
        </w:rPr>
      </w:pPr>
      <w:r>
        <w:drawing>
          <wp:inline distT="0" distB="0" distL="114300" distR="114300">
            <wp:extent cx="5271135" cy="1441450"/>
            <wp:effectExtent l="0" t="0" r="5715"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8"/>
                    <a:stretch>
                      <a:fillRect/>
                    </a:stretch>
                  </pic:blipFill>
                  <pic:spPr>
                    <a:xfrm>
                      <a:off x="0" y="0"/>
                      <a:ext cx="5271135" cy="1441450"/>
                    </a:xfrm>
                    <a:prstGeom prst="rect">
                      <a:avLst/>
                    </a:prstGeom>
                    <a:noFill/>
                    <a:ln>
                      <a:noFill/>
                    </a:ln>
                  </pic:spPr>
                </pic:pic>
              </a:graphicData>
            </a:graphic>
          </wp:inline>
        </w:drawing>
      </w:r>
    </w:p>
    <w:p w14:paraId="19170522">
      <w:pPr>
        <w:pageBreakBefore w:val="0"/>
        <w:kinsoku/>
        <w:wordWrap/>
        <w:overflowPunct/>
        <w:topLinePunct w:val="0"/>
        <w:autoSpaceDE/>
        <w:autoSpaceDN/>
        <w:bidi w:val="0"/>
        <w:adjustRightInd/>
        <w:snapToGrid/>
        <w:spacing w:line="360" w:lineRule="auto"/>
        <w:ind w:left="0" w:leftChars="0" w:firstLine="480" w:firstLineChars="200"/>
        <w:jc w:val="both"/>
        <w:rPr>
          <w:rFonts w:ascii="Times New Roman" w:hAnsi="Times New Roman" w:eastAsia="仿宋_GB2312" w:cs="Times New Roman"/>
          <w:sz w:val="30"/>
          <w:szCs w:val="30"/>
          <w:lang w:val="zh-CN"/>
        </w:rPr>
      </w:pPr>
      <w:r>
        <w:drawing>
          <wp:inline distT="0" distB="0" distL="114300" distR="114300">
            <wp:extent cx="5213985" cy="1546225"/>
            <wp:effectExtent l="0" t="0" r="5715" b="15875"/>
            <wp:docPr id="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l="5176" t="32794" r="3870" b="34667"/>
                    <a:stretch>
                      <a:fillRect/>
                    </a:stretch>
                  </pic:blipFill>
                  <pic:spPr>
                    <a:xfrm>
                      <a:off x="0" y="0"/>
                      <a:ext cx="5213985" cy="1546225"/>
                    </a:xfrm>
                    <a:prstGeom prst="roundRect">
                      <a:avLst>
                        <a:gd name="adj" fmla="val 8594"/>
                      </a:avLst>
                    </a:prstGeom>
                    <a:solidFill>
                      <a:srgbClr val="FFFFFF">
                        <a:shade val="85000"/>
                      </a:srgbClr>
                    </a:solidFill>
                    <a:ln>
                      <a:noFill/>
                    </a:ln>
                    <a:effectLst/>
                  </pic:spPr>
                </pic:pic>
              </a:graphicData>
            </a:graphic>
          </wp:inline>
        </w:drawing>
      </w:r>
    </w:p>
    <w:p w14:paraId="2525CB4B">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b.新光路节点</w:t>
      </w:r>
    </w:p>
    <w:p w14:paraId="1C9118D3">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新光路为快速路，设置三层菱形互通，保证直行交通快速通过。</w:t>
      </w:r>
    </w:p>
    <w:p w14:paraId="2A248EB2">
      <w:pPr>
        <w:pageBreakBefore w:val="0"/>
        <w:kinsoku/>
        <w:wordWrap/>
        <w:overflowPunct/>
        <w:topLinePunct w:val="0"/>
        <w:autoSpaceDE/>
        <w:autoSpaceDN/>
        <w:bidi w:val="0"/>
        <w:adjustRightInd/>
        <w:snapToGrid/>
        <w:spacing w:line="360" w:lineRule="auto"/>
        <w:ind w:left="0" w:leftChars="0" w:firstLine="480" w:firstLineChars="200"/>
        <w:jc w:val="both"/>
      </w:pPr>
      <w:r>
        <w:drawing>
          <wp:inline distT="0" distB="0" distL="114300" distR="114300">
            <wp:extent cx="4206240" cy="2320290"/>
            <wp:effectExtent l="0" t="0" r="3810" b="381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0">
                      <a:extLst>
                        <a:ext uri="{28A0092B-C50C-407E-A947-70E740481C1C}">
                          <a14:useLocalDpi xmlns:a14="http://schemas.microsoft.com/office/drawing/2010/main" val="0"/>
                        </a:ext>
                      </a:extLst>
                    </a:blip>
                    <a:srcRect l="27413" t="16031" r="10539" b="33648"/>
                    <a:stretch>
                      <a:fillRect/>
                    </a:stretch>
                  </pic:blipFill>
                  <pic:spPr>
                    <a:xfrm>
                      <a:off x="0" y="0"/>
                      <a:ext cx="4206240" cy="2320290"/>
                    </a:xfrm>
                    <a:prstGeom prst="rect">
                      <a:avLst/>
                    </a:prstGeom>
                    <a:noFill/>
                    <a:ln>
                      <a:noFill/>
                    </a:ln>
                    <a:effectLst/>
                  </pic:spPr>
                </pic:pic>
              </a:graphicData>
            </a:graphic>
          </wp:inline>
        </w:drawing>
      </w:r>
    </w:p>
    <w:p w14:paraId="6646D690">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其余节点位于海州区及开发区范围，相应的快速化改造已处于规划阶段，需从市级层面推动项目开展落地。</w:t>
      </w:r>
    </w:p>
    <w:p w14:paraId="31A1ACC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2</w:t>
      </w:r>
      <w:r>
        <w:rPr>
          <w:rFonts w:hint="eastAsia" w:ascii="楷体" w:hAnsi="楷体" w:eastAsia="楷体" w:cs="楷体"/>
          <w:sz w:val="32"/>
          <w:szCs w:val="32"/>
          <w:lang w:val="zh-CN"/>
        </w:rPr>
        <w:t>）金海大道建设及快速化改造</w:t>
      </w:r>
    </w:p>
    <w:p w14:paraId="70B00808">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rPr>
        <w:t>推进金海大道建设贯通及快速化改造，由金海大道—临洪大道北延—鸿海路—新光路北延围合形成连云新城快速内环通道，断面形式采用主辅路的形式，保证内部车行道快速通行。道路全长6.51km，</w:t>
      </w:r>
      <w:r>
        <w:rPr>
          <w:rFonts w:hint="eastAsia" w:ascii="Times New Roman" w:hAnsi="Times New Roman" w:eastAsia="仿宋_GB2312" w:cs="Times New Roman"/>
          <w:sz w:val="32"/>
          <w:szCs w:val="32"/>
          <w:lang w:val="zh-CN"/>
        </w:rPr>
        <w:t>其中新光路—鹰游山路段利用老路1.12km，新建鹰游山路—临洪大道北延段5.39km，</w:t>
      </w:r>
      <w:r>
        <w:rPr>
          <w:rFonts w:hint="eastAsia" w:ascii="Times New Roman" w:hAnsi="Times New Roman" w:eastAsia="仿宋_GB2312" w:cs="Times New Roman"/>
          <w:sz w:val="32"/>
          <w:szCs w:val="32"/>
        </w:rPr>
        <w:t>保留新光路、汇海路、鹰游山路、汇晶路、花果山大道、大浦路、临洪大道北延共7处主干路交叉口，采用信号灯控制，其余道路封闭主辅路侧分隔带，采用右进右出</w:t>
      </w:r>
      <w:r>
        <w:rPr>
          <w:rFonts w:hint="eastAsia" w:ascii="Times New Roman" w:hAnsi="Times New Roman" w:eastAsia="仿宋_GB2312" w:cs="Times New Roman"/>
          <w:sz w:val="32"/>
          <w:szCs w:val="32"/>
          <w:lang w:val="zh-CN"/>
        </w:rPr>
        <w:t>。</w:t>
      </w:r>
    </w:p>
    <w:p w14:paraId="27A314C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3</w:t>
      </w:r>
      <w:r>
        <w:rPr>
          <w:rFonts w:hint="eastAsia" w:ascii="楷体" w:hAnsi="楷体" w:eastAsia="楷体" w:cs="楷体"/>
          <w:sz w:val="32"/>
          <w:szCs w:val="32"/>
          <w:lang w:val="zh-CN"/>
        </w:rPr>
        <w:t>）汇晶路快速路建设</w:t>
      </w:r>
    </w:p>
    <w:p w14:paraId="7863E93B">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在连云港市总体规划中，汇晶路（大港路—港城大道段）为规划“一环五联七射”快速路网中的一联，联系连云—海州组团。但总规中汇晶路（海滨大道—大港路段）为城市次干路，且在入海水道景观水体之间断开，无法有效沟通连云新城。2019年3月，我市出台了《关于深入推进连云新城开发建设的实施方案》，强调了汇晶路作为连云新城主要快速通道出入口的功能，相关上位规划尚在研究阶段，旨在实现连云新城范围道路全线贯通。</w:t>
      </w:r>
    </w:p>
    <w:p w14:paraId="318DE6A4">
      <w:pPr>
        <w:pageBreakBefore w:val="0"/>
        <w:kinsoku/>
        <w:wordWrap/>
        <w:overflowPunct/>
        <w:topLinePunct w:val="0"/>
        <w:autoSpaceDE/>
        <w:autoSpaceDN/>
        <w:bidi w:val="0"/>
        <w:adjustRightInd/>
        <w:snapToGrid/>
        <w:spacing w:line="360" w:lineRule="auto"/>
        <w:ind w:left="0" w:leftChars="0" w:firstLine="354" w:firstLineChars="118"/>
        <w:jc w:val="both"/>
      </w:pPr>
      <w:r>
        <w:rPr>
          <w:rFonts w:ascii="Times New Roman" w:hAnsi="Times New Roman" w:eastAsia="仿宋_GB2312" w:cs="Times New Roman"/>
          <w:sz w:val="30"/>
          <w:szCs w:val="30"/>
        </w:rPr>
        <mc:AlternateContent>
          <mc:Choice Requires="wps">
            <w:drawing>
              <wp:anchor distT="0" distB="0" distL="114300" distR="114300" simplePos="0" relativeHeight="251689984" behindDoc="0" locked="0" layoutInCell="1" allowOverlap="1">
                <wp:simplePos x="0" y="0"/>
                <wp:positionH relativeFrom="margin">
                  <wp:posOffset>3422650</wp:posOffset>
                </wp:positionH>
                <wp:positionV relativeFrom="paragraph">
                  <wp:posOffset>1683385</wp:posOffset>
                </wp:positionV>
                <wp:extent cx="401320" cy="211455"/>
                <wp:effectExtent l="12700" t="12700" r="88900" b="187325"/>
                <wp:wrapNone/>
                <wp:docPr id="84" name="对话气泡: 矩形 84"/>
                <wp:cNvGraphicFramePr/>
                <a:graphic xmlns:a="http://schemas.openxmlformats.org/drawingml/2006/main">
                  <a:graphicData uri="http://schemas.microsoft.com/office/word/2010/wordprocessingShape">
                    <wps:wsp>
                      <wps:cNvSpPr/>
                      <wps:spPr>
                        <a:xfrm>
                          <a:off x="0" y="0"/>
                          <a:ext cx="401320" cy="211455"/>
                        </a:xfrm>
                        <a:prstGeom prst="wedgeRectCallout">
                          <a:avLst>
                            <a:gd name="adj1" fmla="val 67198"/>
                            <a:gd name="adj2" fmla="val 132335"/>
                          </a:avLst>
                        </a:prstGeom>
                        <a:solidFill>
                          <a:srgbClr val="0000FF"/>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F969DA">
                            <w:pPr>
                              <w:spacing w:before="100" w:beforeAutospacing="1" w:line="200" w:lineRule="atLeast"/>
                              <w:jc w:val="center"/>
                              <w:rPr>
                                <w:rFonts w:ascii="黑体" w:hAnsi="黑体" w:eastAsia="黑体"/>
                                <w:b/>
                                <w:bCs/>
                                <w:sz w:val="15"/>
                                <w:szCs w:val="15"/>
                              </w:rPr>
                            </w:pPr>
                            <w:r>
                              <w:rPr>
                                <w:rFonts w:hint="eastAsia" w:ascii="黑体" w:hAnsi="黑体" w:eastAsia="黑体"/>
                                <w:b/>
                                <w:bCs/>
                                <w:sz w:val="15"/>
                                <w:szCs w:val="15"/>
                              </w:rPr>
                              <w:t>汇晶路</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对话气泡: 矩形 84" o:spid="_x0000_s1026" o:spt="61" type="#_x0000_t61" style="position:absolute;left:0pt;margin-left:269.5pt;margin-top:132.55pt;height:16.65pt;width:31.6pt;mso-position-horizontal-relative:margin;z-index:251689984;mso-width-relative:page;mso-height-relative:page;" fillcolor="#0000FF" filled="t" stroked="t" coordsize="21600,21600" o:gfxdata="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pObVWNkAAAALAQAADwAAAAAAAAABACAAAAAiAAAAZHJzL2Rvd25yZXYueG1sUEsB&#10;AhQAFAAAAAgAh07iQIK35gmfAgAAQwUAAA4AAAAAAAAAAQAgAAAAKAEAAGRycy9lMm9Eb2MueG1s&#10;UEsFBgAAAAAGAAYAWQEAADkGAAAAAA==&#10;" adj="25315,39384">
                <v:fill on="t" focussize="0,0"/>
                <v:stroke weight="2pt" color="#0000FF [3204]" joinstyle="round"/>
                <v:imagedata o:title=""/>
                <o:lock v:ext="edit" aspectratio="f"/>
                <v:textbox inset="0mm,0mm,0mm,0mm">
                  <w:txbxContent>
                    <w:p w14:paraId="53F969DA">
                      <w:pPr>
                        <w:spacing w:before="100" w:beforeAutospacing="1" w:line="200" w:lineRule="atLeast"/>
                        <w:jc w:val="center"/>
                        <w:rPr>
                          <w:rFonts w:ascii="黑体" w:hAnsi="黑体" w:eastAsia="黑体"/>
                          <w:b/>
                          <w:bCs/>
                          <w:sz w:val="15"/>
                          <w:szCs w:val="15"/>
                        </w:rPr>
                      </w:pPr>
                      <w:r>
                        <w:rPr>
                          <w:rFonts w:hint="eastAsia" w:ascii="黑体" w:hAnsi="黑体" w:eastAsia="黑体"/>
                          <w:b/>
                          <w:bCs/>
                          <w:sz w:val="15"/>
                          <w:szCs w:val="15"/>
                        </w:rPr>
                        <w:t>汇晶路</w:t>
                      </w:r>
                    </w:p>
                  </w:txbxContent>
                </v:textbox>
              </v:shap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88960" behindDoc="0" locked="0" layoutInCell="1" allowOverlap="1">
                <wp:simplePos x="0" y="0"/>
                <wp:positionH relativeFrom="margin">
                  <wp:posOffset>755650</wp:posOffset>
                </wp:positionH>
                <wp:positionV relativeFrom="paragraph">
                  <wp:posOffset>1894840</wp:posOffset>
                </wp:positionV>
                <wp:extent cx="401320" cy="211455"/>
                <wp:effectExtent l="12700" t="12700" r="88900" b="187325"/>
                <wp:wrapNone/>
                <wp:docPr id="83" name="对话气泡: 矩形 83"/>
                <wp:cNvGraphicFramePr/>
                <a:graphic xmlns:a="http://schemas.openxmlformats.org/drawingml/2006/main">
                  <a:graphicData uri="http://schemas.microsoft.com/office/word/2010/wordprocessingShape">
                    <wps:wsp>
                      <wps:cNvSpPr/>
                      <wps:spPr>
                        <a:xfrm>
                          <a:off x="0" y="0"/>
                          <a:ext cx="401320" cy="211455"/>
                        </a:xfrm>
                        <a:prstGeom prst="wedgeRectCallout">
                          <a:avLst>
                            <a:gd name="adj1" fmla="val 67198"/>
                            <a:gd name="adj2" fmla="val 132335"/>
                          </a:avLst>
                        </a:prstGeom>
                        <a:solidFill>
                          <a:srgbClr val="0000FF"/>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1F5B3F">
                            <w:pPr>
                              <w:spacing w:before="100" w:beforeAutospacing="1" w:line="200" w:lineRule="atLeast"/>
                              <w:jc w:val="center"/>
                              <w:rPr>
                                <w:rFonts w:ascii="黑体" w:hAnsi="黑体" w:eastAsia="黑体"/>
                                <w:b/>
                                <w:bCs/>
                                <w:sz w:val="15"/>
                                <w:szCs w:val="15"/>
                              </w:rPr>
                            </w:pPr>
                            <w:r>
                              <w:rPr>
                                <w:rFonts w:hint="eastAsia" w:ascii="黑体" w:hAnsi="黑体" w:eastAsia="黑体"/>
                                <w:b/>
                                <w:bCs/>
                                <w:sz w:val="15"/>
                                <w:szCs w:val="15"/>
                              </w:rPr>
                              <w:t>汇晶路</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对话气泡: 矩形 83" o:spid="_x0000_s1026" o:spt="61" type="#_x0000_t61" style="position:absolute;left:0pt;margin-left:59.5pt;margin-top:149.2pt;height:16.65pt;width:31.6pt;mso-position-horizontal-relative:margin;z-index:251688960;mso-width-relative:page;mso-height-relative:page;" fillcolor="#0000FF" filled="t" stroked="t" coordsize="21600,21600" o:gfxdata="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nSn0rXAAAACwEAAA8AAAAAAAAAAQAgAAAAIgAAAGRycy9kb3ducmV2LnhtbFBLAQIU&#10;ABQAAAAIAIdO4kAYGOnenwIAAEMFAAAOAAAAAAAAAAEAIAAAACYBAABkcnMvZTJvRG9jLnhtbFBL&#10;BQYAAAAABgAGAFkBAAA3BgAAAAA=&#10;" adj="25315,39384">
                <v:fill on="t" focussize="0,0"/>
                <v:stroke weight="2pt" color="#0000FF [3204]" joinstyle="round"/>
                <v:imagedata o:title=""/>
                <o:lock v:ext="edit" aspectratio="f"/>
                <v:textbox inset="0mm,0mm,0mm,0mm">
                  <w:txbxContent>
                    <w:p w14:paraId="071F5B3F">
                      <w:pPr>
                        <w:spacing w:before="100" w:beforeAutospacing="1" w:line="200" w:lineRule="atLeast"/>
                        <w:jc w:val="center"/>
                        <w:rPr>
                          <w:rFonts w:ascii="黑体" w:hAnsi="黑体" w:eastAsia="黑体"/>
                          <w:b/>
                          <w:bCs/>
                          <w:sz w:val="15"/>
                          <w:szCs w:val="15"/>
                        </w:rPr>
                      </w:pPr>
                      <w:r>
                        <w:rPr>
                          <w:rFonts w:hint="eastAsia" w:ascii="黑体" w:hAnsi="黑体" w:eastAsia="黑体"/>
                          <w:b/>
                          <w:bCs/>
                          <w:sz w:val="15"/>
                          <w:szCs w:val="15"/>
                        </w:rPr>
                        <w:t>汇晶路</w:t>
                      </w:r>
                    </w:p>
                  </w:txbxContent>
                </v:textbox>
              </v:shape>
            </w:pict>
          </mc:Fallback>
        </mc:AlternateContent>
      </w:r>
      <w:r>
        <w:drawing>
          <wp:anchor distT="0" distB="0" distL="114300" distR="114300" simplePos="0" relativeHeight="251687936" behindDoc="0" locked="0" layoutInCell="1" allowOverlap="1">
            <wp:simplePos x="0" y="0"/>
            <wp:positionH relativeFrom="column">
              <wp:posOffset>2040890</wp:posOffset>
            </wp:positionH>
            <wp:positionV relativeFrom="paragraph">
              <wp:posOffset>106680</wp:posOffset>
            </wp:positionV>
            <wp:extent cx="544830" cy="763905"/>
            <wp:effectExtent l="0" t="0" r="3810" b="13335"/>
            <wp:wrapNone/>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4830" cy="764095"/>
                    </a:xfrm>
                    <a:prstGeom prst="rect">
                      <a:avLst/>
                    </a:prstGeom>
                  </pic:spPr>
                </pic:pic>
              </a:graphicData>
            </a:graphic>
          </wp:anchor>
        </w:drawing>
      </w:r>
      <w:r>
        <w:drawing>
          <wp:anchor distT="0" distB="0" distL="114300" distR="114300" simplePos="0" relativeHeight="251686912" behindDoc="0" locked="0" layoutInCell="1" allowOverlap="1">
            <wp:simplePos x="0" y="0"/>
            <wp:positionH relativeFrom="column">
              <wp:posOffset>4378960</wp:posOffset>
            </wp:positionH>
            <wp:positionV relativeFrom="paragraph">
              <wp:posOffset>104140</wp:posOffset>
            </wp:positionV>
            <wp:extent cx="753745" cy="665480"/>
            <wp:effectExtent l="0" t="0" r="8255" b="5080"/>
            <wp:wrapNone/>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22" cstate="print">
                      <a:extLst>
                        <a:ext uri="{28A0092B-C50C-407E-A947-70E740481C1C}">
                          <a14:useLocalDpi xmlns:a14="http://schemas.microsoft.com/office/drawing/2010/main" val="0"/>
                        </a:ext>
                      </a:extLst>
                    </a:blip>
                    <a:srcRect t="18631"/>
                    <a:stretch>
                      <a:fillRect/>
                    </a:stretch>
                  </pic:blipFill>
                  <pic:spPr>
                    <a:xfrm>
                      <a:off x="0" y="0"/>
                      <a:ext cx="753745" cy="665480"/>
                    </a:xfrm>
                    <a:prstGeom prst="rect">
                      <a:avLst/>
                    </a:prstGeom>
                    <a:ln>
                      <a:noFill/>
                    </a:ln>
                  </pic:spPr>
                </pic:pic>
              </a:graphicData>
            </a:graphic>
          </wp:anchor>
        </w:drawing>
      </w:r>
      <w:r>
        <w:rPr>
          <w:rFonts w:hint="eastAsia"/>
          <w:lang w:val="en-US" w:eastAsia="zh-CN"/>
        </w:rPr>
        <w:t xml:space="preserve"> </w:t>
      </w:r>
      <w:r>
        <w:drawing>
          <wp:inline distT="0" distB="0" distL="0" distR="0">
            <wp:extent cx="2266950" cy="3766185"/>
            <wp:effectExtent l="0" t="0" r="3810" b="133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3"/>
                    <a:stretch>
                      <a:fillRect/>
                    </a:stretch>
                  </pic:blipFill>
                  <pic:spPr>
                    <a:xfrm>
                      <a:off x="0" y="0"/>
                      <a:ext cx="2281510" cy="3790614"/>
                    </a:xfrm>
                    <a:prstGeom prst="rect">
                      <a:avLst/>
                    </a:prstGeom>
                  </pic:spPr>
                </pic:pic>
              </a:graphicData>
            </a:graphic>
          </wp:inline>
        </w:drawing>
      </w:r>
      <w:r>
        <w:t xml:space="preserve">  </w:t>
      </w:r>
      <w:r>
        <w:rPr>
          <w:rFonts w:hint="eastAsia"/>
          <w:lang w:val="en-US" w:eastAsia="zh-CN"/>
        </w:rPr>
        <w:t xml:space="preserve">  </w:t>
      </w:r>
      <w:r>
        <w:t xml:space="preserve"> </w:t>
      </w:r>
      <w:r>
        <w:drawing>
          <wp:inline distT="0" distB="0" distL="0" distR="0">
            <wp:extent cx="2319655" cy="3766185"/>
            <wp:effectExtent l="0" t="0" r="12065" b="1333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24"/>
                    <a:stretch>
                      <a:fillRect/>
                    </a:stretch>
                  </pic:blipFill>
                  <pic:spPr>
                    <a:xfrm>
                      <a:off x="0" y="0"/>
                      <a:ext cx="2349203" cy="3813708"/>
                    </a:xfrm>
                    <a:prstGeom prst="rect">
                      <a:avLst/>
                    </a:prstGeom>
                  </pic:spPr>
                </pic:pic>
              </a:graphicData>
            </a:graphic>
          </wp:inline>
        </w:drawing>
      </w:r>
    </w:p>
    <w:p w14:paraId="577A8286">
      <w:pPr>
        <w:keepNext w:val="0"/>
        <w:keepLines w:val="0"/>
        <w:pageBreakBefore w:val="0"/>
        <w:widowControl/>
        <w:kinsoku/>
        <w:wordWrap/>
        <w:overflowPunct/>
        <w:topLinePunct w:val="0"/>
        <w:autoSpaceDE/>
        <w:autoSpaceDN/>
        <w:bidi w:val="0"/>
        <w:adjustRightInd/>
        <w:snapToGrid/>
        <w:spacing w:line="560" w:lineRule="exact"/>
        <w:ind w:left="0" w:leftChars="0" w:firstLine="330" w:firstLineChars="118"/>
        <w:jc w:val="center"/>
        <w:textAlignment w:val="auto"/>
        <w:rPr>
          <w:rFonts w:ascii="黑体" w:hAnsi="黑体" w:eastAsia="黑体" w:cs="Times New Roman"/>
          <w:sz w:val="28"/>
          <w:szCs w:val="28"/>
        </w:rPr>
      </w:pPr>
      <w:r>
        <w:rPr>
          <w:rFonts w:hint="eastAsia" w:ascii="黑体" w:hAnsi="黑体" w:eastAsia="黑体" w:cs="Times New Roman"/>
          <w:sz w:val="28"/>
          <w:szCs w:val="28"/>
        </w:rPr>
        <w:t xml:space="preserve">总规汇晶路定位 </w:t>
      </w:r>
      <w:r>
        <w:rPr>
          <w:rFonts w:ascii="黑体" w:hAnsi="黑体" w:eastAsia="黑体" w:cs="Times New Roman"/>
          <w:sz w:val="28"/>
          <w:szCs w:val="28"/>
        </w:rPr>
        <w:t xml:space="preserve">               </w:t>
      </w:r>
      <w:r>
        <w:rPr>
          <w:rFonts w:hint="eastAsia" w:ascii="黑体" w:hAnsi="黑体" w:eastAsia="黑体" w:cs="Times New Roman"/>
          <w:sz w:val="28"/>
          <w:szCs w:val="28"/>
        </w:rPr>
        <w:t>实施方案汇晶路定位</w:t>
      </w:r>
    </w:p>
    <w:p w14:paraId="59733C5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汇晶路（大港路—东方大道段）长3.44km，现状为城市主干路，规划快速路形式为主线全线高架，地面辅路平交。</w:t>
      </w:r>
      <w:r>
        <w:rPr>
          <w:rFonts w:hint="eastAsia" w:ascii="Times New Roman" w:hAnsi="Times New Roman" w:eastAsia="仿宋_GB2312" w:cs="Times New Roman"/>
          <w:sz w:val="32"/>
          <w:szCs w:val="32"/>
          <w:lang w:val="zh-CN"/>
        </w:rPr>
        <w:t>汇晶路（东方大道—港城大道段）规划长度2.5km，</w:t>
      </w:r>
      <w:r>
        <w:rPr>
          <w:rFonts w:hint="eastAsia" w:ascii="Times New Roman" w:hAnsi="Times New Roman" w:eastAsia="仿宋_GB2312" w:cs="Times New Roman"/>
          <w:sz w:val="32"/>
          <w:szCs w:val="32"/>
        </w:rPr>
        <w:t>推荐地面快速路方案。与港城大道及陇海铁路节点，受标高及用地限制，推荐汇晶路主线下穿铁路、近期与港城大道平交，远期Y形立交（港城大道下穿）。本路段近期节点平交，总投资约2.8亿元，远期节点立交改造约3.1亿元。</w:t>
      </w:r>
    </w:p>
    <w:p w14:paraId="78EFF6D3">
      <w:pPr>
        <w:pageBreakBefore w:val="0"/>
        <w:kinsoku/>
        <w:wordWrap/>
        <w:overflowPunct/>
        <w:topLinePunct w:val="0"/>
        <w:autoSpaceDE/>
        <w:autoSpaceDN/>
        <w:bidi w:val="0"/>
        <w:adjustRightInd/>
        <w:snapToGrid/>
        <w:spacing w:line="360" w:lineRule="auto"/>
        <w:ind w:left="195" w:leftChars="0" w:hanging="195" w:hangingChars="65"/>
        <w:jc w:val="both"/>
        <w:rPr>
          <w:rFonts w:ascii="Times New Roman" w:hAnsi="Times New Roman" w:eastAsia="仿宋_GB2312" w:cs="Times New Roman"/>
          <w:sz w:val="30"/>
          <w:szCs w:val="30"/>
        </w:rPr>
      </w:pPr>
      <w:r>
        <w:rPr>
          <w:rFonts w:ascii="Times New Roman" w:hAnsi="Times New Roman" w:eastAsia="仿宋_GB2312" w:cs="Times New Roman"/>
          <w:sz w:val="30"/>
          <w:szCs w:val="30"/>
        </w:rPr>
        <w:drawing>
          <wp:inline distT="0" distB="0" distL="0" distR="0">
            <wp:extent cx="5274310" cy="1646555"/>
            <wp:effectExtent l="0" t="0" r="13970" b="14605"/>
            <wp:docPr id="686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11" name="图片 2"/>
                    <pic:cNvPicPr>
                      <a:picLocks noChangeAspect="1" noChangeArrowheads="1"/>
                    </pic:cNvPicPr>
                  </pic:nvPicPr>
                  <pic:blipFill>
                    <a:blip r:embed="rId25" cstate="print">
                      <a:extLst>
                        <a:ext uri="{28A0092B-C50C-407E-A947-70E740481C1C}">
                          <a14:useLocalDpi xmlns:a14="http://schemas.microsoft.com/office/drawing/2010/main" val="0"/>
                        </a:ext>
                      </a:extLst>
                    </a:blip>
                    <a:srcRect t="7805"/>
                    <a:stretch>
                      <a:fillRect/>
                    </a:stretch>
                  </pic:blipFill>
                  <pic:spPr>
                    <a:xfrm>
                      <a:off x="0" y="0"/>
                      <a:ext cx="5274310" cy="1646555"/>
                    </a:xfrm>
                    <a:prstGeom prst="rect">
                      <a:avLst/>
                    </a:prstGeom>
                    <a:noFill/>
                    <a:ln>
                      <a:noFill/>
                    </a:ln>
                  </pic:spPr>
                </pic:pic>
              </a:graphicData>
            </a:graphic>
          </wp:inline>
        </w:drawing>
      </w:r>
    </w:p>
    <w:p w14:paraId="65425719">
      <w:pPr>
        <w:pageBreakBefore w:val="0"/>
        <w:kinsoku/>
        <w:wordWrap/>
        <w:overflowPunct/>
        <w:topLinePunct w:val="0"/>
        <w:autoSpaceDE/>
        <w:autoSpaceDN/>
        <w:bidi w:val="0"/>
        <w:adjustRightInd/>
        <w:snapToGrid/>
        <w:spacing w:line="360" w:lineRule="auto"/>
        <w:ind w:left="478" w:leftChars="0" w:hanging="478" w:hangingChars="171"/>
        <w:jc w:val="center"/>
        <w:rPr>
          <w:rFonts w:ascii="黑体" w:hAnsi="黑体" w:eastAsia="黑体" w:cs="Times New Roman"/>
          <w:sz w:val="28"/>
          <w:szCs w:val="28"/>
        </w:rPr>
      </w:pPr>
      <w:r>
        <w:rPr>
          <w:rFonts w:hint="eastAsia" w:ascii="黑体" w:hAnsi="黑体" w:eastAsia="黑体" w:cs="Times New Roman"/>
          <w:sz w:val="28"/>
          <w:szCs w:val="28"/>
        </w:rPr>
        <w:t>汇晶路（东方大道—港城大道段）推荐断面</w:t>
      </w:r>
    </w:p>
    <w:p w14:paraId="15150E96">
      <w:pPr>
        <w:pageBreakBefore w:val="0"/>
        <w:kinsoku/>
        <w:wordWrap/>
        <w:overflowPunct/>
        <w:topLinePunct w:val="0"/>
        <w:autoSpaceDE/>
        <w:autoSpaceDN/>
        <w:bidi w:val="0"/>
        <w:adjustRightInd/>
        <w:snapToGrid/>
        <w:spacing w:line="360" w:lineRule="auto"/>
        <w:ind w:left="124" w:leftChars="0" w:hanging="124" w:hangingChars="52"/>
        <w:jc w:val="both"/>
        <w:rPr>
          <w:rFonts w:ascii="Times New Roman" w:hAnsi="Times New Roman" w:eastAsia="仿宋_GB2312" w:cs="Times New Roman"/>
          <w:sz w:val="30"/>
          <w:szCs w:val="30"/>
          <w:lang w:val="zh-CN"/>
        </w:rPr>
      </w:pPr>
      <w:r>
        <w:drawing>
          <wp:inline distT="0" distB="0" distL="0" distR="0">
            <wp:extent cx="5274310" cy="3554730"/>
            <wp:effectExtent l="0" t="0" r="13970" b="1143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26"/>
                    <a:stretch>
                      <a:fillRect/>
                    </a:stretch>
                  </pic:blipFill>
                  <pic:spPr>
                    <a:xfrm>
                      <a:off x="0" y="0"/>
                      <a:ext cx="5274310" cy="3554730"/>
                    </a:xfrm>
                    <a:prstGeom prst="rect">
                      <a:avLst/>
                    </a:prstGeom>
                  </pic:spPr>
                </pic:pic>
              </a:graphicData>
            </a:graphic>
          </wp:inline>
        </w:drawing>
      </w:r>
    </w:p>
    <w:p w14:paraId="1EAD3E70">
      <w:pPr>
        <w:pageBreakBefore w:val="0"/>
        <w:kinsoku/>
        <w:wordWrap/>
        <w:overflowPunct/>
        <w:topLinePunct w:val="0"/>
        <w:autoSpaceDE/>
        <w:autoSpaceDN/>
        <w:bidi w:val="0"/>
        <w:adjustRightInd/>
        <w:snapToGrid/>
        <w:spacing w:line="360" w:lineRule="auto"/>
        <w:ind w:left="478" w:leftChars="0" w:hanging="478" w:hangingChars="171"/>
        <w:jc w:val="center"/>
        <w:rPr>
          <w:rFonts w:ascii="Times New Roman" w:hAnsi="Times New Roman" w:eastAsia="仿宋_GB2312" w:cs="Times New Roman"/>
          <w:sz w:val="30"/>
          <w:szCs w:val="30"/>
          <w:lang w:val="zh-CN"/>
        </w:rPr>
      </w:pPr>
      <w:r>
        <w:rPr>
          <w:rFonts w:hint="eastAsia" w:ascii="黑体" w:hAnsi="黑体" w:eastAsia="黑体" w:cs="Times New Roman"/>
          <w:sz w:val="28"/>
          <w:szCs w:val="28"/>
        </w:rPr>
        <w:t>汇晶路与港城大道节点推荐方案</w:t>
      </w:r>
    </w:p>
    <w:p w14:paraId="0C5BE644">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4</w:t>
      </w:r>
      <w:r>
        <w:rPr>
          <w:rFonts w:hint="eastAsia" w:ascii="楷体" w:hAnsi="楷体" w:eastAsia="楷体" w:cs="楷体"/>
          <w:sz w:val="32"/>
          <w:szCs w:val="32"/>
          <w:lang w:val="zh-CN"/>
        </w:rPr>
        <w:t>）临洪大道新建工程</w:t>
      </w:r>
    </w:p>
    <w:p w14:paraId="785DE819">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主线起点是204国道，经连云港站北广场，沿临洪大道至大港路，全长23.7公里，计划总投资约60亿。这条规划道路不仅是连云港站北广场对外连接的通道，也是海州区至连云区、开发区的一条北线快速通道，同时联系G228、S242、G310、G204多条国省道，建成后必将促进海州、连云两区的快速融合和协调发展。</w:t>
      </w:r>
    </w:p>
    <w:p w14:paraId="703F4068">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rPr>
        <w:t>同步推进临洪大道北延段快速化规划研究，与金海大道、新光路北延、大港路形成连云新城快速环线。</w:t>
      </w:r>
    </w:p>
    <w:p w14:paraId="52023883">
      <w:pPr>
        <w:pageBreakBefore w:val="0"/>
        <w:kinsoku/>
        <w:wordWrap/>
        <w:overflowPunct/>
        <w:topLinePunct w:val="0"/>
        <w:autoSpaceDE/>
        <w:autoSpaceDN/>
        <w:bidi w:val="0"/>
        <w:adjustRightInd/>
        <w:snapToGrid/>
        <w:spacing w:line="360" w:lineRule="auto"/>
        <w:ind w:left="0" w:leftChars="0"/>
        <w:jc w:val="both"/>
        <w:rPr>
          <w:rFonts w:ascii="Times New Roman" w:hAnsi="Times New Roman" w:eastAsia="仿宋_GB2312" w:cs="Times New Roman"/>
          <w:sz w:val="30"/>
          <w:szCs w:val="30"/>
        </w:rPr>
      </w:pPr>
      <w:r>
        <w:rPr>
          <w:rFonts w:ascii="Times New Roman" w:hAnsi="Times New Roman" w:eastAsia="仿宋_GB2312" w:cs="Times New Roman"/>
          <w:sz w:val="30"/>
          <w:szCs w:val="30"/>
        </w:rPr>
        <w:drawing>
          <wp:inline distT="0" distB="0" distL="0" distR="0">
            <wp:extent cx="5085080" cy="2992120"/>
            <wp:effectExtent l="0" t="0" r="5080" b="10160"/>
            <wp:docPr id="22" name="Picture 3" descr="G:\57 连云港快速路\12 规划修编\3 修编成果\20161012布局方案\图1 快速通道布局方案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 descr="G:\57 连云港快速路\12 规划修编\3 修编成果\20161012布局方案\图1 快速通道布局方案图.jpg"/>
                    <pic:cNvPicPr>
                      <a:picLocks noChangeAspect="1" noChangeArrowheads="1"/>
                    </pic:cNvPicPr>
                  </pic:nvPicPr>
                  <pic:blipFill>
                    <a:blip r:embed="rId27" cstate="print">
                      <a:extLst>
                        <a:ext uri="{BEBA8EAE-BF5A-486C-A8C5-ECC9F3942E4B}">
                          <a14:imgProps xmlns:a14="http://schemas.microsoft.com/office/drawing/2010/main">
                            <a14:imgLayer r:embed="rId28">
                              <a14:imgEffect>
                                <a14:colorTemperature colorTemp="5900"/>
                              </a14:imgEffect>
                              <a14:imgEffect>
                                <a14:saturation sat="66000"/>
                              </a14:imgEffect>
                            </a14:imgLayer>
                          </a14:imgProps>
                        </a:ext>
                        <a:ext uri="{28A0092B-C50C-407E-A947-70E740481C1C}">
                          <a14:useLocalDpi xmlns:a14="http://schemas.microsoft.com/office/drawing/2010/main" val="0"/>
                        </a:ext>
                      </a:extLst>
                    </a:blip>
                    <a:srcRect l="8879" t="41574" r="33345" b="33794"/>
                    <a:stretch>
                      <a:fillRect/>
                    </a:stretch>
                  </pic:blipFill>
                  <pic:spPr>
                    <a:xfrm>
                      <a:off x="0" y="0"/>
                      <a:ext cx="5085080" cy="2992897"/>
                    </a:xfrm>
                    <a:prstGeom prst="rect">
                      <a:avLst/>
                    </a:prstGeom>
                    <a:noFill/>
                    <a:ln>
                      <a:noFill/>
                    </a:ln>
                  </pic:spPr>
                </pic:pic>
              </a:graphicData>
            </a:graphic>
          </wp:inline>
        </w:drawing>
      </w:r>
      <w:r>
        <w:rPr>
          <w:rFonts w:ascii="Times New Roman" w:hAnsi="Times New Roman" w:eastAsia="仿宋_GB2312" w:cs="Times New Roman"/>
          <w:sz w:val="30"/>
          <w:szCs w:val="30"/>
        </w:rPr>
        <mc:AlternateContent>
          <mc:Choice Requires="wps">
            <w:drawing>
              <wp:anchor distT="0" distB="0" distL="114300" distR="114300" simplePos="0" relativeHeight="251685888" behindDoc="0" locked="0" layoutInCell="1" allowOverlap="1">
                <wp:simplePos x="0" y="0"/>
                <wp:positionH relativeFrom="column">
                  <wp:posOffset>3309620</wp:posOffset>
                </wp:positionH>
                <wp:positionV relativeFrom="paragraph">
                  <wp:posOffset>525780</wp:posOffset>
                </wp:positionV>
                <wp:extent cx="602615" cy="196215"/>
                <wp:effectExtent l="209550" t="0" r="26035" b="241935"/>
                <wp:wrapNone/>
                <wp:docPr id="15" name="对话气泡: 矩形 15"/>
                <wp:cNvGraphicFramePr/>
                <a:graphic xmlns:a="http://schemas.openxmlformats.org/drawingml/2006/main">
                  <a:graphicData uri="http://schemas.microsoft.com/office/word/2010/wordprocessingShape">
                    <wps:wsp>
                      <wps:cNvSpPr/>
                      <wps:spPr>
                        <a:xfrm>
                          <a:off x="0" y="0"/>
                          <a:ext cx="602615" cy="196215"/>
                        </a:xfrm>
                        <a:prstGeom prst="wedgeRectCallout">
                          <a:avLst>
                            <a:gd name="adj1" fmla="val -83866"/>
                            <a:gd name="adj2" fmla="val 166906"/>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D0D001">
                            <w:pPr>
                              <w:spacing w:before="100" w:beforeAutospacing="1" w:line="200" w:lineRule="atLeast"/>
                              <w:jc w:val="center"/>
                              <w:rPr>
                                <w:rFonts w:ascii="黑体" w:hAnsi="黑体" w:eastAsia="黑体"/>
                                <w:b/>
                                <w:bCs/>
                                <w:sz w:val="15"/>
                                <w:szCs w:val="15"/>
                              </w:rPr>
                            </w:pPr>
                            <w:r>
                              <w:rPr>
                                <w:rFonts w:hint="eastAsia" w:ascii="黑体" w:hAnsi="黑体" w:eastAsia="黑体"/>
                                <w:b/>
                                <w:bCs/>
                                <w:sz w:val="15"/>
                                <w:szCs w:val="15"/>
                              </w:rPr>
                              <w:t>新光路北延</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对话气泡: 矩形 15" o:spid="_x0000_s1026" o:spt="61" type="#_x0000_t61" style="position:absolute;left:0pt;margin-left:260.6pt;margin-top:41.4pt;height:15.45pt;width:47.45pt;z-index:251685888;mso-width-relative:page;mso-height-relative:page;" fillcolor="#FF0000" filled="t" stroked="t" coordsize="21600,21600" o:gfxdata="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OdeUJrYAAAACgEAAA8AAAAAAAAAAQAgAAAAIgAAAGRycy9kb3ducmV2LnhtbFBL&#10;AQIUABQAAAAIAIdO4kC+wdbOoQIAAEQFAAAOAAAAAAAAAAEAIAAAACcBAABkcnMvZTJvRG9jLnht&#10;bFBLBQYAAAAABgAGAFkBAAA6BgAAAAA=&#10;" adj="-7315,46852">
                <v:fill on="t" focussize="0,0"/>
                <v:stroke weight="2pt" color="#FF0000 [3204]" joinstyle="round"/>
                <v:imagedata o:title=""/>
                <o:lock v:ext="edit" aspectratio="f"/>
                <v:textbox inset="0mm,0mm,0mm,0mm">
                  <w:txbxContent>
                    <w:p w14:paraId="3FD0D001">
                      <w:pPr>
                        <w:spacing w:before="100" w:beforeAutospacing="1" w:line="200" w:lineRule="atLeast"/>
                        <w:jc w:val="center"/>
                        <w:rPr>
                          <w:rFonts w:ascii="黑体" w:hAnsi="黑体" w:eastAsia="黑体"/>
                          <w:b/>
                          <w:bCs/>
                          <w:sz w:val="15"/>
                          <w:szCs w:val="15"/>
                        </w:rPr>
                      </w:pPr>
                      <w:r>
                        <w:rPr>
                          <w:rFonts w:hint="eastAsia" w:ascii="黑体" w:hAnsi="黑体" w:eastAsia="黑体"/>
                          <w:b/>
                          <w:bCs/>
                          <w:sz w:val="15"/>
                          <w:szCs w:val="15"/>
                        </w:rPr>
                        <w:t>新光路北延</w:t>
                      </w:r>
                    </w:p>
                  </w:txbxContent>
                </v:textbox>
              </v:shap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83840" behindDoc="0" locked="0" layoutInCell="1" allowOverlap="1">
                <wp:simplePos x="0" y="0"/>
                <wp:positionH relativeFrom="margin">
                  <wp:posOffset>2661285</wp:posOffset>
                </wp:positionH>
                <wp:positionV relativeFrom="paragraph">
                  <wp:posOffset>264795</wp:posOffset>
                </wp:positionV>
                <wp:extent cx="452120" cy="211455"/>
                <wp:effectExtent l="152400" t="0" r="24130" b="131445"/>
                <wp:wrapNone/>
                <wp:docPr id="13" name="对话气泡: 矩形 13"/>
                <wp:cNvGraphicFramePr/>
                <a:graphic xmlns:a="http://schemas.openxmlformats.org/drawingml/2006/main">
                  <a:graphicData uri="http://schemas.microsoft.com/office/word/2010/wordprocessingShape">
                    <wps:wsp>
                      <wps:cNvSpPr/>
                      <wps:spPr>
                        <a:xfrm>
                          <a:off x="0" y="0"/>
                          <a:ext cx="452120" cy="211455"/>
                        </a:xfrm>
                        <a:prstGeom prst="wedgeRectCallout">
                          <a:avLst>
                            <a:gd name="adj1" fmla="val -81565"/>
                            <a:gd name="adj2" fmla="val 97847"/>
                          </a:avLst>
                        </a:prstGeom>
                        <a:solidFill>
                          <a:srgbClr val="0000FF"/>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29CF9F">
                            <w:pPr>
                              <w:spacing w:before="100" w:beforeAutospacing="1" w:line="200" w:lineRule="atLeast"/>
                              <w:jc w:val="center"/>
                              <w:rPr>
                                <w:rFonts w:ascii="黑体" w:hAnsi="黑体" w:eastAsia="黑体"/>
                                <w:b/>
                                <w:bCs/>
                                <w:sz w:val="15"/>
                                <w:szCs w:val="15"/>
                              </w:rPr>
                            </w:pPr>
                            <w:r>
                              <w:rPr>
                                <w:rFonts w:hint="eastAsia" w:ascii="黑体" w:hAnsi="黑体" w:eastAsia="黑体"/>
                                <w:b/>
                                <w:bCs/>
                                <w:sz w:val="15"/>
                                <w:szCs w:val="15"/>
                              </w:rPr>
                              <w:t>金海大道</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对话气泡: 矩形 13" o:spid="_x0000_s1026" o:spt="61" type="#_x0000_t61" style="position:absolute;left:0pt;margin-left:209.55pt;margin-top:20.85pt;height:16.65pt;width:35.6pt;mso-position-horizontal-relative:margin;z-index:251683840;mso-width-relative:page;mso-height-relative:page;" fillcolor="#0000FF" filled="t" stroked="t" coordsize="21600,21600" o:gfxdata="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WLXYH1gAAAAkBAAAPAAAAAAAAAAEAIAAAACIAAABkcnMvZG93bnJldi54bWxQSwEC&#10;FAAUAAAACACHTuJAtyxEhKECAABDBQAADgAAAAAAAAABACAAAAAlAQAAZHJzL2Uyb0RvYy54bWxQ&#10;SwUGAAAAAAYABgBZAQAAOAYAAAAA&#10;" adj="-6818,31935">
                <v:fill on="t" focussize="0,0"/>
                <v:stroke weight="2pt" color="#0000FF [3204]" joinstyle="round"/>
                <v:imagedata o:title=""/>
                <o:lock v:ext="edit" aspectratio="f"/>
                <v:textbox inset="0mm,0mm,0mm,0mm">
                  <w:txbxContent>
                    <w:p w14:paraId="7E29CF9F">
                      <w:pPr>
                        <w:spacing w:before="100" w:beforeAutospacing="1" w:line="200" w:lineRule="atLeast"/>
                        <w:jc w:val="center"/>
                        <w:rPr>
                          <w:rFonts w:ascii="黑体" w:hAnsi="黑体" w:eastAsia="黑体"/>
                          <w:b/>
                          <w:bCs/>
                          <w:sz w:val="15"/>
                          <w:szCs w:val="15"/>
                        </w:rPr>
                      </w:pPr>
                      <w:r>
                        <w:rPr>
                          <w:rFonts w:hint="eastAsia" w:ascii="黑体" w:hAnsi="黑体" w:eastAsia="黑体"/>
                          <w:b/>
                          <w:bCs/>
                          <w:sz w:val="15"/>
                          <w:szCs w:val="15"/>
                        </w:rPr>
                        <w:t>金海大道</w:t>
                      </w:r>
                    </w:p>
                  </w:txbxContent>
                </v:textbox>
              </v:shap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84864" behindDoc="0" locked="0" layoutInCell="1" allowOverlap="1">
                <wp:simplePos x="0" y="0"/>
                <wp:positionH relativeFrom="column">
                  <wp:posOffset>3074035</wp:posOffset>
                </wp:positionH>
                <wp:positionV relativeFrom="paragraph">
                  <wp:posOffset>694690</wp:posOffset>
                </wp:positionV>
                <wp:extent cx="90805" cy="445770"/>
                <wp:effectExtent l="0" t="0" r="23495" b="11430"/>
                <wp:wrapNone/>
                <wp:docPr id="14" name="任意多边形: 形状 14"/>
                <wp:cNvGraphicFramePr/>
                <a:graphic xmlns:a="http://schemas.openxmlformats.org/drawingml/2006/main">
                  <a:graphicData uri="http://schemas.microsoft.com/office/word/2010/wordprocessingShape">
                    <wps:wsp>
                      <wps:cNvSpPr/>
                      <wps:spPr>
                        <a:xfrm>
                          <a:off x="0" y="0"/>
                          <a:ext cx="90805" cy="445770"/>
                        </a:xfrm>
                        <a:custGeom>
                          <a:avLst/>
                          <a:gdLst>
                            <a:gd name="connsiteX0" fmla="*/ 91096 w 91096"/>
                            <a:gd name="connsiteY0" fmla="*/ 0 h 445971"/>
                            <a:gd name="connsiteX1" fmla="*/ 31719 w 91096"/>
                            <a:gd name="connsiteY1" fmla="*/ 130628 h 445971"/>
                            <a:gd name="connsiteX2" fmla="*/ 7969 w 91096"/>
                            <a:gd name="connsiteY2" fmla="*/ 332509 h 445971"/>
                            <a:gd name="connsiteX3" fmla="*/ 3399 w 91096"/>
                            <a:gd name="connsiteY3" fmla="*/ 445971 h 445971"/>
                            <a:gd name="connsiteX4" fmla="*/ 52071 w 87697"/>
                            <a:gd name="connsiteY4" fmla="*/ 629392 h 629392"/>
                            <a:gd name="connsiteX5" fmla="*/ 248014 w 248014"/>
                            <a:gd name="connsiteY5" fmla="*/ 789709 h 789709"/>
                            <a:gd name="connsiteX6" fmla="*/ 550835 w 550835"/>
                            <a:gd name="connsiteY6" fmla="*/ 902524 h 902524"/>
                            <a:gd name="connsiteX7" fmla="*/ 871468 w 871468"/>
                            <a:gd name="connsiteY7" fmla="*/ 1021278 h 1021278"/>
                            <a:gd name="connsiteX8" fmla="*/ 1251479 w 1251479"/>
                            <a:gd name="connsiteY8" fmla="*/ 1205345 h 1205345"/>
                            <a:gd name="connsiteX9" fmla="*/ 1263354 w 1263354"/>
                            <a:gd name="connsiteY9" fmla="*/ 1270660 h 1270660"/>
                            <a:gd name="connsiteX10" fmla="*/ 1334606 w 1334606"/>
                            <a:gd name="connsiteY10" fmla="*/ 1330036 h 1330036"/>
                            <a:gd name="connsiteX11" fmla="*/ 1506798 w 1506798"/>
                            <a:gd name="connsiteY11" fmla="*/ 1371600 h 1371600"/>
                            <a:gd name="connsiteX12" fmla="*/ 1958061 w 1958061"/>
                            <a:gd name="connsiteY12" fmla="*/ 1888176 h 1888176"/>
                          </a:gdLst>
                          <a:ahLst/>
                          <a:cxnLst>
                            <a:cxn ang="0">
                              <a:pos x="connsiteX0" y="connsiteY0"/>
                            </a:cxn>
                            <a:cxn ang="0">
                              <a:pos x="connsiteX1" y="connsiteY1"/>
                            </a:cxn>
                            <a:cxn ang="0">
                              <a:pos x="connsiteX2" y="connsiteY2"/>
                            </a:cxn>
                            <a:cxn ang="0">
                              <a:pos x="connsiteX3" y="connsiteY3"/>
                            </a:cxn>
                          </a:cxnLst>
                          <a:rect l="l" t="t" r="r" b="b"/>
                          <a:pathLst>
                            <a:path w="91096" h="445971">
                              <a:moveTo>
                                <a:pt x="91096" y="0"/>
                              </a:moveTo>
                              <a:cubicBezTo>
                                <a:pt x="68334" y="37605"/>
                                <a:pt x="45573" y="75210"/>
                                <a:pt x="31719" y="130628"/>
                              </a:cubicBezTo>
                              <a:cubicBezTo>
                                <a:pt x="17864" y="186046"/>
                                <a:pt x="12689" y="279952"/>
                                <a:pt x="7969" y="332509"/>
                              </a:cubicBezTo>
                              <a:cubicBezTo>
                                <a:pt x="3249" y="385066"/>
                                <a:pt x="-4518" y="396491"/>
                                <a:pt x="3399" y="445971"/>
                              </a:cubicBezTo>
                            </a:path>
                          </a:pathLst>
                        </a:cu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14" o:spid="_x0000_s1026" o:spt="100" style="position:absolute;left:0pt;margin-left:242.05pt;margin-top:54.7pt;height:35.1pt;width:7.15pt;z-index:251684864;v-text-anchor:middle;mso-width-relative:page;mso-height-relative:page;" filled="f" stroked="t" coordsize="91096,445971" o:gfxdata="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" path="m91096,0c68334,37605,45573,75210,31719,130628c17864,186046,12689,279952,7969,332509c3249,385066,-4518,396491,3399,445971e">
                <v:path o:connectlocs="90805,0;31617,130569;7943,332359;3388,445770" o:connectangles="0,0,0,0"/>
                <v:fill on="f" focussize="0,0"/>
                <v:stroke weight="2pt" color="#0000FF [3204]" joinstyle="round"/>
                <v:imagedata o:title=""/>
                <o:lock v:ext="edit" aspectratio="f"/>
              </v:shap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82816" behindDoc="0" locked="0" layoutInCell="1" allowOverlap="1">
                <wp:simplePos x="0" y="0"/>
                <wp:positionH relativeFrom="column">
                  <wp:posOffset>2310765</wp:posOffset>
                </wp:positionH>
                <wp:positionV relativeFrom="paragraph">
                  <wp:posOffset>488315</wp:posOffset>
                </wp:positionV>
                <wp:extent cx="793115" cy="321310"/>
                <wp:effectExtent l="0" t="0" r="26035" b="21590"/>
                <wp:wrapNone/>
                <wp:docPr id="12" name="任意多边形: 形状 12"/>
                <wp:cNvGraphicFramePr/>
                <a:graphic xmlns:a="http://schemas.openxmlformats.org/drawingml/2006/main">
                  <a:graphicData uri="http://schemas.microsoft.com/office/word/2010/wordprocessingShape">
                    <wps:wsp>
                      <wps:cNvSpPr/>
                      <wps:spPr>
                        <a:xfrm>
                          <a:off x="0" y="0"/>
                          <a:ext cx="793115" cy="321310"/>
                        </a:xfrm>
                        <a:custGeom>
                          <a:avLst/>
                          <a:gdLst>
                            <a:gd name="connsiteX0" fmla="*/ 0 w 793699"/>
                            <a:gd name="connsiteY0" fmla="*/ 0 h 321869"/>
                            <a:gd name="connsiteX1" fmla="*/ 607162 w 793699"/>
                            <a:gd name="connsiteY1" fmla="*/ 256032 h 321869"/>
                            <a:gd name="connsiteX2" fmla="*/ 793699 w 793699"/>
                            <a:gd name="connsiteY2" fmla="*/ 321869 h 321869"/>
                          </a:gdLst>
                          <a:ahLst/>
                          <a:cxnLst>
                            <a:cxn ang="0">
                              <a:pos x="connsiteX0" y="connsiteY0"/>
                            </a:cxn>
                            <a:cxn ang="0">
                              <a:pos x="connsiteX1" y="connsiteY1"/>
                            </a:cxn>
                            <a:cxn ang="0">
                              <a:pos x="connsiteX2" y="connsiteY2"/>
                            </a:cxn>
                          </a:cxnLst>
                          <a:rect l="l" t="t" r="r" b="b"/>
                          <a:pathLst>
                            <a:path w="793699" h="321869">
                              <a:moveTo>
                                <a:pt x="0" y="0"/>
                              </a:moveTo>
                              <a:lnTo>
                                <a:pt x="607162" y="256032"/>
                              </a:lnTo>
                              <a:cubicBezTo>
                                <a:pt x="739445" y="309677"/>
                                <a:pt x="770534" y="304800"/>
                                <a:pt x="793699" y="321869"/>
                              </a:cubicBezTo>
                            </a:path>
                          </a:pathLst>
                        </a:cu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12" o:spid="_x0000_s1026" o:spt="100" style="position:absolute;left:0pt;margin-left:181.95pt;margin-top:38.45pt;height:25.3pt;width:62.45pt;z-index:251682816;v-text-anchor:middle;mso-width-relative:page;mso-height-relative:page;" filled="f" stroked="t" coordsize="793699,321869" o:gfxdata="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" path="m0,0l607162,256032c739445,309677,770534,304800,793699,321869e">
                <v:path o:connectlocs="0,0;606715,255587;793115,321310" o:connectangles="0,0,0"/>
                <v:fill on="f" focussize="0,0"/>
                <v:stroke weight="2pt" color="#0000FF [3204]" joinstyle="round"/>
                <v:imagedata o:title=""/>
                <o:lock v:ext="edit" aspectratio="f"/>
              </v:shap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62336" behindDoc="0" locked="0" layoutInCell="1" allowOverlap="1">
                <wp:simplePos x="0" y="0"/>
                <wp:positionH relativeFrom="margin">
                  <wp:posOffset>1270000</wp:posOffset>
                </wp:positionH>
                <wp:positionV relativeFrom="paragraph">
                  <wp:posOffset>332740</wp:posOffset>
                </wp:positionV>
                <wp:extent cx="661670" cy="211455"/>
                <wp:effectExtent l="0" t="0" r="157480" b="207645"/>
                <wp:wrapNone/>
                <wp:docPr id="28" name="对话气泡: 矩形 28"/>
                <wp:cNvGraphicFramePr/>
                <a:graphic xmlns:a="http://schemas.openxmlformats.org/drawingml/2006/main">
                  <a:graphicData uri="http://schemas.microsoft.com/office/word/2010/wordprocessingShape">
                    <wps:wsp>
                      <wps:cNvSpPr/>
                      <wps:spPr>
                        <a:xfrm>
                          <a:off x="0" y="0"/>
                          <a:ext cx="661670" cy="211455"/>
                        </a:xfrm>
                        <a:prstGeom prst="wedgeRectCallout">
                          <a:avLst>
                            <a:gd name="adj1" fmla="val 67198"/>
                            <a:gd name="adj2" fmla="val 132335"/>
                          </a:avLst>
                        </a:prstGeom>
                        <a:solidFill>
                          <a:srgbClr val="0000FF"/>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82B758">
                            <w:pPr>
                              <w:spacing w:before="100" w:beforeAutospacing="1" w:line="200" w:lineRule="atLeast"/>
                              <w:jc w:val="center"/>
                              <w:rPr>
                                <w:rFonts w:ascii="黑体" w:hAnsi="黑体" w:eastAsia="黑体"/>
                                <w:b/>
                                <w:bCs/>
                                <w:sz w:val="15"/>
                                <w:szCs w:val="15"/>
                              </w:rPr>
                            </w:pPr>
                            <w:r>
                              <w:rPr>
                                <w:rFonts w:hint="eastAsia" w:ascii="黑体" w:hAnsi="黑体" w:eastAsia="黑体"/>
                                <w:b/>
                                <w:bCs/>
                                <w:sz w:val="15"/>
                                <w:szCs w:val="15"/>
                              </w:rPr>
                              <w:t>临洪大道北延</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对话气泡: 矩形 28" o:spid="_x0000_s1026" o:spt="61" type="#_x0000_t61" style="position:absolute;left:0pt;margin-left:100pt;margin-top:26.2pt;height:16.65pt;width:52.1pt;mso-position-horizontal-relative:margin;z-index:251662336;mso-width-relative:page;mso-height-relative:page;" fillcolor="#0000FF" filled="t" stroked="t" coordsize="21600,21600" o:gfxdata="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EHc0Q1wAAAAkBAAAPAAAAAAAAAAEAIAAAACIAAABkcnMvZG93bnJldi54bWxQSwEC&#10;FAAUAAAACACHTuJAXZeFjKACAABDBQAADgAAAAAAAAABACAAAAAmAQAAZHJzL2Uyb0RvYy54bWxQ&#10;SwUGAAAAAAYABgBZAQAAOAYAAAAA&#10;" adj="25315,39384">
                <v:fill on="t" focussize="0,0"/>
                <v:stroke weight="2pt" color="#0000FF [3204]" joinstyle="round"/>
                <v:imagedata o:title=""/>
                <o:lock v:ext="edit" aspectratio="f"/>
                <v:textbox inset="0mm,0mm,0mm,0mm">
                  <w:txbxContent>
                    <w:p w14:paraId="5082B758">
                      <w:pPr>
                        <w:spacing w:before="100" w:beforeAutospacing="1" w:line="200" w:lineRule="atLeast"/>
                        <w:jc w:val="center"/>
                        <w:rPr>
                          <w:rFonts w:ascii="黑体" w:hAnsi="黑体" w:eastAsia="黑体"/>
                          <w:b/>
                          <w:bCs/>
                          <w:sz w:val="15"/>
                          <w:szCs w:val="15"/>
                        </w:rPr>
                      </w:pPr>
                      <w:r>
                        <w:rPr>
                          <w:rFonts w:hint="eastAsia" w:ascii="黑体" w:hAnsi="黑体" w:eastAsia="黑体"/>
                          <w:b/>
                          <w:bCs/>
                          <w:sz w:val="15"/>
                          <w:szCs w:val="15"/>
                        </w:rPr>
                        <w:t>临洪大道北延</w:t>
                      </w:r>
                    </w:p>
                  </w:txbxContent>
                </v:textbox>
              </v:shap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81792" behindDoc="0" locked="0" layoutInCell="1" allowOverlap="1">
                <wp:simplePos x="0" y="0"/>
                <wp:positionH relativeFrom="column">
                  <wp:posOffset>1972310</wp:posOffset>
                </wp:positionH>
                <wp:positionV relativeFrom="paragraph">
                  <wp:posOffset>493395</wp:posOffset>
                </wp:positionV>
                <wp:extent cx="325120" cy="394970"/>
                <wp:effectExtent l="0" t="0" r="17780" b="24130"/>
                <wp:wrapNone/>
                <wp:docPr id="10" name="任意多边形: 形状 10"/>
                <wp:cNvGraphicFramePr/>
                <a:graphic xmlns:a="http://schemas.openxmlformats.org/drawingml/2006/main">
                  <a:graphicData uri="http://schemas.microsoft.com/office/word/2010/wordprocessingShape">
                    <wps:wsp>
                      <wps:cNvSpPr/>
                      <wps:spPr>
                        <a:xfrm>
                          <a:off x="0" y="0"/>
                          <a:ext cx="325120" cy="394970"/>
                        </a:xfrm>
                        <a:custGeom>
                          <a:avLst/>
                          <a:gdLst>
                            <a:gd name="connsiteX0" fmla="*/ 0 w 325526"/>
                            <a:gd name="connsiteY0" fmla="*/ 395021 h 395021"/>
                            <a:gd name="connsiteX1" fmla="*/ 62179 w 325526"/>
                            <a:gd name="connsiteY1" fmla="*/ 281636 h 395021"/>
                            <a:gd name="connsiteX2" fmla="*/ 109728 w 325526"/>
                            <a:gd name="connsiteY2" fmla="*/ 187739 h 395021"/>
                            <a:gd name="connsiteX3" fmla="*/ 248731 w 325526"/>
                            <a:gd name="connsiteY3" fmla="*/ 47576 h 395021"/>
                            <a:gd name="connsiteX4" fmla="*/ 325526 w 325526"/>
                            <a:gd name="connsiteY4" fmla="*/ 0 h 395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5526" h="395021">
                              <a:moveTo>
                                <a:pt x="0" y="395021"/>
                              </a:moveTo>
                              <a:cubicBezTo>
                                <a:pt x="21945" y="352959"/>
                                <a:pt x="43891" y="316183"/>
                                <a:pt x="62179" y="281636"/>
                              </a:cubicBezTo>
                              <a:cubicBezTo>
                                <a:pt x="80467" y="247089"/>
                                <a:pt x="78636" y="226749"/>
                                <a:pt x="109728" y="187739"/>
                              </a:cubicBezTo>
                              <a:cubicBezTo>
                                <a:pt x="140820" y="148729"/>
                                <a:pt x="212765" y="78866"/>
                                <a:pt x="248731" y="47576"/>
                              </a:cubicBezTo>
                              <a:cubicBezTo>
                                <a:pt x="284697" y="16286"/>
                                <a:pt x="315373" y="8811"/>
                                <a:pt x="325526" y="0"/>
                              </a:cubicBezTo>
                            </a:path>
                          </a:pathLst>
                        </a:cu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10" o:spid="_x0000_s1026" o:spt="100" style="position:absolute;left:0pt;margin-left:155.3pt;margin-top:38.85pt;height:31.1pt;width:25.6pt;z-index:251681792;v-text-anchor:middle;mso-width-relative:page;mso-height-relative:page;" filled="f" stroked="t" coordsize="325526,395021" o:gfxdata="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" path="m0,395021c21945,352959,43891,316183,62179,281636c80467,247089,78636,226749,109728,187739c140820,148729,212765,78866,248731,47576c284697,16286,315373,8811,325526,0e">
                <v:path o:connectlocs="0,394970;62101,281599;109591,187714;248420,47569;325120,0" o:connectangles="0,0,0,0,0"/>
                <v:fill on="f" focussize="0,0"/>
                <v:stroke weight="2pt" color="#0000FF [3204]" joinstyle="round"/>
                <v:imagedata o:title=""/>
                <o:lock v:ext="edit" aspectratio="f"/>
              </v:shap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61312" behindDoc="0" locked="0" layoutInCell="1" allowOverlap="1">
                <wp:simplePos x="0" y="0"/>
                <wp:positionH relativeFrom="column">
                  <wp:posOffset>1169035</wp:posOffset>
                </wp:positionH>
                <wp:positionV relativeFrom="paragraph">
                  <wp:posOffset>852170</wp:posOffset>
                </wp:positionV>
                <wp:extent cx="805180" cy="2060575"/>
                <wp:effectExtent l="0" t="0" r="14605" b="15875"/>
                <wp:wrapNone/>
                <wp:docPr id="27" name="任意多边形: 形状 27"/>
                <wp:cNvGraphicFramePr/>
                <a:graphic xmlns:a="http://schemas.openxmlformats.org/drawingml/2006/main">
                  <a:graphicData uri="http://schemas.microsoft.com/office/word/2010/wordprocessingShape">
                    <wps:wsp>
                      <wps:cNvSpPr/>
                      <wps:spPr>
                        <a:xfrm>
                          <a:off x="0" y="0"/>
                          <a:ext cx="804990" cy="2060589"/>
                        </a:xfrm>
                        <a:custGeom>
                          <a:avLst/>
                          <a:gdLst>
                            <a:gd name="connsiteX0" fmla="*/ 805348 w 805348"/>
                            <a:gd name="connsiteY0" fmla="*/ 0 h 2061261"/>
                            <a:gd name="connsiteX1" fmla="*/ 716637 w 805348"/>
                            <a:gd name="connsiteY1" fmla="*/ 238836 h 2061261"/>
                            <a:gd name="connsiteX2" fmla="*/ 696166 w 805348"/>
                            <a:gd name="connsiteY2" fmla="*/ 511791 h 2061261"/>
                            <a:gd name="connsiteX3" fmla="*/ 675694 w 805348"/>
                            <a:gd name="connsiteY3" fmla="*/ 668740 h 2061261"/>
                            <a:gd name="connsiteX4" fmla="*/ 470978 w 805348"/>
                            <a:gd name="connsiteY4" fmla="*/ 1071349 h 2061261"/>
                            <a:gd name="connsiteX5" fmla="*/ 320852 w 805348"/>
                            <a:gd name="connsiteY5" fmla="*/ 1344305 h 2061261"/>
                            <a:gd name="connsiteX6" fmla="*/ 141021 w 805348"/>
                            <a:gd name="connsiteY6" fmla="*/ 1892429 h 2061261"/>
                            <a:gd name="connsiteX7" fmla="*/ 0 w 805348"/>
                            <a:gd name="connsiteY7" fmla="*/ 2061261 h 20612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05348" h="2061261">
                              <a:moveTo>
                                <a:pt x="805348" y="0"/>
                              </a:moveTo>
                              <a:cubicBezTo>
                                <a:pt x="770091" y="76769"/>
                                <a:pt x="734834" y="153538"/>
                                <a:pt x="716637" y="238836"/>
                              </a:cubicBezTo>
                              <a:cubicBezTo>
                                <a:pt x="698440" y="324134"/>
                                <a:pt x="702990" y="440140"/>
                                <a:pt x="696166" y="511791"/>
                              </a:cubicBezTo>
                              <a:cubicBezTo>
                                <a:pt x="689342" y="583442"/>
                                <a:pt x="713225" y="575480"/>
                                <a:pt x="675694" y="668740"/>
                              </a:cubicBezTo>
                              <a:cubicBezTo>
                                <a:pt x="638163" y="762000"/>
                                <a:pt x="530118" y="958755"/>
                                <a:pt x="470978" y="1071349"/>
                              </a:cubicBezTo>
                              <a:cubicBezTo>
                                <a:pt x="411838" y="1183943"/>
                                <a:pt x="372031" y="1205553"/>
                                <a:pt x="320852" y="1344305"/>
                              </a:cubicBezTo>
                              <a:cubicBezTo>
                                <a:pt x="269673" y="1483057"/>
                                <a:pt x="172866" y="1810543"/>
                                <a:pt x="141021" y="1892429"/>
                              </a:cubicBezTo>
                              <a:cubicBezTo>
                                <a:pt x="114863" y="1985878"/>
                                <a:pt x="0" y="2061024"/>
                                <a:pt x="0" y="2061261"/>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27" o:spid="_x0000_s1026" o:spt="100" style="position:absolute;left:0pt;margin-left:92.05pt;margin-top:67.1pt;height:162.25pt;width:63.4pt;z-index:251661312;v-text-anchor:middle;mso-width-relative:page;mso-height-relative:page;" filled="f" stroked="t" coordsize="805348,2061261" o:gfxdata="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" path="m805348,0c770091,76769,734834,153538,716637,238836c698440,324134,702990,440140,696166,511791c689342,583442,713225,575480,675694,668740c638163,762000,530118,958755,470978,1071349c411838,1183943,372031,1205553,320852,1344305c269673,1483057,172866,1810543,141021,1892429c114863,1985878,0,2061024,0,2061261e">
                <v:path o:connectlocs="804990,0;716318,238758;695856,511624;675393,668521;470768,1070999;320709,1343866;140958,1891812;0,2060589" o:connectangles="0,0,0,0,0,0,0,0"/>
                <v:fill on="f" focussize="0,0"/>
                <v:stroke weight="2pt" color="#FF0000 [3204]" joinstyle="round"/>
                <v:imagedata o:title=""/>
                <o:lock v:ext="edit" aspectratio="f"/>
              </v:shape>
            </w:pict>
          </mc:Fallback>
        </mc:AlternateContent>
      </w:r>
      <w:r>
        <w:rPr>
          <w:rFonts w:ascii="Times New Roman" w:hAnsi="Times New Roman" w:eastAsia="仿宋_GB2312" w:cs="Times New Roman"/>
          <w:sz w:val="30"/>
          <w:szCs w:val="30"/>
        </w:rPr>
        <mc:AlternateContent>
          <mc:Choice Requires="wps">
            <w:drawing>
              <wp:anchor distT="0" distB="0" distL="114300" distR="114300" simplePos="0" relativeHeight="251663360" behindDoc="0" locked="0" layoutInCell="1" allowOverlap="1">
                <wp:simplePos x="0" y="0"/>
                <wp:positionH relativeFrom="column">
                  <wp:posOffset>1104900</wp:posOffset>
                </wp:positionH>
                <wp:positionV relativeFrom="paragraph">
                  <wp:posOffset>1694815</wp:posOffset>
                </wp:positionV>
                <wp:extent cx="740410" cy="196215"/>
                <wp:effectExtent l="0" t="0" r="21590" b="127635"/>
                <wp:wrapNone/>
                <wp:docPr id="29" name="对话气泡: 矩形 29"/>
                <wp:cNvGraphicFramePr/>
                <a:graphic xmlns:a="http://schemas.openxmlformats.org/drawingml/2006/main">
                  <a:graphicData uri="http://schemas.microsoft.com/office/word/2010/wordprocessingShape">
                    <wps:wsp>
                      <wps:cNvSpPr/>
                      <wps:spPr>
                        <a:xfrm>
                          <a:off x="0" y="0"/>
                          <a:ext cx="740410" cy="196215"/>
                        </a:xfrm>
                        <a:prstGeom prst="wedgeRectCallout">
                          <a:avLst>
                            <a:gd name="adj1" fmla="val 49882"/>
                            <a:gd name="adj2" fmla="val 101556"/>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829AF3">
                            <w:pPr>
                              <w:spacing w:before="100" w:beforeAutospacing="1" w:line="200" w:lineRule="atLeast"/>
                              <w:jc w:val="center"/>
                              <w:rPr>
                                <w:rFonts w:ascii="黑体" w:hAnsi="黑体" w:eastAsia="黑体"/>
                                <w:b/>
                                <w:bCs/>
                                <w:sz w:val="15"/>
                                <w:szCs w:val="15"/>
                              </w:rPr>
                            </w:pPr>
                            <w:r>
                              <w:rPr>
                                <w:rFonts w:hint="eastAsia" w:ascii="黑体" w:hAnsi="黑体" w:eastAsia="黑体"/>
                                <w:b/>
                                <w:bCs/>
                                <w:sz w:val="15"/>
                                <w:szCs w:val="15"/>
                              </w:rPr>
                              <w:t>临洪大道快速路</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对话气泡: 矩形 29" o:spid="_x0000_s1026" o:spt="61" type="#_x0000_t61" style="position:absolute;left:0pt;margin-left:87pt;margin-top:133.45pt;height:15.45pt;width:58.3pt;z-index:251663360;mso-width-relative:page;mso-height-relative:page;" fillcolor="#FF0000" filled="t" stroked="t" coordsize="21600,21600" o:gfxdata="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o/oyNNwAAAALAQAADwAAAAAAAAABACAAAAAiAAAAZHJzL2Rvd25yZXYu&#10;eG1sUEsBAhQAFAAAAAgAh07iQPLeEZyiAgAAQwUAAA4AAAAAAAAAAQAgAAAAKwEAAGRycy9lMm9E&#10;b2MueG1sUEsFBgAAAAAGAAYAWQEAAD8GAAAAAA==&#10;" adj="21575,32736">
                <v:fill on="t" focussize="0,0"/>
                <v:stroke weight="2pt" color="#FF0000 [3204]" joinstyle="round"/>
                <v:imagedata o:title=""/>
                <o:lock v:ext="edit" aspectratio="f"/>
                <v:textbox inset="0mm,0mm,0mm,0mm">
                  <w:txbxContent>
                    <w:p w14:paraId="29829AF3">
                      <w:pPr>
                        <w:spacing w:before="100" w:beforeAutospacing="1" w:line="200" w:lineRule="atLeast"/>
                        <w:jc w:val="center"/>
                        <w:rPr>
                          <w:rFonts w:ascii="黑体" w:hAnsi="黑体" w:eastAsia="黑体"/>
                          <w:b/>
                          <w:bCs/>
                          <w:sz w:val="15"/>
                          <w:szCs w:val="15"/>
                        </w:rPr>
                      </w:pPr>
                      <w:r>
                        <w:rPr>
                          <w:rFonts w:hint="eastAsia" w:ascii="黑体" w:hAnsi="黑体" w:eastAsia="黑体"/>
                          <w:b/>
                          <w:bCs/>
                          <w:sz w:val="15"/>
                          <w:szCs w:val="15"/>
                        </w:rPr>
                        <w:t>临洪大道快速路</w:t>
                      </w:r>
                    </w:p>
                  </w:txbxContent>
                </v:textbox>
              </v:shape>
            </w:pict>
          </mc:Fallback>
        </mc:AlternateContent>
      </w:r>
    </w:p>
    <w:p w14:paraId="2E8D9FA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5</w:t>
      </w:r>
      <w:r>
        <w:rPr>
          <w:rFonts w:hint="eastAsia" w:ascii="楷体" w:hAnsi="楷体" w:eastAsia="楷体" w:cs="楷体"/>
          <w:sz w:val="32"/>
          <w:szCs w:val="32"/>
          <w:lang w:val="zh-CN"/>
        </w:rPr>
        <w:t>）花果山大道快速化改造</w:t>
      </w:r>
    </w:p>
    <w:p w14:paraId="63B99E2A">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花果山大道是海州与赣榆、海州与连云之间的重要通道，花果山大道快速路建设不仅可以有效缩短海州与赣榆、连云之间的通行时间，也可以有效缓解港城大道的交通通行压力，还可以有效促进连云新城发展。花果山大道快速路工程起点是苍梧路交叉口，终点是海滨大道交叉口，道路全长是21公里。工程分两段，苍梧路至大港路为一段，长约15.5公里，采取在重要节点比如凌州路、港城大道、东方大道、黄海大道、大港路等路口建设立交桥，以及封闭部分路口等形式进行快速化改造，大港路至海滨大道段按照高标准规划新建城市快速路，工程计划总投资是24.39亿元。</w:t>
      </w:r>
    </w:p>
    <w:p w14:paraId="7A39980E">
      <w:pPr>
        <w:pageBreakBefore w:val="0"/>
        <w:kinsoku/>
        <w:wordWrap/>
        <w:overflowPunct/>
        <w:topLinePunct w:val="0"/>
        <w:autoSpaceDE/>
        <w:autoSpaceDN/>
        <w:bidi w:val="0"/>
        <w:adjustRightInd/>
        <w:snapToGrid/>
        <w:spacing w:line="360" w:lineRule="auto"/>
        <w:ind w:left="0" w:leftChars="0"/>
        <w:jc w:val="both"/>
      </w:pPr>
      <w:r>
        <w:drawing>
          <wp:inline distT="0" distB="0" distL="0" distR="0">
            <wp:extent cx="2497455" cy="467677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9"/>
                    <a:stretch>
                      <a:fillRect/>
                    </a:stretch>
                  </pic:blipFill>
                  <pic:spPr>
                    <a:xfrm>
                      <a:off x="0" y="0"/>
                      <a:ext cx="2507861" cy="4695402"/>
                    </a:xfrm>
                    <a:prstGeom prst="rect">
                      <a:avLst/>
                    </a:prstGeom>
                  </pic:spPr>
                </pic:pic>
              </a:graphicData>
            </a:graphic>
          </wp:inline>
        </w:drawing>
      </w:r>
      <w:r>
        <w:t xml:space="preserve">  </w:t>
      </w:r>
      <w:r>
        <w:drawing>
          <wp:inline distT="0" distB="0" distL="0" distR="0">
            <wp:extent cx="2434590" cy="4674870"/>
            <wp:effectExtent l="0" t="0" r="381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0"/>
                    <a:stretch>
                      <a:fillRect/>
                    </a:stretch>
                  </pic:blipFill>
                  <pic:spPr>
                    <a:xfrm>
                      <a:off x="0" y="0"/>
                      <a:ext cx="2451777" cy="4706808"/>
                    </a:xfrm>
                    <a:prstGeom prst="rect">
                      <a:avLst/>
                    </a:prstGeom>
                  </pic:spPr>
                </pic:pic>
              </a:graphicData>
            </a:graphic>
          </wp:inline>
        </w:drawing>
      </w:r>
      <w:r>
        <w:t xml:space="preserve"> </w:t>
      </w:r>
    </w:p>
    <w:p w14:paraId="3B304956">
      <w:pPr>
        <w:pageBreakBefore w:val="0"/>
        <w:kinsoku/>
        <w:wordWrap/>
        <w:overflowPunct/>
        <w:topLinePunct w:val="0"/>
        <w:autoSpaceDE/>
        <w:autoSpaceDN/>
        <w:bidi w:val="0"/>
        <w:adjustRightInd/>
        <w:snapToGrid/>
        <w:spacing w:line="360" w:lineRule="auto"/>
        <w:ind w:left="0" w:leftChars="0"/>
        <w:jc w:val="center"/>
        <w:rPr>
          <w:rFonts w:ascii="黑体" w:hAnsi="黑体" w:eastAsia="黑体" w:cs="Times New Roman"/>
          <w:sz w:val="28"/>
          <w:szCs w:val="28"/>
        </w:rPr>
      </w:pPr>
      <w:r>
        <mc:AlternateContent>
          <mc:Choice Requires="wps">
            <w:drawing>
              <wp:anchor distT="0" distB="0" distL="114300" distR="114300" simplePos="0" relativeHeight="251675648" behindDoc="0" locked="0" layoutInCell="1" allowOverlap="1">
                <wp:simplePos x="0" y="0"/>
                <wp:positionH relativeFrom="column">
                  <wp:posOffset>1496695</wp:posOffset>
                </wp:positionH>
                <wp:positionV relativeFrom="paragraph">
                  <wp:posOffset>235585</wp:posOffset>
                </wp:positionV>
                <wp:extent cx="770890" cy="307340"/>
                <wp:effectExtent l="0" t="0" r="0" b="0"/>
                <wp:wrapNone/>
                <wp:docPr id="222" name="文本框 100"/>
                <wp:cNvGraphicFramePr/>
                <a:graphic xmlns:a="http://schemas.openxmlformats.org/drawingml/2006/main">
                  <a:graphicData uri="http://schemas.microsoft.com/office/word/2010/wordprocessingShape">
                    <wps:wsp>
                      <wps:cNvSpPr txBox="1"/>
                      <wps:spPr>
                        <a:xfrm>
                          <a:off x="0" y="0"/>
                          <a:ext cx="770890" cy="307340"/>
                        </a:xfrm>
                        <a:prstGeom prst="rect">
                          <a:avLst/>
                        </a:prstGeom>
                        <a:noFill/>
                      </wps:spPr>
                      <wps:txbx>
                        <w:txbxContent>
                          <w:p w14:paraId="34ED8A09">
                            <w:r>
                              <w:rPr>
                                <w:rFonts w:hint="eastAsia" w:ascii="微软雅黑" w:hAnsi="微软雅黑" w:eastAsia="微软雅黑" w:cstheme="minorBidi"/>
                                <w:color w:val="000000" w:themeColor="text1"/>
                                <w:kern w:val="24"/>
                                <w:sz w:val="28"/>
                                <w:szCs w:val="28"/>
                                <w14:textFill>
                                  <w14:solidFill>
                                    <w14:schemeClr w14:val="tx1"/>
                                  </w14:solidFill>
                                </w14:textFill>
                              </w:rPr>
                              <w:t>快速路</w:t>
                            </w:r>
                          </w:p>
                        </w:txbxContent>
                      </wps:txbx>
                      <wps:bodyPr wrap="square" rtlCol="0">
                        <a:spAutoFit/>
                      </wps:bodyPr>
                    </wps:wsp>
                  </a:graphicData>
                </a:graphic>
              </wp:anchor>
            </w:drawing>
          </mc:Choice>
          <mc:Fallback>
            <w:pict>
              <v:shape id="文本框 100" o:spid="_x0000_s1026" o:spt="202" type="#_x0000_t202" style="position:absolute;left:0pt;margin-left:117.85pt;margin-top:18.55pt;height:24.2pt;width:60.7pt;z-index:251675648;mso-width-relative:page;mso-height-relative:page;" filled="f" stroked="f" coordsize="21600,21600" o:gfxdata="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UrmRNYAAAAJAQAADwAAAAAAAAABACAAAAAiAAAAZHJzL2Rvd25yZXYueG1sUEsBAhQA&#10;FAAAAAgAh07iQNHxlTi7AQAAYAMAAA4AAAAAAAAAAQAgAAAAJQEAAGRycy9lMm9Eb2MueG1sUEsF&#10;BgAAAAAGAAYAWQEAAFIFAAAAAA==&#10;">
                <v:fill on="f" focussize="0,0"/>
                <v:stroke on="f"/>
                <v:imagedata o:title=""/>
                <o:lock v:ext="edit" aspectratio="f"/>
                <v:textbox style="mso-fit-shape-to-text:t;">
                  <w:txbxContent>
                    <w:p w14:paraId="34ED8A09">
                      <w:r>
                        <w:rPr>
                          <w:rFonts w:hint="eastAsia" w:ascii="微软雅黑" w:hAnsi="微软雅黑" w:eastAsia="微软雅黑" w:cstheme="minorBidi"/>
                          <w:color w:val="000000" w:themeColor="text1"/>
                          <w:kern w:val="24"/>
                          <w:sz w:val="28"/>
                          <w:szCs w:val="28"/>
                          <w14:textFill>
                            <w14:solidFill>
                              <w14:schemeClr w14:val="tx1"/>
                            </w14:solidFill>
                          </w14:textFill>
                        </w:rPr>
                        <w:t>快速路</w:t>
                      </w:r>
                    </w:p>
                  </w:txbxContent>
                </v:textbox>
              </v:shape>
            </w:pict>
          </mc:Fallback>
        </mc:AlternateContent>
      </w:r>
      <w:r>
        <w:drawing>
          <wp:anchor distT="0" distB="0" distL="114300" distR="114300" simplePos="0" relativeHeight="251670528" behindDoc="0" locked="0" layoutInCell="1" allowOverlap="1">
            <wp:simplePos x="0" y="0"/>
            <wp:positionH relativeFrom="column">
              <wp:posOffset>2852420</wp:posOffset>
            </wp:positionH>
            <wp:positionV relativeFrom="paragraph">
              <wp:posOffset>377190</wp:posOffset>
            </wp:positionV>
            <wp:extent cx="107315" cy="179705"/>
            <wp:effectExtent l="0" t="0" r="6985" b="0"/>
            <wp:wrapNone/>
            <wp:docPr id="214"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3"/>
                    <pic:cNvPicPr>
                      <a:picLocks noChangeAspect="1"/>
                    </pic:cNvPicPr>
                  </pic:nvPicPr>
                  <pic:blipFill>
                    <a:blip r:embed="rId31">
                      <a:clrChange>
                        <a:clrFrom>
                          <a:srgbClr val="FFFFFF"/>
                        </a:clrFrom>
                        <a:clrTo>
                          <a:srgbClr val="FFFFFF">
                            <a:alpha val="0"/>
                          </a:srgbClr>
                        </a:clrTo>
                      </a:clrChange>
                    </a:blip>
                    <a:stretch>
                      <a:fillRect/>
                    </a:stretch>
                  </pic:blipFill>
                  <pic:spPr>
                    <a:xfrm>
                      <a:off x="0" y="0"/>
                      <a:ext cx="107315" cy="179705"/>
                    </a:xfrm>
                    <a:prstGeom prst="rect">
                      <a:avLst/>
                    </a:prstGeom>
                  </pic:spPr>
                </pic:pic>
              </a:graphicData>
            </a:graphic>
          </wp:anchor>
        </w:drawing>
      </w:r>
      <w:r>
        <mc:AlternateContent>
          <mc:Choice Requires="wps">
            <w:drawing>
              <wp:anchor distT="0" distB="0" distL="114300" distR="114300" simplePos="0" relativeHeight="251671552" behindDoc="0" locked="0" layoutInCell="1" allowOverlap="1">
                <wp:simplePos x="0" y="0"/>
                <wp:positionH relativeFrom="column">
                  <wp:posOffset>3002915</wp:posOffset>
                </wp:positionH>
                <wp:positionV relativeFrom="paragraph">
                  <wp:posOffset>238760</wp:posOffset>
                </wp:positionV>
                <wp:extent cx="1333500" cy="307340"/>
                <wp:effectExtent l="0" t="0" r="0" b="0"/>
                <wp:wrapNone/>
                <wp:docPr id="215" name="文本框 122"/>
                <wp:cNvGraphicFramePr/>
                <a:graphic xmlns:a="http://schemas.openxmlformats.org/drawingml/2006/main">
                  <a:graphicData uri="http://schemas.microsoft.com/office/word/2010/wordprocessingShape">
                    <wps:wsp>
                      <wps:cNvSpPr txBox="1"/>
                      <wps:spPr>
                        <a:xfrm>
                          <a:off x="0" y="0"/>
                          <a:ext cx="1333500" cy="307340"/>
                        </a:xfrm>
                        <a:prstGeom prst="rect">
                          <a:avLst/>
                        </a:prstGeom>
                        <a:noFill/>
                      </wps:spPr>
                      <wps:txbx>
                        <w:txbxContent>
                          <w:p w14:paraId="64042BEC">
                            <w:r>
                              <w:rPr>
                                <w:rFonts w:hint="eastAsia" w:ascii="微软雅黑" w:hAnsi="微软雅黑" w:eastAsia="微软雅黑" w:cstheme="minorBidi"/>
                                <w:color w:val="000000" w:themeColor="text1"/>
                                <w:kern w:val="24"/>
                                <w:sz w:val="28"/>
                                <w:szCs w:val="28"/>
                                <w14:textFill>
                                  <w14:solidFill>
                                    <w14:schemeClr w14:val="tx1"/>
                                  </w14:solidFill>
                                </w14:textFill>
                              </w:rPr>
                              <w:t>信号控制</w:t>
                            </w:r>
                          </w:p>
                        </w:txbxContent>
                      </wps:txbx>
                      <wps:bodyPr wrap="square" rtlCol="0">
                        <a:spAutoFit/>
                      </wps:bodyPr>
                    </wps:wsp>
                  </a:graphicData>
                </a:graphic>
              </wp:anchor>
            </w:drawing>
          </mc:Choice>
          <mc:Fallback>
            <w:pict>
              <v:shape id="文本框 122" o:spid="_x0000_s1026" o:spt="202" type="#_x0000_t202" style="position:absolute;left:0pt;margin-left:236.45pt;margin-top:18.8pt;height:24.2pt;width:105pt;z-index:251671552;mso-width-relative:page;mso-height-relative:page;" filled="f" stroked="f" coordsize="21600,21600" o:gfxdata="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vbMzOdcAAAAJAQAADwAAAAAAAAABACAAAAAiAAAAZHJzL2Rvd25yZXYueG1sUEsB&#10;AhQAFAAAAAgAh07iQGN+xk69AQAAYQMAAA4AAAAAAAAAAQAgAAAAJgEAAGRycy9lMm9Eb2MueG1s&#10;UEsFBgAAAAAGAAYAWQEAAFUFAAAAAA==&#10;">
                <v:fill on="f" focussize="0,0"/>
                <v:stroke on="f"/>
                <v:imagedata o:title=""/>
                <o:lock v:ext="edit" aspectratio="f"/>
                <v:textbox style="mso-fit-shape-to-text:t;">
                  <w:txbxContent>
                    <w:p w14:paraId="64042BEC">
                      <w:r>
                        <w:rPr>
                          <w:rFonts w:hint="eastAsia" w:ascii="微软雅黑" w:hAnsi="微软雅黑" w:eastAsia="微软雅黑" w:cstheme="minorBidi"/>
                          <w:color w:val="000000" w:themeColor="text1"/>
                          <w:kern w:val="24"/>
                          <w:sz w:val="28"/>
                          <w:szCs w:val="28"/>
                          <w14:textFill>
                            <w14:solidFill>
                              <w14:schemeClr w14:val="tx1"/>
                            </w14:solidFill>
                          </w14:textFill>
                        </w:rPr>
                        <w:t>信号控制</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873760</wp:posOffset>
                </wp:positionH>
                <wp:positionV relativeFrom="paragraph">
                  <wp:posOffset>484505</wp:posOffset>
                </wp:positionV>
                <wp:extent cx="516890" cy="0"/>
                <wp:effectExtent l="38100" t="57150" r="54610" b="57150"/>
                <wp:wrapNone/>
                <wp:docPr id="221" name="直接连接符 220"/>
                <wp:cNvGraphicFramePr/>
                <a:graphic xmlns:a="http://schemas.openxmlformats.org/drawingml/2006/main">
                  <a:graphicData uri="http://schemas.microsoft.com/office/word/2010/wordprocessingShape">
                    <wps:wsp>
                      <wps:cNvCnPr/>
                      <wps:spPr>
                        <a:xfrm>
                          <a:off x="0" y="0"/>
                          <a:ext cx="516890" cy="0"/>
                        </a:xfrm>
                        <a:prstGeom prst="line">
                          <a:avLst/>
                        </a:prstGeom>
                        <a:noFill/>
                        <a:ln w="38100">
                          <a:solidFill>
                            <a:srgbClr val="FF31E2"/>
                          </a:solidFill>
                          <a:headEnd type="none" w="med" len="med"/>
                          <a:tailEnd type="none" w="med" len="med"/>
                        </a:ln>
                        <a:effectLst>
                          <a:glow rad="25400">
                            <a:schemeClr val="bg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line id="直接连接符 220" o:spid="_x0000_s1026" o:spt="20" style="position:absolute;left:0pt;margin-left:68.8pt;margin-top:38.15pt;height:0pt;width:40.7pt;z-index:251674624;mso-width-relative:page;mso-height-relative:page;" filled="f" stroked="t" coordsize="21600,21600" o:gfxdata="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rb4uPVAAAACQEAAA8AAAAAAAAAAQAgAAAAIgAAAGRycy9kb3ducmV2LnhtbFBLAQIUABQAAAAI&#10;AIdO4kCZCaLbKQIAAGQEAAAOAAAAAAAAAAEAIAAAACQBAABkcnMvZTJvRG9jLnhtbFBLBQYAAAAA&#10;BgAGAFkBAAC/BQAAAAA=&#10;">
                <v:fill on="f" focussize="0,0"/>
                <v:stroke weight="3pt" color="#FF31E2 [3204]" joinstyle="round"/>
                <v:imagedata o:title=""/>
                <o:lock v:ext="edit" aspectratio="f"/>
              </v:lin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873760</wp:posOffset>
                </wp:positionH>
                <wp:positionV relativeFrom="paragraph">
                  <wp:posOffset>742950</wp:posOffset>
                </wp:positionV>
                <wp:extent cx="516890" cy="0"/>
                <wp:effectExtent l="38100" t="57150" r="54610" b="57150"/>
                <wp:wrapNone/>
                <wp:docPr id="212" name="直接连接符 211"/>
                <wp:cNvGraphicFramePr/>
                <a:graphic xmlns:a="http://schemas.openxmlformats.org/drawingml/2006/main">
                  <a:graphicData uri="http://schemas.microsoft.com/office/word/2010/wordprocessingShape">
                    <wps:wsp>
                      <wps:cNvCnPr/>
                      <wps:spPr>
                        <a:xfrm>
                          <a:off x="0" y="0"/>
                          <a:ext cx="516890" cy="0"/>
                        </a:xfrm>
                        <a:prstGeom prst="line">
                          <a:avLst/>
                        </a:prstGeom>
                        <a:noFill/>
                        <a:ln w="38100">
                          <a:solidFill>
                            <a:srgbClr val="FF0000"/>
                          </a:solidFill>
                          <a:headEnd type="none" w="med" len="med"/>
                          <a:tailEnd type="none" w="med" len="med"/>
                        </a:ln>
                        <a:effectLst>
                          <a:glow rad="25400">
                            <a:schemeClr val="bg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line id="直接连接符 211" o:spid="_x0000_s1026" o:spt="20" style="position:absolute;left:0pt;margin-left:68.8pt;margin-top:58.5pt;height:0pt;width:40.7pt;z-index:251668480;mso-width-relative:page;mso-height-relative:page;" filled="f" stroked="t" coordsize="21600,21600" o:gfxdata="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cjsih2QAAAAsBAAAPAAAAAAAAAAEAIAAAACIAAABkcnMvZG93bnJldi54bWxQSwECFAAUAAAA&#10;CACHTuJA8iVDiyYCAABkBAAADgAAAAAAAAABACAAAAAoAQAAZHJzL2Uyb0RvYy54bWxQSwUGAAAA&#10;AAYABgBZAQAAwAUAAAAA&#10;">
                <v:fill on="f" focussize="0,0"/>
                <v:stroke weight="3pt" color="#FF0000 [3204]" joinstyle="round"/>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873760</wp:posOffset>
                </wp:positionH>
                <wp:positionV relativeFrom="paragraph">
                  <wp:posOffset>1268730</wp:posOffset>
                </wp:positionV>
                <wp:extent cx="516890" cy="0"/>
                <wp:effectExtent l="19050" t="38100" r="54610" b="57150"/>
                <wp:wrapNone/>
                <wp:docPr id="209" name="直接连接符 208"/>
                <wp:cNvGraphicFramePr/>
                <a:graphic xmlns:a="http://schemas.openxmlformats.org/drawingml/2006/main">
                  <a:graphicData uri="http://schemas.microsoft.com/office/word/2010/wordprocessingShape">
                    <wps:wsp>
                      <wps:cNvCnPr/>
                      <wps:spPr>
                        <a:xfrm>
                          <a:off x="0" y="0"/>
                          <a:ext cx="516890" cy="0"/>
                        </a:xfrm>
                        <a:prstGeom prst="line">
                          <a:avLst/>
                        </a:prstGeom>
                        <a:noFill/>
                        <a:ln w="12700">
                          <a:solidFill>
                            <a:schemeClr val="accent4">
                              <a:lumMod val="60000"/>
                              <a:lumOff val="40000"/>
                            </a:schemeClr>
                          </a:solidFill>
                          <a:headEnd type="none" w="med" len="med"/>
                          <a:tailEnd type="none" w="med" len="med"/>
                        </a:ln>
                        <a:effectLst>
                          <a:glow rad="25400">
                            <a:schemeClr val="bg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line id="直接连接符 208" o:spid="_x0000_s1026" o:spt="20" style="position:absolute;left:0pt;margin-left:68.8pt;margin-top:99.9pt;height:0pt;width:40.7pt;z-index:251665408;mso-width-relative:page;mso-height-relative:page;" filled="f" stroked="t" coordsize="21600,21600" o:gfxdata="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E8IWqdgAAAALAQAADwAAAAAAAAABACAAAAAiAAAAZHJzL2Rv&#10;d25yZXYueG1sUEsBAhQAFAAAAAgAh07iQMvOCTw6AgAAnQQAAA4AAAAAAAAAAQAgAAAAJwEAAGRy&#10;cy9lMm9Eb2MueG1sUEsFBgAAAAAGAAYAWQEAANMFAAAAAA==&#10;">
                <v:fill on="f" focussize="0,0"/>
                <v:stroke weight="1pt" color="#B3A2C7 [1943]" joinstyle="round"/>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873760</wp:posOffset>
                </wp:positionH>
                <wp:positionV relativeFrom="paragraph">
                  <wp:posOffset>1046480</wp:posOffset>
                </wp:positionV>
                <wp:extent cx="516890" cy="0"/>
                <wp:effectExtent l="19050" t="38100" r="54610" b="57150"/>
                <wp:wrapNone/>
                <wp:docPr id="208" name="直接连接符 207"/>
                <wp:cNvGraphicFramePr/>
                <a:graphic xmlns:a="http://schemas.openxmlformats.org/drawingml/2006/main">
                  <a:graphicData uri="http://schemas.microsoft.com/office/word/2010/wordprocessingShape">
                    <wps:wsp>
                      <wps:cNvCnPr/>
                      <wps:spPr>
                        <a:xfrm>
                          <a:off x="0" y="0"/>
                          <a:ext cx="516890" cy="0"/>
                        </a:xfrm>
                        <a:prstGeom prst="line">
                          <a:avLst/>
                        </a:prstGeom>
                        <a:noFill/>
                        <a:ln w="22225">
                          <a:solidFill>
                            <a:schemeClr val="accent1"/>
                          </a:solidFill>
                          <a:headEnd type="none" w="med" len="med"/>
                          <a:tailEnd type="none" w="med" len="med"/>
                        </a:ln>
                        <a:effectLst>
                          <a:glow rad="25400">
                            <a:schemeClr val="bg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line id="直接连接符 207" o:spid="_x0000_s1026" o:spt="20" style="position:absolute;left:0pt;margin-left:68.8pt;margin-top:82.4pt;height:0pt;width:40.7pt;z-index:251664384;mso-width-relative:page;mso-height-relative:page;" filled="f" stroked="t" coordsize="21600,21600" o:gfxdata="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EJ+HtUAAAALAQAADwAAAAAAAAABACAAAAAiAAAAZHJzL2Rvd25yZXYueG1sUEsBAhQAFAAAAAgA&#10;h07iQK0PMh8oAgAAZAQAAA4AAAAAAAAAAQAgAAAAJAEAAGRycy9lMm9Eb2MueG1sUEsFBgAAAAAG&#10;AAYAWQEAAL4FAAAAAA==&#10;">
                <v:fill on="f" focussize="0,0"/>
                <v:stroke weight="1.75pt" color="#4F81BD [3204]" joinstyle="round"/>
                <v:imagedata o:title=""/>
                <o:lock v:ext="edit" aspectratio="f"/>
              </v:line>
            </w:pict>
          </mc:Fallback>
        </mc:AlternateContent>
      </w:r>
      <w:r>
        <w:rPr>
          <w:rFonts w:hint="eastAsia" w:ascii="黑体" w:hAnsi="黑体" w:eastAsia="黑体" w:cs="Times New Roman"/>
          <w:sz w:val="28"/>
          <w:szCs w:val="28"/>
        </w:rPr>
        <w:t xml:space="preserve">高新区段快速化方案示意图 </w:t>
      </w:r>
      <w:r>
        <w:rPr>
          <w:rFonts w:ascii="黑体" w:hAnsi="黑体" w:eastAsia="黑体" w:cs="Times New Roman"/>
          <w:sz w:val="28"/>
          <w:szCs w:val="28"/>
        </w:rPr>
        <w:t xml:space="preserve">     </w:t>
      </w:r>
      <w:r>
        <w:rPr>
          <w:rFonts w:hint="eastAsia" w:ascii="黑体" w:hAnsi="黑体" w:eastAsia="黑体" w:cs="Times New Roman"/>
          <w:sz w:val="28"/>
          <w:szCs w:val="28"/>
        </w:rPr>
        <w:t>开发区段快速化方案示意图</w:t>
      </w:r>
    </w:p>
    <w:p w14:paraId="592711D8">
      <w:pPr>
        <w:pageBreakBefore w:val="0"/>
        <w:kinsoku/>
        <w:wordWrap/>
        <w:overflowPunct/>
        <w:topLinePunct w:val="0"/>
        <w:autoSpaceDE/>
        <w:autoSpaceDN/>
        <w:bidi w:val="0"/>
        <w:adjustRightInd/>
        <w:snapToGrid/>
        <w:spacing w:line="360" w:lineRule="auto"/>
        <w:ind w:left="0" w:leftChars="0"/>
        <w:jc w:val="both"/>
        <w:rPr>
          <w:rFonts w:ascii="黑体" w:hAnsi="黑体" w:eastAsia="黑体" w:cs="Times New Roman"/>
          <w:sz w:val="28"/>
          <w:szCs w:val="28"/>
        </w:rPr>
      </w:pPr>
      <w:r>
        <mc:AlternateContent>
          <mc:Choice Requires="wps">
            <w:drawing>
              <wp:anchor distT="0" distB="0" distL="114300" distR="114300" simplePos="0" relativeHeight="251666432" behindDoc="0" locked="0" layoutInCell="1" allowOverlap="1">
                <wp:simplePos x="0" y="0"/>
                <wp:positionH relativeFrom="column">
                  <wp:posOffset>1499235</wp:posOffset>
                </wp:positionH>
                <wp:positionV relativeFrom="paragraph">
                  <wp:posOffset>376555</wp:posOffset>
                </wp:positionV>
                <wp:extent cx="773430" cy="307340"/>
                <wp:effectExtent l="0" t="0" r="0" b="0"/>
                <wp:wrapNone/>
                <wp:docPr id="210" name="文本框 97"/>
                <wp:cNvGraphicFramePr/>
                <a:graphic xmlns:a="http://schemas.openxmlformats.org/drawingml/2006/main">
                  <a:graphicData uri="http://schemas.microsoft.com/office/word/2010/wordprocessingShape">
                    <wps:wsp>
                      <wps:cNvSpPr txBox="1"/>
                      <wps:spPr>
                        <a:xfrm>
                          <a:off x="0" y="0"/>
                          <a:ext cx="773430" cy="307340"/>
                        </a:xfrm>
                        <a:prstGeom prst="rect">
                          <a:avLst/>
                        </a:prstGeom>
                        <a:noFill/>
                      </wps:spPr>
                      <wps:txbx>
                        <w:txbxContent>
                          <w:p w14:paraId="0B916DAC">
                            <w:r>
                              <w:rPr>
                                <w:rFonts w:hint="eastAsia" w:ascii="微软雅黑" w:hAnsi="微软雅黑" w:eastAsia="微软雅黑" w:cstheme="minorBidi"/>
                                <w:color w:val="000000" w:themeColor="text1"/>
                                <w:kern w:val="24"/>
                                <w:sz w:val="28"/>
                                <w:szCs w:val="28"/>
                                <w14:textFill>
                                  <w14:solidFill>
                                    <w14:schemeClr w14:val="tx1"/>
                                  </w14:solidFill>
                                </w14:textFill>
                              </w:rPr>
                              <w:t>次干路</w:t>
                            </w:r>
                          </w:p>
                        </w:txbxContent>
                      </wps:txbx>
                      <wps:bodyPr wrap="square" rtlCol="0">
                        <a:spAutoFit/>
                      </wps:bodyPr>
                    </wps:wsp>
                  </a:graphicData>
                </a:graphic>
              </wp:anchor>
            </w:drawing>
          </mc:Choice>
          <mc:Fallback>
            <w:pict>
              <v:shape id="文本框 97" o:spid="_x0000_s1026" o:spt="202" type="#_x0000_t202" style="position:absolute;left:0pt;margin-left:118.05pt;margin-top:29.65pt;height:24.2pt;width:60.9pt;z-index:251666432;mso-width-relative:page;mso-height-relative:page;" filled="f" stroked="f" coordsize="21600,21600" o:gfxdata="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G8Zy9/YAAAACgEAAA8AAAAAAAAAAQAgAAAAIgAAAGRycy9kb3ducmV2LnhtbFBLAQIU&#10;ABQAAAAIAIdO4kAw5y9ZugEAAF8DAAAOAAAAAAAAAAEAIAAAACcBAABkcnMvZTJvRG9jLnhtbFBL&#10;BQYAAAAABgAGAFkBAABTBQAAAAA=&#10;">
                <v:fill on="f" focussize="0,0"/>
                <v:stroke on="f"/>
                <v:imagedata o:title=""/>
                <o:lock v:ext="edit" aspectratio="f"/>
                <v:textbox style="mso-fit-shape-to-text:t;">
                  <w:txbxContent>
                    <w:p w14:paraId="0B916DAC">
                      <w:r>
                        <w:rPr>
                          <w:rFonts w:hint="eastAsia" w:ascii="微软雅黑" w:hAnsi="微软雅黑" w:eastAsia="微软雅黑" w:cstheme="minorBidi"/>
                          <w:color w:val="000000" w:themeColor="text1"/>
                          <w:kern w:val="24"/>
                          <w:sz w:val="28"/>
                          <w:szCs w:val="28"/>
                          <w14:textFill>
                            <w14:solidFill>
                              <w14:schemeClr w14:val="tx1"/>
                            </w14:solidFill>
                          </w14:textFill>
                        </w:rPr>
                        <w:t>次干路</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1496695</wp:posOffset>
                </wp:positionH>
                <wp:positionV relativeFrom="paragraph">
                  <wp:posOffset>97155</wp:posOffset>
                </wp:positionV>
                <wp:extent cx="770890" cy="307340"/>
                <wp:effectExtent l="0" t="0" r="0" b="0"/>
                <wp:wrapNone/>
                <wp:docPr id="213" name="文本框 100"/>
                <wp:cNvGraphicFramePr/>
                <a:graphic xmlns:a="http://schemas.openxmlformats.org/drawingml/2006/main">
                  <a:graphicData uri="http://schemas.microsoft.com/office/word/2010/wordprocessingShape">
                    <wps:wsp>
                      <wps:cNvSpPr txBox="1"/>
                      <wps:spPr>
                        <a:xfrm>
                          <a:off x="0" y="0"/>
                          <a:ext cx="770890" cy="307340"/>
                        </a:xfrm>
                        <a:prstGeom prst="rect">
                          <a:avLst/>
                        </a:prstGeom>
                        <a:noFill/>
                      </wps:spPr>
                      <wps:txbx>
                        <w:txbxContent>
                          <w:p w14:paraId="544F6E0C">
                            <w:r>
                              <w:rPr>
                                <w:rFonts w:hint="eastAsia" w:ascii="微软雅黑" w:hAnsi="微软雅黑" w:eastAsia="微软雅黑" w:cstheme="minorBidi"/>
                                <w:color w:val="000000" w:themeColor="text1"/>
                                <w:kern w:val="24"/>
                                <w:sz w:val="28"/>
                                <w:szCs w:val="28"/>
                                <w14:textFill>
                                  <w14:solidFill>
                                    <w14:schemeClr w14:val="tx1"/>
                                  </w14:solidFill>
                                </w14:textFill>
                              </w:rPr>
                              <w:t>主干路</w:t>
                            </w:r>
                          </w:p>
                        </w:txbxContent>
                      </wps:txbx>
                      <wps:bodyPr wrap="square" rtlCol="0">
                        <a:spAutoFit/>
                      </wps:bodyPr>
                    </wps:wsp>
                  </a:graphicData>
                </a:graphic>
              </wp:anchor>
            </w:drawing>
          </mc:Choice>
          <mc:Fallback>
            <w:pict>
              <v:shape id="文本框 100" o:spid="_x0000_s1026" o:spt="202" type="#_x0000_t202" style="position:absolute;left:0pt;margin-left:117.85pt;margin-top:7.65pt;height:24.2pt;width:60.7pt;z-index:251669504;mso-width-relative:page;mso-height-relative:page;" filled="f" stroked="f" coordsize="21600,21600" o:gfxdata="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Up9+M1QAAAAkBAAAPAAAAAAAAAAEAIAAAACIAAABkcnMvZG93bnJldi54bWxQSwECFAAU&#10;AAAACACHTuJA5GgforsBAABgAwAADgAAAAAAAAABACAAAAAkAQAAZHJzL2Uyb0RvYy54bWxQSwUG&#10;AAAAAAYABgBZAQAAUQUAAAAA&#10;">
                <v:fill on="f" focussize="0,0"/>
                <v:stroke on="f"/>
                <v:imagedata o:title=""/>
                <o:lock v:ext="edit" aspectratio="f"/>
                <v:textbox style="mso-fit-shape-to-text:t;">
                  <w:txbxContent>
                    <w:p w14:paraId="544F6E0C">
                      <w:r>
                        <w:rPr>
                          <w:rFonts w:hint="eastAsia" w:ascii="微软雅黑" w:hAnsi="微软雅黑" w:eastAsia="微软雅黑" w:cstheme="minorBidi"/>
                          <w:color w:val="000000" w:themeColor="text1"/>
                          <w:kern w:val="24"/>
                          <w:sz w:val="28"/>
                          <w:szCs w:val="28"/>
                          <w14:textFill>
                            <w14:solidFill>
                              <w14:schemeClr w14:val="tx1"/>
                            </w14:solidFill>
                          </w14:textFill>
                        </w:rPr>
                        <w:t>主干路</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3201035</wp:posOffset>
                </wp:positionH>
                <wp:positionV relativeFrom="paragraph">
                  <wp:posOffset>348615</wp:posOffset>
                </wp:positionV>
                <wp:extent cx="727075" cy="307340"/>
                <wp:effectExtent l="0" t="0" r="0" b="0"/>
                <wp:wrapNone/>
                <wp:docPr id="300" name="文本框 123"/>
                <wp:cNvGraphicFramePr/>
                <a:graphic xmlns:a="http://schemas.openxmlformats.org/drawingml/2006/main">
                  <a:graphicData uri="http://schemas.microsoft.com/office/word/2010/wordprocessingShape">
                    <wps:wsp>
                      <wps:cNvSpPr txBox="1"/>
                      <wps:spPr>
                        <a:xfrm>
                          <a:off x="0" y="0"/>
                          <a:ext cx="727075" cy="307340"/>
                        </a:xfrm>
                        <a:prstGeom prst="rect">
                          <a:avLst/>
                        </a:prstGeom>
                        <a:noFill/>
                      </wps:spPr>
                      <wps:txbx>
                        <w:txbxContent>
                          <w:p w14:paraId="39B99DD8">
                            <w:r>
                              <w:rPr>
                                <w:rFonts w:hint="eastAsia" w:ascii="微软雅黑" w:hAnsi="微软雅黑" w:eastAsia="微软雅黑" w:cstheme="minorBidi"/>
                                <w:color w:val="000000" w:themeColor="text1"/>
                                <w:kern w:val="24"/>
                                <w:sz w:val="28"/>
                                <w:szCs w:val="28"/>
                                <w14:textFill>
                                  <w14:solidFill>
                                    <w14:schemeClr w14:val="tx1"/>
                                  </w14:solidFill>
                                </w14:textFill>
                              </w:rPr>
                              <w:t>隧道</w:t>
                            </w:r>
                          </w:p>
                        </w:txbxContent>
                      </wps:txbx>
                      <wps:bodyPr wrap="square" rtlCol="0">
                        <a:spAutoFit/>
                      </wps:bodyPr>
                    </wps:wsp>
                  </a:graphicData>
                </a:graphic>
              </wp:anchor>
            </w:drawing>
          </mc:Choice>
          <mc:Fallback>
            <w:pict>
              <v:shape id="文本框 123" o:spid="_x0000_s1026" o:spt="202" type="#_x0000_t202" style="position:absolute;left:0pt;margin-left:252.05pt;margin-top:27.45pt;height:24.2pt;width:57.25pt;z-index:251677696;mso-width-relative:page;mso-height-relative:page;" filled="f" stroked="f" coordsize="21600,21600" o:gfxdata="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mPMp61wAAAAoBAAAPAAAAAAAAAAEAIAAAACIAAABkcnMvZG93bnJldi54bWxQSwEC&#10;FAAUAAAACACHTuJARy7lBrwBAABgAwAADgAAAAAAAAABACAAAAAmAQAAZHJzL2Uyb0RvYy54bWxQ&#10;SwUGAAAAAAYABgBZAQAAVAUAAAAA&#10;">
                <v:fill on="f" focussize="0,0"/>
                <v:stroke on="f"/>
                <v:imagedata o:title=""/>
                <o:lock v:ext="edit" aspectratio="f"/>
                <v:textbox style="mso-fit-shape-to-text:t;">
                  <w:txbxContent>
                    <w:p w14:paraId="39B99DD8">
                      <w:r>
                        <w:rPr>
                          <w:rFonts w:hint="eastAsia" w:ascii="微软雅黑" w:hAnsi="微软雅黑" w:eastAsia="微软雅黑" w:cstheme="minorBidi"/>
                          <w:color w:val="000000" w:themeColor="text1"/>
                          <w:kern w:val="24"/>
                          <w:sz w:val="28"/>
                          <w:szCs w:val="28"/>
                          <w14:textFill>
                            <w14:solidFill>
                              <w14:schemeClr w14:val="tx1"/>
                            </w14:solidFill>
                          </w14:textFill>
                        </w:rPr>
                        <w:t>隧道</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3016250</wp:posOffset>
                </wp:positionH>
                <wp:positionV relativeFrom="paragraph">
                  <wp:posOffset>87630</wp:posOffset>
                </wp:positionV>
                <wp:extent cx="1333500" cy="307340"/>
                <wp:effectExtent l="0" t="0" r="0" b="0"/>
                <wp:wrapNone/>
                <wp:docPr id="216" name="文本框 123"/>
                <wp:cNvGraphicFramePr/>
                <a:graphic xmlns:a="http://schemas.openxmlformats.org/drawingml/2006/main">
                  <a:graphicData uri="http://schemas.microsoft.com/office/word/2010/wordprocessingShape">
                    <wps:wsp>
                      <wps:cNvSpPr txBox="1"/>
                      <wps:spPr>
                        <a:xfrm>
                          <a:off x="0" y="0"/>
                          <a:ext cx="1333500" cy="307340"/>
                        </a:xfrm>
                        <a:prstGeom prst="rect">
                          <a:avLst/>
                        </a:prstGeom>
                        <a:noFill/>
                      </wps:spPr>
                      <wps:txbx>
                        <w:txbxContent>
                          <w:p w14:paraId="5BA94489">
                            <w:r>
                              <w:rPr>
                                <w:rFonts w:hint="eastAsia" w:ascii="微软雅黑" w:hAnsi="微软雅黑" w:eastAsia="微软雅黑" w:cstheme="minorBidi"/>
                                <w:color w:val="000000" w:themeColor="text1"/>
                                <w:kern w:val="24"/>
                                <w:sz w:val="28"/>
                                <w:szCs w:val="28"/>
                                <w14:textFill>
                                  <w14:solidFill>
                                    <w14:schemeClr w14:val="tx1"/>
                                  </w14:solidFill>
                                </w14:textFill>
                              </w:rPr>
                              <w:t>右进右出</w:t>
                            </w:r>
                          </w:p>
                        </w:txbxContent>
                      </wps:txbx>
                      <wps:bodyPr wrap="square" rtlCol="0">
                        <a:spAutoFit/>
                      </wps:bodyPr>
                    </wps:wsp>
                  </a:graphicData>
                </a:graphic>
              </wp:anchor>
            </w:drawing>
          </mc:Choice>
          <mc:Fallback>
            <w:pict>
              <v:shape id="文本框 123" o:spid="_x0000_s1026" o:spt="202" type="#_x0000_t202" style="position:absolute;left:0pt;margin-left:237.5pt;margin-top:6.9pt;height:24.2pt;width:105pt;z-index:251672576;mso-width-relative:page;mso-height-relative:page;" filled="f" stroked="f" coordsize="21600,21600" o:gfxdata="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gKnpE9UAAAAJAQAADwAAAAAAAAABACAAAAAiAAAAZHJzL2Rvd25yZXYueG1sUEsBAhQA&#10;FAAAAAgAh07iQEwdu6m8AQAAYQMAAA4AAAAAAAAAAQAgAAAAJAEAAGRycy9lMm9Eb2MueG1sUEsF&#10;BgAAAAAGAAYAWQEAAFIFAAAAAA==&#10;">
                <v:fill on="f" focussize="0,0"/>
                <v:stroke on="f"/>
                <v:imagedata o:title=""/>
                <o:lock v:ext="edit" aspectratio="f"/>
                <v:textbox style="mso-fit-shape-to-text:t;">
                  <w:txbxContent>
                    <w:p w14:paraId="5BA94489">
                      <w:r>
                        <w:rPr>
                          <w:rFonts w:hint="eastAsia" w:ascii="微软雅黑" w:hAnsi="微软雅黑" w:eastAsia="微软雅黑" w:cstheme="minorBidi"/>
                          <w:color w:val="000000" w:themeColor="text1"/>
                          <w:kern w:val="24"/>
                          <w:sz w:val="28"/>
                          <w:szCs w:val="28"/>
                          <w14:textFill>
                            <w14:solidFill>
                              <w14:schemeClr w14:val="tx1"/>
                            </w14:solidFill>
                          </w14:textFill>
                        </w:rPr>
                        <w:t>右进右出</w:t>
                      </w:r>
                    </w:p>
                  </w:txbxContent>
                </v:textbox>
              </v:shape>
            </w:pict>
          </mc:Fallback>
        </mc:AlternateContent>
      </w:r>
      <w:r>
        <mc:AlternateContent>
          <mc:Choice Requires="wpg">
            <w:drawing>
              <wp:anchor distT="0" distB="0" distL="114300" distR="114300" simplePos="0" relativeHeight="251673600" behindDoc="0" locked="0" layoutInCell="1" allowOverlap="1">
                <wp:simplePos x="0" y="0"/>
                <wp:positionH relativeFrom="column">
                  <wp:posOffset>2814320</wp:posOffset>
                </wp:positionH>
                <wp:positionV relativeFrom="paragraph">
                  <wp:posOffset>285115</wp:posOffset>
                </wp:positionV>
                <wp:extent cx="194945" cy="103505"/>
                <wp:effectExtent l="0" t="0" r="14605" b="10795"/>
                <wp:wrapNone/>
                <wp:docPr id="64" name="组合 216"/>
                <wp:cNvGraphicFramePr/>
                <a:graphic xmlns:a="http://schemas.openxmlformats.org/drawingml/2006/main">
                  <a:graphicData uri="http://schemas.microsoft.com/office/word/2010/wordprocessingGroup">
                    <wpg:wgp>
                      <wpg:cNvGrpSpPr/>
                      <wpg:grpSpPr>
                        <a:xfrm flipH="1">
                          <a:off x="0" y="0"/>
                          <a:ext cx="194945" cy="103505"/>
                          <a:chOff x="1282251" y="509429"/>
                          <a:chExt cx="195411" cy="103700"/>
                        </a:xfrm>
                      </wpg:grpSpPr>
                      <wps:wsp>
                        <wps:cNvPr id="65" name="箭头: 圆角右 65"/>
                        <wps:cNvSpPr/>
                        <wps:spPr bwMode="auto">
                          <a:xfrm rot="16200000" flipV="1">
                            <a:off x="1284985" y="506695"/>
                            <a:ext cx="89197" cy="94666"/>
                          </a:xfrm>
                          <a:prstGeom prst="bentArrow">
                            <a:avLst/>
                          </a:prstGeom>
                          <a:solidFill>
                            <a:srgbClr val="0000FF"/>
                          </a:solidFill>
                          <a:ln w="9525" cap="flat" cmpd="sng" algn="ctr">
                            <a:solidFill>
                              <a:schemeClr val="tx1"/>
                            </a:solidFill>
                            <a:prstDash val="solid"/>
                            <a:round/>
                            <a:headEnd type="none" w="med" len="med"/>
                            <a:tailEnd type="none" w="med" len="med"/>
                          </a:ln>
                        </wps:spPr>
                        <wps:bodyPr rot="0" spcFirstLastPara="0" vert="horz" wrap="square" lIns="91440" tIns="45720" rIns="91440" bIns="45720" numCol="1" spcCol="0" rtlCol="0" fromWordArt="0" anchor="t" anchorCtr="0" forceAA="0" compatLnSpc="1">
                          <a:noAutofit/>
                        </wps:bodyPr>
                      </wps:wsp>
                      <wps:wsp>
                        <wps:cNvPr id="66" name="箭头: 圆角右 66"/>
                        <wps:cNvSpPr/>
                        <wps:spPr bwMode="auto">
                          <a:xfrm flipV="1">
                            <a:off x="1388464" y="518464"/>
                            <a:ext cx="89198" cy="94665"/>
                          </a:xfrm>
                          <a:prstGeom prst="bentArrow">
                            <a:avLst/>
                          </a:prstGeom>
                          <a:solidFill>
                            <a:srgbClr val="0000FF"/>
                          </a:solidFill>
                          <a:ln w="9525" cap="flat" cmpd="sng" algn="ctr">
                            <a:solidFill>
                              <a:schemeClr val="tx1"/>
                            </a:solidFill>
                            <a:prstDash val="solid"/>
                            <a:round/>
                            <a:headEnd type="none" w="med" len="med"/>
                            <a:tailEnd type="none" w="med" len="med"/>
                          </a:ln>
                        </wps:spPr>
                        <wps:bodyPr vert="horz" wrap="square" lIns="91440" tIns="45720" rIns="91440" bIns="45720" numCol="1" rtlCol="0" anchor="t" anchorCtr="0" compatLnSpc="1"/>
                      </wps:wsp>
                    </wpg:wgp>
                  </a:graphicData>
                </a:graphic>
              </wp:anchor>
            </w:drawing>
          </mc:Choice>
          <mc:Fallback>
            <w:pict>
              <v:group id="组合 216" o:spid="_x0000_s1026" o:spt="203" style="position:absolute;left:0pt;flip:x;margin-left:221.6pt;margin-top:22.45pt;height:8.15pt;width:15.35pt;z-index:251673600;mso-width-relative:page;mso-height-relative:page;" coordorigin="1282251,509429" coordsize="195411,103700" o:gfxdata="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">
                <o:lock v:ext="edit" aspectratio="f"/>
                <v:shape id="箭头: 圆角右 65" o:spid="_x0000_s1026" style="position:absolute;left:1284985;top:506695;flip:y;height:94666;width:89197;rotation:5898240f;" fillcolor="#0000FF" filled="t" stroked="t" coordsize="89197,94666" o:gfxdata="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vHLom/&#10;AAAA2wAAAA8AAAAAAAAAAQAgAAAAIgAAAGRycy9kb3ducmV2LnhtbFBLAQIUABQAAAAIAIdO4kAz&#10;LwWeOwAAADkAAAAQAAAAAAAAAAEAIAAAAA4BAABkcnMvc2hhcGV4bWwueG1sUEsFBgAAAAAGAAYA&#10;WwEAALgDAAAAAA==&#10;" path="m0,94666l0,50173c0,28621,17471,11150,39023,11150l66897,11149,66897,0,89197,22299,66897,44598,66897,33448,39023,33448c29787,33448,22299,40936,22299,50172l22299,94666xe">
                  <v:path o:connectlocs="66897,0;66897,44598;11149,94666;89197,22299" o:connectangles="247,82,82,0"/>
                  <v:fill on="t" focussize="0,0"/>
                  <v:stroke color="#000000 [3213]" joinstyle="round"/>
                  <v:imagedata o:title=""/>
                  <o:lock v:ext="edit" aspectratio="f"/>
                </v:shape>
                <v:shape id="箭头: 圆角右 66" o:spid="_x0000_s1026" style="position:absolute;left:1388464;top:518464;flip:y;height:94665;width:89198;" fillcolor="#0000FF" filled="t" stroked="t" coordsize="89198,94665" o:gfxdata="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liom8AAAA&#10;2wAAAA8AAAAAAAAAAQAgAAAAIgAAAGRycy9kb3ducmV2LnhtbFBLAQIUABQAAAAIAIdO4kAzLwWe&#10;OwAAADkAAAAQAAAAAAAAAAEAIAAAAAsBAABkcnMvc2hhcGV4bWwueG1sUEsFBgAAAAAGAAYAWwEA&#10;ALUDAAAAAA==&#10;" path="m0,94665l0,50173c0,28621,17472,11149,39024,11149l66898,11149,66898,0,89198,22299,66898,44599,66898,33449,39024,33449c29788,33449,22300,40937,22300,50173l22299,94665xe">
                  <v:path o:connectlocs="66898,0;66898,44599;11149,94665;89198,22299" o:connectangles="247,82,82,0"/>
                  <v:fill on="t" focussize="0,0"/>
                  <v:stroke color="#000000 [3213]" joinstyle="round"/>
                  <v:imagedata o:title=""/>
                  <o:lock v:ext="edit" aspectratio="f"/>
                </v:shape>
              </v:group>
            </w:pict>
          </mc:Fallback>
        </mc:AlternateContent>
      </w:r>
    </w:p>
    <w:p w14:paraId="5F1DD9D1">
      <w:pPr>
        <w:pageBreakBefore w:val="0"/>
        <w:kinsoku/>
        <w:wordWrap/>
        <w:overflowPunct/>
        <w:topLinePunct w:val="0"/>
        <w:autoSpaceDE/>
        <w:autoSpaceDN/>
        <w:bidi w:val="0"/>
        <w:adjustRightInd/>
        <w:snapToGrid/>
        <w:spacing w:line="360" w:lineRule="auto"/>
        <w:ind w:left="0" w:leftChars="0"/>
        <w:jc w:val="both"/>
        <w:rPr>
          <w:rFonts w:ascii="黑体" w:hAnsi="黑体" w:eastAsia="黑体" w:cs="Times New Roman"/>
          <w:sz w:val="28"/>
          <w:szCs w:val="28"/>
        </w:rPr>
      </w:pPr>
      <w:r>
        <mc:AlternateContent>
          <mc:Choice Requires="wps">
            <w:drawing>
              <wp:anchor distT="0" distB="0" distL="114300" distR="114300" simplePos="0" relativeHeight="251667456" behindDoc="0" locked="0" layoutInCell="1" allowOverlap="1">
                <wp:simplePos x="0" y="0"/>
                <wp:positionH relativeFrom="column">
                  <wp:posOffset>1581150</wp:posOffset>
                </wp:positionH>
                <wp:positionV relativeFrom="paragraph">
                  <wp:posOffset>213995</wp:posOffset>
                </wp:positionV>
                <wp:extent cx="769620" cy="307340"/>
                <wp:effectExtent l="0" t="0" r="0" b="0"/>
                <wp:wrapNone/>
                <wp:docPr id="211" name="文本框 98"/>
                <wp:cNvGraphicFramePr/>
                <a:graphic xmlns:a="http://schemas.openxmlformats.org/drawingml/2006/main">
                  <a:graphicData uri="http://schemas.microsoft.com/office/word/2010/wordprocessingShape">
                    <wps:wsp>
                      <wps:cNvSpPr txBox="1"/>
                      <wps:spPr>
                        <a:xfrm>
                          <a:off x="0" y="0"/>
                          <a:ext cx="769620" cy="307340"/>
                        </a:xfrm>
                        <a:prstGeom prst="rect">
                          <a:avLst/>
                        </a:prstGeom>
                        <a:noFill/>
                      </wps:spPr>
                      <wps:txbx>
                        <w:txbxContent>
                          <w:p w14:paraId="66263424">
                            <w:r>
                              <w:rPr>
                                <w:rFonts w:hint="eastAsia" w:ascii="微软雅黑" w:hAnsi="微软雅黑" w:eastAsia="微软雅黑" w:cstheme="minorBidi"/>
                                <w:color w:val="000000" w:themeColor="text1"/>
                                <w:kern w:val="24"/>
                                <w:sz w:val="28"/>
                                <w:szCs w:val="28"/>
                                <w14:textFill>
                                  <w14:solidFill>
                                    <w14:schemeClr w14:val="tx1"/>
                                  </w14:solidFill>
                                </w14:textFill>
                              </w:rPr>
                              <w:t>支路</w:t>
                            </w:r>
                          </w:p>
                        </w:txbxContent>
                      </wps:txbx>
                      <wps:bodyPr wrap="square" rtlCol="0">
                        <a:spAutoFit/>
                      </wps:bodyPr>
                    </wps:wsp>
                  </a:graphicData>
                </a:graphic>
              </wp:anchor>
            </w:drawing>
          </mc:Choice>
          <mc:Fallback>
            <w:pict>
              <v:shape id="文本框 98" o:spid="_x0000_s1026" o:spt="202" type="#_x0000_t202" style="position:absolute;left:0pt;margin-left:124.5pt;margin-top:16.85pt;height:24.2pt;width:60.6pt;z-index:251667456;mso-width-relative:page;mso-height-relative:page;" filled="f" stroked="f" coordsize="21600,21600" o:gfxdata="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5uzMX1wAAAAkBAAAPAAAAAAAAAAEAIAAAACIAAABkcnMvZG93bnJldi54bWxQSwEC&#10;FAAUAAAACACHTuJAeLKnULwBAABfAwAADgAAAAAAAAABACAAAAAmAQAAZHJzL2Uyb0RvYy54bWxQ&#10;SwUGAAAAAAYABgBZAQAAVAUAAAAA&#10;">
                <v:fill on="f" focussize="0,0"/>
                <v:stroke on="f"/>
                <v:imagedata o:title=""/>
                <o:lock v:ext="edit" aspectratio="f"/>
                <v:textbox style="mso-fit-shape-to-text:t;">
                  <w:txbxContent>
                    <w:p w14:paraId="66263424">
                      <w:r>
                        <w:rPr>
                          <w:rFonts w:hint="eastAsia" w:ascii="微软雅黑" w:hAnsi="微软雅黑" w:eastAsia="微软雅黑" w:cstheme="minorBidi"/>
                          <w:color w:val="000000" w:themeColor="text1"/>
                          <w:kern w:val="24"/>
                          <w:sz w:val="28"/>
                          <w:szCs w:val="28"/>
                          <w14:textFill>
                            <w14:solidFill>
                              <w14:schemeClr w14:val="tx1"/>
                            </w14:solidFill>
                          </w14:textFill>
                        </w:rPr>
                        <w:t>支路</w:t>
                      </w:r>
                    </w:p>
                  </w:txbxContent>
                </v:textbox>
              </v:shape>
            </w:pict>
          </mc:Fallback>
        </mc:AlternateContent>
      </w:r>
      <w:r>
        <w:rPr>
          <w:rFonts w:ascii="黑体" w:hAnsi="黑体" w:eastAsia="黑体" w:cs="Times New Roman"/>
          <w:sz w:val="28"/>
          <w:szCs w:val="28"/>
        </w:rPr>
        <mc:AlternateContent>
          <mc:Choice Requires="wps">
            <w:drawing>
              <wp:anchor distT="0" distB="0" distL="114300" distR="114300" simplePos="0" relativeHeight="251678720" behindDoc="0" locked="0" layoutInCell="1" allowOverlap="1">
                <wp:simplePos x="0" y="0"/>
                <wp:positionH relativeFrom="column">
                  <wp:posOffset>2640965</wp:posOffset>
                </wp:positionH>
                <wp:positionV relativeFrom="paragraph">
                  <wp:posOffset>449580</wp:posOffset>
                </wp:positionV>
                <wp:extent cx="516890" cy="0"/>
                <wp:effectExtent l="95250" t="133350" r="92710" b="152400"/>
                <wp:wrapNone/>
                <wp:docPr id="70" name="直接连接符 298"/>
                <wp:cNvGraphicFramePr/>
                <a:graphic xmlns:a="http://schemas.openxmlformats.org/drawingml/2006/main">
                  <a:graphicData uri="http://schemas.microsoft.com/office/word/2010/wordprocessingShape">
                    <wps:wsp>
                      <wps:cNvCnPr/>
                      <wps:spPr>
                        <a:xfrm>
                          <a:off x="0" y="0"/>
                          <a:ext cx="516890" cy="0"/>
                        </a:xfrm>
                        <a:prstGeom prst="line">
                          <a:avLst/>
                        </a:prstGeom>
                        <a:noFill/>
                        <a:ln w="50800">
                          <a:solidFill>
                            <a:srgbClr val="FFC000"/>
                          </a:solidFill>
                          <a:headEnd type="none" w="med" len="med"/>
                          <a:tailEnd type="none" w="med" len="med"/>
                        </a:ln>
                        <a:effectLst>
                          <a:glow rad="101600">
                            <a:schemeClr val="bg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line id="直接连接符 298" o:spid="_x0000_s1026" o:spt="20" style="position:absolute;left:0pt;margin-left:207.95pt;margin-top:35.4pt;height:0pt;width:40.7pt;z-index:251678720;mso-width-relative:page;mso-height-relative:page;" filled="f" stroked="t" coordsize="21600,21600" o:gfxdata="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uk&#10;RMrVAAAACQEAAA8AAAAAAAAAAQAgAAAAIgAAAGRycy9kb3ducmV2LnhtbFBLAQIUABQAAAAIAIdO&#10;4kB1iI9UJgIAAGQEAAAOAAAAAAAAAAEAIAAAACQBAABkcnMvZTJvRG9jLnhtbFBLBQYAAAAABgAG&#10;AFkBAAC8BQAAAAA=&#10;">
                <v:fill on="f" focussize="0,0"/>
                <v:stroke weight="4pt" color="#FFC000 [3204]" joinstyle="round"/>
                <v:imagedata o:title=""/>
                <o:lock v:ext="edit" aspectratio="f"/>
              </v:line>
            </w:pict>
          </mc:Fallback>
        </mc:AlternateContent>
      </w:r>
      <w:r>
        <w:rPr>
          <w:rFonts w:ascii="黑体" w:hAnsi="黑体" w:eastAsia="黑体" w:cs="Times New Roman"/>
          <w:sz w:val="28"/>
          <w:szCs w:val="28"/>
        </w:rPr>
        <mc:AlternateContent>
          <mc:Choice Requires="wps">
            <w:drawing>
              <wp:anchor distT="0" distB="0" distL="114300" distR="114300" simplePos="0" relativeHeight="251679744" behindDoc="0" locked="0" layoutInCell="1" allowOverlap="1">
                <wp:simplePos x="0" y="0"/>
                <wp:positionH relativeFrom="column">
                  <wp:posOffset>3202305</wp:posOffset>
                </wp:positionH>
                <wp:positionV relativeFrom="paragraph">
                  <wp:posOffset>200025</wp:posOffset>
                </wp:positionV>
                <wp:extent cx="727075" cy="307340"/>
                <wp:effectExtent l="0" t="0" r="0" b="0"/>
                <wp:wrapNone/>
                <wp:docPr id="71" name="文本框 123"/>
                <wp:cNvGraphicFramePr/>
                <a:graphic xmlns:a="http://schemas.openxmlformats.org/drawingml/2006/main">
                  <a:graphicData uri="http://schemas.microsoft.com/office/word/2010/wordprocessingShape">
                    <wps:wsp>
                      <wps:cNvSpPr txBox="1"/>
                      <wps:spPr>
                        <a:xfrm>
                          <a:off x="0" y="0"/>
                          <a:ext cx="727075" cy="307340"/>
                        </a:xfrm>
                        <a:prstGeom prst="rect">
                          <a:avLst/>
                        </a:prstGeom>
                        <a:noFill/>
                      </wps:spPr>
                      <wps:txbx>
                        <w:txbxContent>
                          <w:p w14:paraId="7486033D">
                            <w:r>
                              <w:rPr>
                                <w:rFonts w:hint="eastAsia" w:ascii="微软雅黑" w:hAnsi="微软雅黑" w:eastAsia="微软雅黑" w:cstheme="minorBidi"/>
                                <w:color w:val="000000" w:themeColor="text1"/>
                                <w:kern w:val="24"/>
                                <w:sz w:val="28"/>
                                <w:szCs w:val="28"/>
                                <w14:textFill>
                                  <w14:solidFill>
                                    <w14:schemeClr w14:val="tx1"/>
                                  </w14:solidFill>
                                </w14:textFill>
                              </w:rPr>
                              <w:t>高架</w:t>
                            </w:r>
                          </w:p>
                        </w:txbxContent>
                      </wps:txbx>
                      <wps:bodyPr wrap="square" rtlCol="0">
                        <a:spAutoFit/>
                      </wps:bodyPr>
                    </wps:wsp>
                  </a:graphicData>
                </a:graphic>
              </wp:anchor>
            </w:drawing>
          </mc:Choice>
          <mc:Fallback>
            <w:pict>
              <v:shape id="文本框 123" o:spid="_x0000_s1026" o:spt="202" type="#_x0000_t202" style="position:absolute;left:0pt;margin-left:252.15pt;margin-top:15.75pt;height:24.2pt;width:57.25pt;z-index:251679744;mso-width-relative:page;mso-height-relative:page;" filled="f" stroked="f" coordsize="21600,21600" o:gfxdata="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JkbJxtcAAAAJAQAADwAAAAAAAAABACAAAAAiAAAAZHJzL2Rvd25yZXYueG1sUEsB&#10;AhQAFAAAAAgAh07iQBAjWAi9AQAAXwMAAA4AAAAAAAAAAQAgAAAAJgEAAGRycy9lMm9Eb2MueG1s&#10;UEsFBgAAAAAGAAYAWQEAAFUFAAAAAA==&#10;">
                <v:fill on="f" focussize="0,0"/>
                <v:stroke on="f"/>
                <v:imagedata o:title=""/>
                <o:lock v:ext="edit" aspectratio="f"/>
                <v:textbox style="mso-fit-shape-to-text:t;">
                  <w:txbxContent>
                    <w:p w14:paraId="7486033D">
                      <w:r>
                        <w:rPr>
                          <w:rFonts w:hint="eastAsia" w:ascii="微软雅黑" w:hAnsi="微软雅黑" w:eastAsia="微软雅黑" w:cstheme="minorBidi"/>
                          <w:color w:val="000000" w:themeColor="text1"/>
                          <w:kern w:val="24"/>
                          <w:sz w:val="28"/>
                          <w:szCs w:val="28"/>
                          <w14:textFill>
                            <w14:solidFill>
                              <w14:schemeClr w14:val="tx1"/>
                            </w14:solidFill>
                          </w14:textFill>
                        </w:rPr>
                        <w:t>高架</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2679700</wp:posOffset>
                </wp:positionH>
                <wp:positionV relativeFrom="paragraph">
                  <wp:posOffset>213995</wp:posOffset>
                </wp:positionV>
                <wp:extent cx="516890" cy="0"/>
                <wp:effectExtent l="57150" t="76200" r="54610" b="76200"/>
                <wp:wrapNone/>
                <wp:docPr id="299" name="直接连接符 298"/>
                <wp:cNvGraphicFramePr/>
                <a:graphic xmlns:a="http://schemas.openxmlformats.org/drawingml/2006/main">
                  <a:graphicData uri="http://schemas.microsoft.com/office/word/2010/wordprocessingShape">
                    <wps:wsp>
                      <wps:cNvCnPr/>
                      <wps:spPr>
                        <a:xfrm>
                          <a:off x="0" y="0"/>
                          <a:ext cx="516890" cy="0"/>
                        </a:xfrm>
                        <a:prstGeom prst="line">
                          <a:avLst/>
                        </a:prstGeom>
                        <a:noFill/>
                        <a:ln w="44450">
                          <a:solidFill>
                            <a:schemeClr val="tx1"/>
                          </a:solidFill>
                          <a:headEnd type="none" w="med" len="med"/>
                          <a:tailEnd type="none" w="med" len="med"/>
                        </a:ln>
                        <a:effectLst>
                          <a:glow rad="508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line id="直接连接符 298" o:spid="_x0000_s1026" o:spt="20" style="position:absolute;left:0pt;margin-left:211pt;margin-top:16.85pt;height:0pt;width:40.7pt;z-index:251676672;mso-width-relative:page;mso-height-relative:page;" filled="f" stroked="t" coordsize="21600,21600" o:gfxdata="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9///ZAAAACQEA&#10;AA8AAAAAAAAAAQAgAAAAIgAAAGRycy9kb3ducmV2LnhtbFBLAQIUABQAAAAIAIdO4kAg4baaGQIA&#10;AEMEAAAOAAAAAAAAAAEAIAAAACgBAABkcnMvZTJvRG9jLnhtbFBLBQYAAAAABgAGAFkBAACzBQAA&#10;AAA=&#10;">
                <v:fill on="f" focussize="0,0"/>
                <v:stroke weight="3.5pt" color="#000000 [3213]" joinstyle="round"/>
                <v:imagedata o:title=""/>
                <o:lock v:ext="edit" aspectratio="f"/>
              </v:line>
            </w:pict>
          </mc:Fallback>
        </mc:AlternateContent>
      </w:r>
    </w:p>
    <w:p w14:paraId="70E1A1C9">
      <w:pPr>
        <w:pageBreakBefore w:val="0"/>
        <w:kinsoku/>
        <w:wordWrap/>
        <w:overflowPunct/>
        <w:topLinePunct w:val="0"/>
        <w:autoSpaceDE/>
        <w:autoSpaceDN/>
        <w:bidi w:val="0"/>
        <w:adjustRightInd/>
        <w:snapToGrid/>
        <w:spacing w:line="360" w:lineRule="auto"/>
        <w:ind w:left="0" w:leftChars="0"/>
        <w:jc w:val="both"/>
        <w:rPr>
          <w:rFonts w:ascii="Times New Roman" w:hAnsi="Times New Roman" w:eastAsia="仿宋_GB2312" w:cs="Times New Roman"/>
          <w:sz w:val="30"/>
          <w:szCs w:val="30"/>
        </w:rPr>
      </w:pPr>
    </w:p>
    <w:p w14:paraId="1441AA6E">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6</w:t>
      </w:r>
      <w:r>
        <w:rPr>
          <w:rFonts w:hint="eastAsia" w:ascii="楷体" w:hAnsi="楷体" w:eastAsia="楷体" w:cs="楷体"/>
          <w:sz w:val="32"/>
          <w:szCs w:val="32"/>
          <w:lang w:val="zh-CN"/>
        </w:rPr>
        <w:t>）连霍高速城市快速路改造</w:t>
      </w:r>
    </w:p>
    <w:p w14:paraId="5507874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现状海州与连云组团间日客流量30-40万人次，高峰小时6-8万人次，小汽车占2-3万人次，约合13000-20000pcu，需两条快速路。因临洪大道近期无法贯通，仅靠港城大道快速化改造仍无法满足组团间交通需求。连霍高速作为现状海州区与连云区通勤的主要道路之一，能极大程度缓解港城大道交通压力。很多工作、生活在主城区和东部城区的人员往返渔湾收费站和云台收费站，但需每天支付过路费12元，通行成本相对较高。</w:t>
      </w:r>
    </w:p>
    <w:p w14:paraId="1FEC9671">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近期可借鉴外地经验（如成都、义乌等地），立足连云港市情，根据通行数据测算设定车辆通行高峰期时段，对在高峰期时段内使用ETC记账卡并悬挂连云港号牌的1类客车（即9座以下且车长小于6米的客车），在连云港市境内各收费站进出且行驶上述收费站点之间的路段，免收车辆通行费，免通范围内客车产生的通行费用由政府承担，每年约500万元。远期渔湾收费站按原规模迁建至云台互通以西，总投资约1.1亿元，同步撤销云台互通收费站。项目实施以后云台收费站至连霍高速零公里段及东疏港高速宿城出口段将成为城市快速路，可以解决市政府到市开发区、徐圩新区、港口、连云区之间高速通道问题，也可以有效缓解港城大道的交通压力。</w:t>
      </w:r>
    </w:p>
    <w:p w14:paraId="1229040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ascii="Times New Roman" w:hAnsi="Times New Roman" w:eastAsia="仿宋_GB2312" w:cs="Times New Roman"/>
          <w:b/>
          <w:sz w:val="30"/>
          <w:szCs w:val="30"/>
        </w:rPr>
      </w:pPr>
      <w:r>
        <w:rPr>
          <w:rFonts w:hint="eastAsia" w:ascii="楷体" w:hAnsi="楷体" w:eastAsia="楷体" w:cs="楷体"/>
          <w:sz w:val="32"/>
          <w:szCs w:val="32"/>
          <w:lang w:val="en-US" w:eastAsia="zh-CN"/>
        </w:rPr>
        <w:t>2.</w:t>
      </w:r>
      <w:r>
        <w:rPr>
          <w:rFonts w:hint="eastAsia" w:ascii="楷体" w:hAnsi="楷体" w:eastAsia="楷体" w:cs="楷体"/>
          <w:sz w:val="32"/>
          <w:szCs w:val="32"/>
          <w:lang w:val="zh-CN"/>
        </w:rPr>
        <w:t>赣榆</w:t>
      </w:r>
      <w:r>
        <w:rPr>
          <w:rFonts w:hint="eastAsia" w:ascii="楷体" w:hAnsi="楷体" w:eastAsia="楷体" w:cs="楷体"/>
          <w:sz w:val="32"/>
          <w:szCs w:val="32"/>
        </w:rPr>
        <w:t>-</w:t>
      </w:r>
      <w:r>
        <w:rPr>
          <w:rFonts w:hint="eastAsia" w:ascii="楷体" w:hAnsi="楷体" w:eastAsia="楷体" w:cs="楷体"/>
          <w:sz w:val="32"/>
          <w:szCs w:val="32"/>
          <w:lang w:val="zh-CN"/>
        </w:rPr>
        <w:t>连云</w:t>
      </w:r>
      <w:r>
        <w:rPr>
          <w:rFonts w:hint="eastAsia" w:ascii="楷体" w:hAnsi="楷体" w:eastAsia="楷体" w:cs="楷体"/>
          <w:sz w:val="32"/>
          <w:szCs w:val="32"/>
        </w:rPr>
        <w:t>-徐圩组团</w:t>
      </w:r>
    </w:p>
    <w:p w14:paraId="59FD503A">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1</w:t>
      </w:r>
      <w:r>
        <w:rPr>
          <w:rFonts w:hint="eastAsia" w:ascii="楷体" w:hAnsi="楷体" w:eastAsia="楷体" w:cs="楷体"/>
          <w:sz w:val="32"/>
          <w:szCs w:val="32"/>
          <w:lang w:val="zh-CN"/>
        </w:rPr>
        <w:t>）大港路快速化改造</w:t>
      </w:r>
    </w:p>
    <w:p w14:paraId="23DA018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连云港北疏港高速公路是《江苏省省道公路网规划（2011—2020年）》、《江苏省高速公路网规划（2017—2035年）》中的省道高速公路，编号为S72，规划定位为服务连云港港主体港区向北和西北方向的高速公路集疏运通道。其中，项目一期工程已于2016年建成通车。本次规划研究范围为连云港北疏港高速公路二期工程（大港路高架），即在大港路走廊带上建设高架疏港通道。初步提出封闭收费模式和开放免费模式两种建设方案。其中，若按封闭收费方案总投资约58.9亿元，若按开放免费方案（市政高架）总投资约65.1亿元。同时，该项目还涉及临洪河生态湿地国家级生态红线，项目前期推进存在一定的政策障碍。</w:t>
      </w:r>
    </w:p>
    <w:p w14:paraId="1F70FEDE">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b/>
          <w:bCs/>
          <w:sz w:val="32"/>
          <w:szCs w:val="32"/>
          <w:lang w:val="zh-CN"/>
        </w:rPr>
        <w:t>方案一：封闭式收费方案。</w:t>
      </w:r>
      <w:r>
        <w:rPr>
          <w:rFonts w:hint="eastAsia" w:ascii="Times New Roman" w:hAnsi="Times New Roman" w:eastAsia="仿宋_GB2312" w:cs="Times New Roman"/>
          <w:sz w:val="32"/>
          <w:szCs w:val="32"/>
          <w:lang w:val="zh-CN"/>
        </w:rPr>
        <w:t>本项目与228国道（临洪河大桥以北）、242省道设置出入型互通衔接并设置匝道收费站，在墟沟枢纽西侧约1400米处设置地面主线收费站，拆除宋庄互通收费站，调整为高速公路枢纽。估算总投资约58.9亿元，其中建安费约48.3亿元。</w:t>
      </w:r>
    </w:p>
    <w:p w14:paraId="229C8BC3">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方案优点：一是实现“客货分离”，通过实行地面道路货车禁行的相关管控措施，实现高架道路服务疏港交通和过境交通，地面道路服务城市交通的目标。二是投资效益相对较好，本方案路线全段均可纳入收费里程计算，高速公路收费收入相对较高。三是资金来源可以保障。按照收费模式建设高速公路，地方政府可以申请财政专项债券，省里可以出资部分项目资本金（不超过总投资的12%，约7亿元），有效解决项目建设资金来源问题。</w:t>
      </w:r>
    </w:p>
    <w:p w14:paraId="4872AB88">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方案缺点：一是项目资本金比例较高，考虑连云港港疏港集装箱卡车享受高速公路通行费免费的优惠政策，经初步测算，本项目资本金比例将超过70%。二是主线收费站选址较为困难，选址一位于连云区海岸明珠新城等住宅小区附近，可能存在征拆困难和噪声污染等潜在问题；选址二考虑设置在242省道以西、排淡河以东，该方案将使收费里程由21公里缩短至13公里，减少高速收费收入。</w:t>
      </w:r>
    </w:p>
    <w:p w14:paraId="1ADDF6D5">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b/>
          <w:bCs/>
          <w:sz w:val="32"/>
          <w:szCs w:val="32"/>
          <w:lang w:val="zh-CN"/>
        </w:rPr>
        <w:t>方案二：开放式建设方案。</w:t>
      </w:r>
      <w:r>
        <w:rPr>
          <w:rFonts w:hint="eastAsia" w:ascii="Times New Roman" w:hAnsi="Times New Roman" w:eastAsia="仿宋_GB2312" w:cs="Times New Roman"/>
          <w:sz w:val="32"/>
          <w:szCs w:val="32"/>
          <w:lang w:val="zh-CN"/>
        </w:rPr>
        <w:t>考虑即使采用封闭式收费方案，总体上也难以获得良好投资收益的情况，研究提出便于城市利用的开放式建设方案。即：将现状宋庄互通收费站改造为主线收费站，在与228国道（临洪河大桥以北）、临洪大道、花果山大道、汇晶路、242省道、新光路等交叉处均设置出入型互通，估算总投资约65.1亿元，其中建安费约51.4亿元。</w:t>
      </w:r>
    </w:p>
    <w:p w14:paraId="7ED70C7D">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其中宋庄连接线-新光路段11km，作为专用疏港道路及组团之间的快速联系通道，需实现疏港、快速通道、主干道三级分离，建议增设辅道；新光路-海滨大道段6km，需实现疏港、主干路二级分离。</w:t>
      </w:r>
    </w:p>
    <w:p w14:paraId="46365EE1">
      <w:pPr>
        <w:pageBreakBefore w:val="0"/>
        <w:kinsoku/>
        <w:wordWrap/>
        <w:overflowPunct/>
        <w:topLinePunct w:val="0"/>
        <w:autoSpaceDE/>
        <w:autoSpaceDN/>
        <w:bidi w:val="0"/>
        <w:adjustRightInd/>
        <w:snapToGrid/>
        <w:spacing w:line="360" w:lineRule="auto"/>
        <w:ind w:left="480" w:leftChars="0" w:hanging="480" w:hangingChars="200"/>
        <w:jc w:val="center"/>
        <w:rPr>
          <w:rFonts w:ascii="Times New Roman" w:hAnsi="Times New Roman" w:eastAsia="仿宋_GB2312" w:cs="Times New Roman"/>
          <w:sz w:val="30"/>
          <w:szCs w:val="30"/>
          <w:lang w:val="zh-CN"/>
        </w:rPr>
      </w:pPr>
      <w:r>
        <w:drawing>
          <wp:inline distT="0" distB="0" distL="114300" distR="114300">
            <wp:extent cx="5297170" cy="1866900"/>
            <wp:effectExtent l="0" t="0" r="0" b="0"/>
            <wp:docPr id="93"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2"/>
                    <pic:cNvPicPr>
                      <a:picLocks noChangeAspect="1"/>
                    </pic:cNvPicPr>
                  </pic:nvPicPr>
                  <pic:blipFill>
                    <a:blip r:embed="rId32"/>
                    <a:srcRect/>
                    <a:stretch>
                      <a:fillRect/>
                    </a:stretch>
                  </pic:blipFill>
                  <pic:spPr>
                    <a:xfrm>
                      <a:off x="0" y="0"/>
                      <a:ext cx="5310601" cy="1871815"/>
                    </a:xfrm>
                    <a:prstGeom prst="rect">
                      <a:avLst/>
                    </a:prstGeom>
                  </pic:spPr>
                </pic:pic>
              </a:graphicData>
            </a:graphic>
          </wp:inline>
        </w:drawing>
      </w:r>
    </w:p>
    <w:p w14:paraId="4BABB17A">
      <w:pPr>
        <w:pageBreakBefore w:val="0"/>
        <w:kinsoku/>
        <w:wordWrap/>
        <w:overflowPunct/>
        <w:topLinePunct w:val="0"/>
        <w:autoSpaceDE/>
        <w:autoSpaceDN/>
        <w:bidi w:val="0"/>
        <w:adjustRightInd/>
        <w:snapToGrid/>
        <w:spacing w:line="360" w:lineRule="auto"/>
        <w:ind w:left="0" w:leftChars="0" w:hanging="1"/>
        <w:jc w:val="center"/>
        <w:rPr>
          <w:rFonts w:ascii="黑体" w:hAnsi="黑体" w:eastAsia="黑体" w:cs="Times New Roman"/>
          <w:sz w:val="28"/>
          <w:szCs w:val="28"/>
          <w:lang w:val="zh-CN"/>
        </w:rPr>
      </w:pPr>
      <w:r>
        <w:rPr>
          <w:rFonts w:hint="eastAsia" w:ascii="黑体" w:hAnsi="黑体" w:eastAsia="黑体" w:cs="Times New Roman"/>
          <w:sz w:val="28"/>
          <w:szCs w:val="28"/>
        </w:rPr>
        <w:t>大港路（</w:t>
      </w:r>
      <w:r>
        <w:rPr>
          <w:rFonts w:hint="eastAsia" w:ascii="黑体" w:hAnsi="黑体" w:eastAsia="黑体" w:cs="Times New Roman"/>
          <w:sz w:val="28"/>
          <w:szCs w:val="28"/>
          <w:lang w:val="zh-CN"/>
        </w:rPr>
        <w:t>宋庄连接线-新光路段）推荐断面形式</w:t>
      </w:r>
    </w:p>
    <w:p w14:paraId="2184CD80">
      <w:pPr>
        <w:pageBreakBefore w:val="0"/>
        <w:kinsoku/>
        <w:wordWrap/>
        <w:overflowPunct/>
        <w:topLinePunct w:val="0"/>
        <w:autoSpaceDE/>
        <w:autoSpaceDN/>
        <w:bidi w:val="0"/>
        <w:adjustRightInd/>
        <w:snapToGrid/>
        <w:spacing w:line="360" w:lineRule="auto"/>
        <w:ind w:left="336" w:leftChars="0" w:hanging="336" w:hangingChars="140"/>
        <w:jc w:val="center"/>
      </w:pPr>
      <w:r>
        <w:drawing>
          <wp:inline distT="0" distB="0" distL="114300" distR="114300">
            <wp:extent cx="3392805" cy="1738630"/>
            <wp:effectExtent l="0" t="0" r="0" b="0"/>
            <wp:docPr id="88" name="图片 87" descr="L:\新建文件夹\001 连云港北疏港高速\断面\new\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7" descr="L:\新建文件夹\001 连云港北疏港高速\断面\new\44.jpg"/>
                    <pic:cNvPicPr>
                      <a:picLocks noChangeAspect="1"/>
                    </pic:cNvPicPr>
                  </pic:nvPicPr>
                  <pic:blipFill>
                    <a:blip r:embed="rId33"/>
                    <a:srcRect/>
                    <a:stretch>
                      <a:fillRect/>
                    </a:stretch>
                  </pic:blipFill>
                  <pic:spPr>
                    <a:xfrm>
                      <a:off x="0" y="0"/>
                      <a:ext cx="3406500" cy="1745707"/>
                    </a:xfrm>
                    <a:prstGeom prst="rect">
                      <a:avLst/>
                    </a:prstGeom>
                    <a:noFill/>
                    <a:ln>
                      <a:noFill/>
                    </a:ln>
                  </pic:spPr>
                </pic:pic>
              </a:graphicData>
            </a:graphic>
          </wp:inline>
        </w:drawing>
      </w:r>
    </w:p>
    <w:p w14:paraId="20A98823">
      <w:pPr>
        <w:keepNext w:val="0"/>
        <w:keepLines w:val="0"/>
        <w:pageBreakBefore w:val="0"/>
        <w:widowControl/>
        <w:kinsoku/>
        <w:wordWrap/>
        <w:overflowPunct/>
        <w:topLinePunct w:val="0"/>
        <w:autoSpaceDE/>
        <w:autoSpaceDN/>
        <w:bidi w:val="0"/>
        <w:adjustRightInd/>
        <w:snapToGrid/>
        <w:spacing w:line="560" w:lineRule="exact"/>
        <w:ind w:left="0" w:leftChars="0"/>
        <w:jc w:val="center"/>
        <w:textAlignment w:val="auto"/>
        <w:rPr>
          <w:rFonts w:ascii="黑体" w:hAnsi="黑体" w:eastAsia="黑体" w:cs="Times New Roman"/>
          <w:sz w:val="28"/>
          <w:szCs w:val="28"/>
          <w:lang w:val="zh-CN"/>
        </w:rPr>
      </w:pPr>
      <w:r>
        <w:rPr>
          <w:rFonts w:hint="eastAsia" w:ascii="黑体" w:hAnsi="黑体" w:eastAsia="黑体" w:cs="Times New Roman"/>
          <w:sz w:val="28"/>
          <w:szCs w:val="28"/>
        </w:rPr>
        <w:t>大港路（</w:t>
      </w:r>
      <w:r>
        <w:rPr>
          <w:rFonts w:hint="eastAsia" w:ascii="黑体" w:hAnsi="黑体" w:eastAsia="黑体" w:cs="Times New Roman"/>
          <w:sz w:val="28"/>
          <w:szCs w:val="28"/>
          <w:lang w:val="zh-CN"/>
        </w:rPr>
        <w:t>新光路-海滨大道段）推荐断面形式</w:t>
      </w:r>
    </w:p>
    <w:p w14:paraId="7E6F577E">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连霍高速互通至海滨大道段2.8km处于连云区范围，需对现状大港路立交进行改造，大港路主线高架上跨，新增西北象限和东南象限转向匝道。大港路主线高架服务疏港交通。</w:t>
      </w:r>
    </w:p>
    <w:p w14:paraId="6DB89852">
      <w:pPr>
        <w:pageBreakBefore w:val="0"/>
        <w:kinsoku/>
        <w:wordWrap/>
        <w:overflowPunct/>
        <w:topLinePunct w:val="0"/>
        <w:autoSpaceDE/>
        <w:autoSpaceDN/>
        <w:bidi w:val="0"/>
        <w:adjustRightInd/>
        <w:snapToGrid/>
        <w:spacing w:line="360" w:lineRule="auto"/>
        <w:ind w:left="0" w:leftChars="0"/>
        <w:jc w:val="both"/>
        <w:rPr>
          <w:rFonts w:ascii="Times New Roman" w:hAnsi="Times New Roman" w:eastAsia="仿宋_GB2312" w:cs="Times New Roman"/>
          <w:sz w:val="30"/>
          <w:szCs w:val="30"/>
          <w:lang w:val="zh-CN"/>
        </w:rPr>
      </w:pPr>
      <w:r>
        <w:drawing>
          <wp:inline distT="0" distB="0" distL="114300" distR="114300">
            <wp:extent cx="5683250" cy="1828800"/>
            <wp:effectExtent l="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34"/>
                    <a:stretch>
                      <a:fillRect/>
                    </a:stretch>
                  </pic:blipFill>
                  <pic:spPr>
                    <a:xfrm>
                      <a:off x="0" y="0"/>
                      <a:ext cx="5700730" cy="1834756"/>
                    </a:xfrm>
                    <a:prstGeom prst="rect">
                      <a:avLst/>
                    </a:prstGeom>
                    <a:noFill/>
                    <a:ln>
                      <a:noFill/>
                    </a:ln>
                  </pic:spPr>
                </pic:pic>
              </a:graphicData>
            </a:graphic>
          </wp:inline>
        </w:drawing>
      </w:r>
    </w:p>
    <w:p w14:paraId="4037F377">
      <w:pPr>
        <w:pageBreakBefore w:val="0"/>
        <w:kinsoku/>
        <w:wordWrap/>
        <w:overflowPunct/>
        <w:topLinePunct w:val="0"/>
        <w:autoSpaceDE/>
        <w:autoSpaceDN/>
        <w:bidi w:val="0"/>
        <w:adjustRightInd/>
        <w:snapToGrid/>
        <w:spacing w:line="360" w:lineRule="auto"/>
        <w:ind w:left="0" w:leftChars="0" w:firstLine="240" w:firstLineChars="100"/>
        <w:jc w:val="both"/>
      </w:pPr>
      <w:r>
        <w:drawing>
          <wp:inline distT="0" distB="0" distL="0" distR="0">
            <wp:extent cx="2417445" cy="1910080"/>
            <wp:effectExtent l="0" t="0" r="190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l="8899" r="8207"/>
                    <a:stretch>
                      <a:fillRect/>
                    </a:stretch>
                  </pic:blipFill>
                  <pic:spPr>
                    <a:xfrm>
                      <a:off x="0" y="0"/>
                      <a:ext cx="2417469" cy="1910139"/>
                    </a:xfrm>
                    <a:prstGeom prst="rect">
                      <a:avLst/>
                    </a:prstGeom>
                    <a:noFill/>
                    <a:ln>
                      <a:noFill/>
                    </a:ln>
                    <a:effectLst/>
                  </pic:spPr>
                </pic:pic>
              </a:graphicData>
            </a:graphic>
          </wp:inline>
        </w:drawing>
      </w:r>
      <w:r>
        <w:drawing>
          <wp:inline distT="0" distB="0" distL="114300" distR="114300">
            <wp:extent cx="2681605" cy="1837055"/>
            <wp:effectExtent l="0" t="0" r="4445"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36"/>
                    <a:srcRect l="49069"/>
                    <a:stretch>
                      <a:fillRect/>
                    </a:stretch>
                  </pic:blipFill>
                  <pic:spPr>
                    <a:xfrm>
                      <a:off x="0" y="0"/>
                      <a:ext cx="2691663" cy="1844511"/>
                    </a:xfrm>
                    <a:prstGeom prst="rect">
                      <a:avLst/>
                    </a:prstGeom>
                    <a:noFill/>
                    <a:ln>
                      <a:noFill/>
                    </a:ln>
                  </pic:spPr>
                </pic:pic>
              </a:graphicData>
            </a:graphic>
          </wp:inline>
        </w:drawing>
      </w:r>
    </w:p>
    <w:p w14:paraId="31C016E8">
      <w:pPr>
        <w:pageBreakBefore w:val="0"/>
        <w:kinsoku/>
        <w:wordWrap/>
        <w:overflowPunct/>
        <w:topLinePunct w:val="0"/>
        <w:autoSpaceDE/>
        <w:autoSpaceDN/>
        <w:bidi w:val="0"/>
        <w:adjustRightInd/>
        <w:snapToGrid/>
        <w:spacing w:line="360" w:lineRule="auto"/>
        <w:ind w:left="0" w:leftChars="0"/>
        <w:jc w:val="center"/>
        <w:rPr>
          <w:rFonts w:ascii="黑体" w:hAnsi="黑体" w:eastAsia="黑体"/>
          <w:sz w:val="28"/>
          <w:szCs w:val="28"/>
        </w:rPr>
      </w:pPr>
      <w:r>
        <w:rPr>
          <w:rFonts w:hint="eastAsia" w:ascii="黑体" w:hAnsi="黑体" w:eastAsia="黑体"/>
          <w:b/>
          <w:bCs/>
          <w:sz w:val="28"/>
          <w:szCs w:val="28"/>
        </w:rPr>
        <w:t>墟沟互通改造方案</w:t>
      </w:r>
    </w:p>
    <w:p w14:paraId="27F12F73">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方案优点：一是道路沿线共设置5处全互通和2处半互通，周边地块出入便捷，对沿线土地开发、自贸区建设及连云新城开发建设的带动作用较强。二是由于高架道路不收取通行费用，且技术标准和通行能力远高于地面道路，将自然吸引疏港交通和过境交通利用高架道路通行，可以降低地面道路的通行压力。</w:t>
      </w:r>
    </w:p>
    <w:p w14:paraId="1DA7A11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方案缺点：一是该方案基本上为不收费高速公路，项目投资将以市为主，且无法申请专项债券，地方财政负担巨大，近期实施难度很大。二是较多的互通出入口和较高的技术标准在吸引疏港交通和过境交通的同时，也将吸引大量城市客运交通利用高架道路通行，届时高架道路和地面道路可能还会同时出现客货混行的情况，与“客货分离”的设计初衷有一定的背离。</w:t>
      </w:r>
    </w:p>
    <w:p w14:paraId="66C11938">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bookmarkStart w:id="49" w:name="_Hlk90476016"/>
      <w:r>
        <w:rPr>
          <w:rFonts w:hint="eastAsia" w:ascii="楷体" w:hAnsi="楷体" w:eastAsia="楷体" w:cs="楷体"/>
          <w:sz w:val="32"/>
          <w:szCs w:val="32"/>
          <w:lang w:val="zh-CN"/>
        </w:rPr>
        <w:t>（</w:t>
      </w:r>
      <w:r>
        <w:rPr>
          <w:rFonts w:hint="eastAsia" w:ascii="楷体" w:hAnsi="楷体" w:eastAsia="楷体" w:cs="楷体"/>
          <w:sz w:val="32"/>
          <w:szCs w:val="32"/>
          <w:lang w:val="en-US" w:eastAsia="zh-CN"/>
        </w:rPr>
        <w:t>2</w:t>
      </w:r>
      <w:r>
        <w:rPr>
          <w:rFonts w:hint="eastAsia" w:ascii="楷体" w:hAnsi="楷体" w:eastAsia="楷体" w:cs="楷体"/>
          <w:sz w:val="32"/>
          <w:szCs w:val="32"/>
          <w:lang w:val="zh-CN"/>
        </w:rPr>
        <w:t>）228国道大港路至徐新路段快速路改建</w:t>
      </w:r>
      <w:bookmarkEnd w:id="49"/>
      <w:r>
        <w:rPr>
          <w:rFonts w:hint="eastAsia" w:ascii="楷体" w:hAnsi="楷体" w:eastAsia="楷体" w:cs="楷体"/>
          <w:sz w:val="32"/>
          <w:szCs w:val="32"/>
          <w:lang w:val="zh-CN"/>
        </w:rPr>
        <w:t>及</w:t>
      </w:r>
      <w:bookmarkStart w:id="50" w:name="_Hlk90480315"/>
      <w:r>
        <w:rPr>
          <w:rFonts w:hint="eastAsia" w:ascii="楷体" w:hAnsi="楷体" w:eastAsia="楷体" w:cs="楷体"/>
          <w:sz w:val="32"/>
          <w:szCs w:val="32"/>
          <w:lang w:val="zh-CN"/>
        </w:rPr>
        <w:t>新光路</w:t>
      </w:r>
      <w:bookmarkEnd w:id="50"/>
      <w:r>
        <w:rPr>
          <w:rFonts w:hint="eastAsia" w:ascii="楷体" w:hAnsi="楷体" w:eastAsia="楷体" w:cs="楷体"/>
          <w:sz w:val="32"/>
          <w:szCs w:val="32"/>
          <w:lang w:val="zh-CN"/>
        </w:rPr>
        <w:t>北延快速化</w:t>
      </w:r>
    </w:p>
    <w:p w14:paraId="664B98F8">
      <w:pPr>
        <w:pageBreakBefore w:val="0"/>
        <w:kinsoku/>
        <w:wordWrap/>
        <w:overflowPunct/>
        <w:topLinePunct w:val="0"/>
        <w:autoSpaceDE/>
        <w:autoSpaceDN/>
        <w:bidi w:val="0"/>
        <w:adjustRightInd/>
        <w:snapToGrid/>
        <w:spacing w:line="360" w:lineRule="auto"/>
        <w:ind w:left="194" w:leftChars="0" w:hanging="194" w:hangingChars="81"/>
        <w:jc w:val="both"/>
        <w:rPr>
          <w:rFonts w:ascii="Times New Roman" w:hAnsi="Times New Roman" w:eastAsia="仿宋_GB2312" w:cs="Times New Roman"/>
          <w:sz w:val="30"/>
          <w:szCs w:val="30"/>
          <w:lang w:val="zh-CN"/>
        </w:rPr>
      </w:pPr>
      <w:r>
        <w:drawing>
          <wp:inline distT="0" distB="0" distL="0" distR="0">
            <wp:extent cx="5153025" cy="3009900"/>
            <wp:effectExtent l="0" t="0" r="9525"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37"/>
                    <a:stretch>
                      <a:fillRect/>
                    </a:stretch>
                  </pic:blipFill>
                  <pic:spPr>
                    <a:xfrm>
                      <a:off x="0" y="0"/>
                      <a:ext cx="5161893" cy="3014729"/>
                    </a:xfrm>
                    <a:prstGeom prst="rect">
                      <a:avLst/>
                    </a:prstGeom>
                  </pic:spPr>
                </pic:pic>
              </a:graphicData>
            </a:graphic>
          </wp:inline>
        </w:drawing>
      </w:r>
    </w:p>
    <w:p w14:paraId="22F8ABD3">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为缩短连云区和徐圩新区间通行时间，促进徐圩新区企业职工落户连云区，实现徐圩与连云融合发展，建议对228国道大港路至徐新路段快速路改建，同时为加强与连云新城的联系，建议打通新光路北延段接入连云新城，同步实施快速化改造。项目起点是连云新城海滨大道，讫点在228国道与徐新路交叉口处，全长25.284公里。计划总投资约31.1亿元，其中大港路—徐新路段总投资28.9亿元，北延段总投资2.2亿元。</w:t>
      </w:r>
    </w:p>
    <w:p w14:paraId="1F690AA1">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其中大港路—徐新路段长21.565km，一般段维持主路，新建辅路，采用地面快速路形式，地面交叉设置信号灯；大港路—G30段（3.6km）、经六路—经九路段（1.6km）改造为高架快速路（经六路—经九路段中分带35kV铁塔需避让或改移）；G30—港城大道段（1.8km）改造为隧道快速路，G310主路地下1层下穿，新光路主路地下2层下穿；与G228（大港路）设互通立交，与东方大道、仙霞山路、中云台大道、纵一路、纵三路、徐新路设置6处简易互通，228国道主线上跨。项目完成后大港路—徐新路段通行时间由43分钟减少至17分钟。</w:t>
      </w:r>
    </w:p>
    <w:p w14:paraId="34C89D56">
      <w:pPr>
        <w:pageBreakBefore w:val="0"/>
        <w:kinsoku/>
        <w:wordWrap/>
        <w:overflowPunct/>
        <w:topLinePunct w:val="0"/>
        <w:autoSpaceDE/>
        <w:autoSpaceDN/>
        <w:bidi w:val="0"/>
        <w:adjustRightInd/>
        <w:snapToGrid/>
        <w:spacing w:line="360" w:lineRule="auto"/>
        <w:ind w:left="194" w:leftChars="0" w:hanging="194" w:hangingChars="81"/>
        <w:jc w:val="both"/>
        <w:rPr>
          <w:rFonts w:ascii="Times New Roman" w:hAnsi="Times New Roman" w:eastAsia="仿宋_GB2312" w:cs="Times New Roman"/>
          <w:sz w:val="30"/>
          <w:szCs w:val="30"/>
          <w:lang w:val="zh-CN"/>
        </w:rPr>
      </w:pPr>
      <w:r>
        <w:drawing>
          <wp:inline distT="0" distB="0" distL="0" distR="0">
            <wp:extent cx="5274310" cy="1633220"/>
            <wp:effectExtent l="0" t="0" r="2540" b="508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8"/>
                    <a:stretch>
                      <a:fillRect/>
                    </a:stretch>
                  </pic:blipFill>
                  <pic:spPr>
                    <a:xfrm>
                      <a:off x="0" y="0"/>
                      <a:ext cx="5274310" cy="1633220"/>
                    </a:xfrm>
                    <a:prstGeom prst="rect">
                      <a:avLst/>
                    </a:prstGeom>
                  </pic:spPr>
                </pic:pic>
              </a:graphicData>
            </a:graphic>
          </wp:inline>
        </w:drawing>
      </w:r>
    </w:p>
    <w:p w14:paraId="6D0A553B">
      <w:pPr>
        <w:pageBreakBefore w:val="0"/>
        <w:kinsoku/>
        <w:wordWrap/>
        <w:overflowPunct/>
        <w:topLinePunct w:val="0"/>
        <w:autoSpaceDE/>
        <w:autoSpaceDN/>
        <w:bidi w:val="0"/>
        <w:adjustRightInd/>
        <w:snapToGrid/>
        <w:ind w:left="0" w:leftChars="0"/>
        <w:jc w:val="center"/>
        <w:rPr>
          <w:rFonts w:ascii="黑体" w:hAnsi="黑体" w:eastAsia="黑体"/>
          <w:sz w:val="28"/>
          <w:szCs w:val="28"/>
        </w:rPr>
      </w:pPr>
      <w:r>
        <w:rPr>
          <w:rFonts w:hint="eastAsia" w:ascii="黑体" w:hAnsi="黑体" w:eastAsia="黑体"/>
          <w:sz w:val="28"/>
          <w:szCs w:val="28"/>
        </w:rPr>
        <w:t>大港路—港城大道段快速路改建方案</w:t>
      </w:r>
    </w:p>
    <w:p w14:paraId="57A53DF9">
      <w:pPr>
        <w:pageBreakBefore w:val="0"/>
        <w:kinsoku/>
        <w:wordWrap/>
        <w:overflowPunct/>
        <w:topLinePunct w:val="0"/>
        <w:autoSpaceDE/>
        <w:autoSpaceDN/>
        <w:bidi w:val="0"/>
        <w:adjustRightInd/>
        <w:snapToGrid/>
        <w:ind w:left="0" w:leftChars="0" w:firstLine="283" w:firstLineChars="118"/>
        <w:jc w:val="both"/>
        <w:rPr>
          <w:rFonts w:ascii="黑体" w:hAnsi="黑体" w:eastAsia="黑体"/>
          <w:sz w:val="28"/>
          <w:szCs w:val="28"/>
        </w:rPr>
      </w:pPr>
      <w:r>
        <w:drawing>
          <wp:inline distT="0" distB="0" distL="0" distR="0">
            <wp:extent cx="5274310" cy="1284605"/>
            <wp:effectExtent l="0" t="0" r="254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39"/>
                    <a:stretch>
                      <a:fillRect/>
                    </a:stretch>
                  </pic:blipFill>
                  <pic:spPr>
                    <a:xfrm>
                      <a:off x="0" y="0"/>
                      <a:ext cx="5274310" cy="1284605"/>
                    </a:xfrm>
                    <a:prstGeom prst="rect">
                      <a:avLst/>
                    </a:prstGeom>
                  </pic:spPr>
                </pic:pic>
              </a:graphicData>
            </a:graphic>
          </wp:inline>
        </w:drawing>
      </w:r>
    </w:p>
    <w:p w14:paraId="4038D495">
      <w:pPr>
        <w:pageBreakBefore w:val="0"/>
        <w:kinsoku/>
        <w:wordWrap/>
        <w:overflowPunct/>
        <w:topLinePunct w:val="0"/>
        <w:autoSpaceDE/>
        <w:autoSpaceDN/>
        <w:bidi w:val="0"/>
        <w:adjustRightInd/>
        <w:snapToGrid/>
        <w:ind w:left="0" w:leftChars="0"/>
        <w:jc w:val="center"/>
        <w:rPr>
          <w:rFonts w:ascii="黑体" w:hAnsi="黑体" w:eastAsia="黑体"/>
          <w:sz w:val="28"/>
          <w:szCs w:val="28"/>
        </w:rPr>
      </w:pPr>
      <w:r>
        <w:rPr>
          <w:rFonts w:hint="eastAsia" w:ascii="黑体" w:hAnsi="黑体" w:eastAsia="黑体"/>
          <w:sz w:val="28"/>
          <w:szCs w:val="28"/>
        </w:rPr>
        <w:t>大港路—中云台大道段快速路改建方案</w:t>
      </w:r>
    </w:p>
    <w:p w14:paraId="351F6BF3">
      <w:pPr>
        <w:pageBreakBefore w:val="0"/>
        <w:kinsoku/>
        <w:wordWrap/>
        <w:overflowPunct/>
        <w:topLinePunct w:val="0"/>
        <w:autoSpaceDE/>
        <w:autoSpaceDN/>
        <w:bidi w:val="0"/>
        <w:adjustRightInd/>
        <w:snapToGrid/>
        <w:ind w:left="0" w:leftChars="0" w:firstLine="283" w:firstLineChars="118"/>
        <w:jc w:val="both"/>
        <w:rPr>
          <w:rFonts w:ascii="黑体" w:hAnsi="黑体" w:eastAsia="黑体"/>
          <w:sz w:val="28"/>
          <w:szCs w:val="28"/>
        </w:rPr>
      </w:pPr>
      <w:r>
        <w:drawing>
          <wp:inline distT="0" distB="0" distL="0" distR="0">
            <wp:extent cx="5274310" cy="1484630"/>
            <wp:effectExtent l="0" t="0" r="2540" b="127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40"/>
                    <a:stretch>
                      <a:fillRect/>
                    </a:stretch>
                  </pic:blipFill>
                  <pic:spPr>
                    <a:xfrm>
                      <a:off x="0" y="0"/>
                      <a:ext cx="5274310" cy="1484630"/>
                    </a:xfrm>
                    <a:prstGeom prst="rect">
                      <a:avLst/>
                    </a:prstGeom>
                  </pic:spPr>
                </pic:pic>
              </a:graphicData>
            </a:graphic>
          </wp:inline>
        </w:drawing>
      </w:r>
    </w:p>
    <w:p w14:paraId="5DD9157A">
      <w:pPr>
        <w:pageBreakBefore w:val="0"/>
        <w:kinsoku/>
        <w:wordWrap/>
        <w:overflowPunct/>
        <w:topLinePunct w:val="0"/>
        <w:autoSpaceDE/>
        <w:autoSpaceDN/>
        <w:bidi w:val="0"/>
        <w:adjustRightInd/>
        <w:snapToGrid/>
        <w:ind w:left="0" w:leftChars="0"/>
        <w:jc w:val="center"/>
        <w:rPr>
          <w:rFonts w:ascii="黑体" w:hAnsi="黑体" w:eastAsia="黑体"/>
          <w:sz w:val="28"/>
          <w:szCs w:val="28"/>
        </w:rPr>
      </w:pPr>
      <w:r>
        <w:rPr>
          <w:rFonts w:hint="eastAsia" w:ascii="黑体" w:hAnsi="黑体" w:eastAsia="黑体"/>
          <w:sz w:val="28"/>
          <w:szCs w:val="28"/>
        </w:rPr>
        <w:t>中云台大道—徐新路段快速路改建方案</w:t>
      </w:r>
    </w:p>
    <w:p w14:paraId="0296B058">
      <w:pPr>
        <w:pageBreakBefore w:val="0"/>
        <w:kinsoku/>
        <w:wordWrap/>
        <w:overflowPunct/>
        <w:topLinePunct w:val="0"/>
        <w:autoSpaceDE/>
        <w:autoSpaceDN/>
        <w:bidi w:val="0"/>
        <w:adjustRightInd/>
        <w:snapToGrid/>
        <w:spacing w:line="360" w:lineRule="auto"/>
        <w:ind w:left="1044" w:leftChars="0" w:hanging="1044" w:hangingChars="373"/>
        <w:jc w:val="both"/>
        <w:rPr>
          <w:rFonts w:ascii="Times New Roman" w:hAnsi="Times New Roman" w:eastAsia="仿宋_GB2312" w:cs="Times New Roman"/>
          <w:sz w:val="30"/>
          <w:szCs w:val="30"/>
          <w:lang w:val="zh-CN"/>
        </w:rPr>
      </w:pPr>
      <w:r>
        <w:rPr>
          <w:rFonts w:ascii="黑体" w:hAnsi="黑体" w:eastAsia="黑体" w:cs="Times New Roman"/>
          <w:sz w:val="28"/>
          <w:szCs w:val="28"/>
        </w:rPr>
        <mc:AlternateContent>
          <mc:Choice Requires="wps">
            <w:drawing>
              <wp:anchor distT="0" distB="0" distL="114300" distR="114300" simplePos="0" relativeHeight="251691008" behindDoc="0" locked="0" layoutInCell="1" allowOverlap="1">
                <wp:simplePos x="0" y="0"/>
                <wp:positionH relativeFrom="column">
                  <wp:posOffset>227965</wp:posOffset>
                </wp:positionH>
                <wp:positionV relativeFrom="paragraph">
                  <wp:posOffset>275590</wp:posOffset>
                </wp:positionV>
                <wp:extent cx="727075" cy="307340"/>
                <wp:effectExtent l="0" t="0" r="0" b="0"/>
                <wp:wrapNone/>
                <wp:docPr id="79" name="文本框 123"/>
                <wp:cNvGraphicFramePr/>
                <a:graphic xmlns:a="http://schemas.openxmlformats.org/drawingml/2006/main">
                  <a:graphicData uri="http://schemas.microsoft.com/office/word/2010/wordprocessingShape">
                    <wps:wsp>
                      <wps:cNvSpPr txBox="1"/>
                      <wps:spPr>
                        <a:xfrm>
                          <a:off x="0" y="0"/>
                          <a:ext cx="727075" cy="307340"/>
                        </a:xfrm>
                        <a:prstGeom prst="rect">
                          <a:avLst/>
                        </a:prstGeom>
                        <a:noFill/>
                      </wps:spPr>
                      <wps:txbx>
                        <w:txbxContent>
                          <w:p w14:paraId="451FE683">
                            <w:pPr>
                              <w:ind w:firstLine="280" w:firstLineChars="100"/>
                            </w:pPr>
                            <w:r>
                              <w:rPr>
                                <w:rFonts w:hint="eastAsia" w:ascii="微软雅黑" w:hAnsi="微软雅黑" w:eastAsia="微软雅黑" w:cstheme="minorBidi"/>
                                <w:color w:val="000000" w:themeColor="text1"/>
                                <w:kern w:val="24"/>
                                <w:sz w:val="28"/>
                                <w:szCs w:val="28"/>
                                <w14:textFill>
                                  <w14:solidFill>
                                    <w14:schemeClr w14:val="tx1"/>
                                  </w14:solidFill>
                                </w14:textFill>
                              </w:rPr>
                              <w:t>图例</w:t>
                            </w:r>
                          </w:p>
                        </w:txbxContent>
                      </wps:txbx>
                      <wps:bodyPr wrap="square" rtlCol="0">
                        <a:spAutoFit/>
                      </wps:bodyPr>
                    </wps:wsp>
                  </a:graphicData>
                </a:graphic>
              </wp:anchor>
            </w:drawing>
          </mc:Choice>
          <mc:Fallback>
            <w:pict>
              <v:shape id="文本框 123" o:spid="_x0000_s1026" o:spt="202" type="#_x0000_t202" style="position:absolute;left:0pt;margin-left:17.95pt;margin-top:21.7pt;height:24.2pt;width:57.25pt;z-index:251691008;mso-width-relative:page;mso-height-relative:page;" filled="f" stroked="f" coordsize="21600,21600" o:gfxdata="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B44rt1gAAAAgBAAAPAAAAAAAAAAEAIAAAACIAAABkcnMvZG93bnJldi54bWxQSwEC&#10;FAAUAAAACACHTuJAo56a8L0BAABfAwAADgAAAAAAAAABACAAAAAlAQAAZHJzL2Uyb0RvYy54bWxQ&#10;SwUGAAAAAAYABgBZAQAAVAUAAAAA&#10;">
                <v:fill on="f" focussize="0,0"/>
                <v:stroke on="f"/>
                <v:imagedata o:title=""/>
                <o:lock v:ext="edit" aspectratio="f"/>
                <v:textbox style="mso-fit-shape-to-text:t;">
                  <w:txbxContent>
                    <w:p w14:paraId="451FE683">
                      <w:pPr>
                        <w:ind w:firstLine="280" w:firstLineChars="100"/>
                      </w:pPr>
                      <w:r>
                        <w:rPr>
                          <w:rFonts w:hint="eastAsia" w:ascii="微软雅黑" w:hAnsi="微软雅黑" w:eastAsia="微软雅黑" w:cstheme="minorBidi"/>
                          <w:color w:val="000000" w:themeColor="text1"/>
                          <w:kern w:val="24"/>
                          <w:sz w:val="28"/>
                          <w:szCs w:val="28"/>
                          <w14:textFill>
                            <w14:solidFill>
                              <w14:schemeClr w14:val="tx1"/>
                            </w14:solidFill>
                          </w14:textFill>
                        </w:rPr>
                        <w:t>图例</w:t>
                      </w:r>
                    </w:p>
                  </w:txbxContent>
                </v:textbox>
              </v:shape>
            </w:pict>
          </mc:Fallback>
        </mc:AlternateContent>
      </w:r>
      <w:r>
        <w:drawing>
          <wp:anchor distT="0" distB="0" distL="114300" distR="114300" simplePos="0" relativeHeight="251692032" behindDoc="0" locked="0" layoutInCell="1" allowOverlap="1">
            <wp:simplePos x="0" y="0"/>
            <wp:positionH relativeFrom="column">
              <wp:posOffset>4005580</wp:posOffset>
            </wp:positionH>
            <wp:positionV relativeFrom="paragraph">
              <wp:posOffset>205740</wp:posOffset>
            </wp:positionV>
            <wp:extent cx="1046480" cy="636905"/>
            <wp:effectExtent l="0" t="0" r="1270" b="0"/>
            <wp:wrapNone/>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1046480" cy="636905"/>
                    </a:xfrm>
                    <a:prstGeom prst="rect">
                      <a:avLst/>
                    </a:prstGeom>
                  </pic:spPr>
                </pic:pic>
              </a:graphicData>
            </a:graphic>
          </wp:anchor>
        </w:drawing>
      </w:r>
      <w:r>
        <w:rPr>
          <w:rFonts w:hint="eastAsia"/>
        </w:rPr>
        <w:t xml:space="preserve">                   </w:t>
      </w:r>
      <w:r>
        <w:drawing>
          <wp:inline distT="0" distB="0" distL="0" distR="0">
            <wp:extent cx="2693035" cy="834390"/>
            <wp:effectExtent l="0" t="0" r="4445" b="381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42"/>
                    <a:stretch>
                      <a:fillRect/>
                    </a:stretch>
                  </pic:blipFill>
                  <pic:spPr>
                    <a:xfrm>
                      <a:off x="0" y="0"/>
                      <a:ext cx="2693035" cy="834390"/>
                    </a:xfrm>
                    <a:prstGeom prst="rect">
                      <a:avLst/>
                    </a:prstGeom>
                  </pic:spPr>
                </pic:pic>
              </a:graphicData>
            </a:graphic>
          </wp:inline>
        </w:drawing>
      </w:r>
    </w:p>
    <w:p w14:paraId="462A6773">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lang w:val="zh-CN"/>
        </w:rPr>
      </w:pPr>
      <w:r>
        <w:rPr>
          <w:rFonts w:hint="eastAsia" w:ascii="Times New Roman" w:hAnsi="Times New Roman" w:eastAsia="仿宋_GB2312" w:cs="Times New Roman"/>
          <w:sz w:val="32"/>
          <w:szCs w:val="32"/>
          <w:lang w:val="zh-CN"/>
        </w:rPr>
        <w:t>新光路北延段长3.719km，其中利用老路2.164km，新建G228—朐州路段1.555km，保留海滨大道、金海大道、朐州路及阅海路共4处主干路交叉口，采用信号灯控制，其余5处道路封闭主辅路侧分隔带，采用右进右出。</w:t>
      </w:r>
    </w:p>
    <w:p w14:paraId="174F38D0">
      <w:pPr>
        <w:pageBreakBefore w:val="0"/>
        <w:kinsoku/>
        <w:wordWrap/>
        <w:overflowPunct/>
        <w:topLinePunct w:val="0"/>
        <w:autoSpaceDE/>
        <w:autoSpaceDN/>
        <w:bidi w:val="0"/>
        <w:adjustRightInd/>
        <w:snapToGrid/>
        <w:spacing w:line="360" w:lineRule="auto"/>
        <w:ind w:left="480" w:leftChars="0" w:hanging="480" w:hangingChars="200"/>
        <w:jc w:val="center"/>
        <w:rPr>
          <w:rFonts w:ascii="Times New Roman" w:hAnsi="Times New Roman" w:eastAsia="仿宋_GB2312" w:cs="Times New Roman"/>
          <w:sz w:val="30"/>
          <w:szCs w:val="30"/>
          <w:lang w:val="zh-CN"/>
        </w:rPr>
      </w:pPr>
      <w:r>
        <w:drawing>
          <wp:inline distT="0" distB="0" distL="0" distR="0">
            <wp:extent cx="1495425" cy="1939925"/>
            <wp:effectExtent l="0" t="0" r="13335" b="1079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43"/>
                    <a:stretch>
                      <a:fillRect/>
                    </a:stretch>
                  </pic:blipFill>
                  <pic:spPr>
                    <a:xfrm>
                      <a:off x="0" y="0"/>
                      <a:ext cx="1495425" cy="1939925"/>
                    </a:xfrm>
                    <a:prstGeom prst="rect">
                      <a:avLst/>
                    </a:prstGeom>
                  </pic:spPr>
                </pic:pic>
              </a:graphicData>
            </a:graphic>
          </wp:inline>
        </w:drawing>
      </w:r>
    </w:p>
    <w:p w14:paraId="2FC58034">
      <w:pPr>
        <w:pageBreakBefore w:val="0"/>
        <w:kinsoku/>
        <w:wordWrap/>
        <w:overflowPunct/>
        <w:topLinePunct w:val="0"/>
        <w:autoSpaceDE/>
        <w:autoSpaceDN/>
        <w:bidi w:val="0"/>
        <w:adjustRightInd/>
        <w:snapToGrid/>
        <w:ind w:left="0" w:leftChars="0"/>
        <w:jc w:val="center"/>
        <w:rPr>
          <w:rFonts w:ascii="黑体" w:hAnsi="黑体" w:eastAsia="黑体"/>
          <w:sz w:val="28"/>
          <w:szCs w:val="28"/>
        </w:rPr>
      </w:pPr>
      <w:r>
        <w:rPr>
          <w:rFonts w:hint="eastAsia" w:ascii="黑体" w:hAnsi="黑体" w:eastAsia="黑体"/>
          <w:sz w:val="28"/>
          <w:szCs w:val="28"/>
        </w:rPr>
        <w:t>新光路北延段快速化方案</w:t>
      </w:r>
    </w:p>
    <w:p w14:paraId="6A18035C">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新光路现阶段仍承担G228功能，过境重载交通量大，需尽快完成S242全线贯通，推动G228徐圩段改线，根据规划实现S242与G228线位对调，实现道路功能转换，减少过境交通对东部城区造成的压力。</w:t>
      </w:r>
    </w:p>
    <w:p w14:paraId="270DDC3A">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3</w:t>
      </w:r>
      <w:r>
        <w:rPr>
          <w:rFonts w:hint="eastAsia" w:ascii="楷体" w:hAnsi="楷体" w:eastAsia="楷体" w:cs="楷体"/>
          <w:sz w:val="32"/>
          <w:szCs w:val="32"/>
          <w:lang w:val="zh-CN"/>
        </w:rPr>
        <w:t>）市域列车S1支线</w:t>
      </w:r>
    </w:p>
    <w:p w14:paraId="7D2392B4">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pPr>
      <w:r>
        <w:rPr>
          <w:rFonts w:hint="eastAsia" w:ascii="Times New Roman" w:hAnsi="Times New Roman" w:eastAsia="仿宋_GB2312" w:cs="Times New Roman"/>
          <w:sz w:val="32"/>
          <w:szCs w:val="32"/>
          <w:lang w:val="zh-CN"/>
        </w:rPr>
        <w:t>规划市域铁路S1支线利用徐圩支线联通徐圩与中心城区组团，设徐圩站、东辛站、云台山站（不办理客运）、盐坨站、连云港站5个站点，乘客往来连云区与徐圩新区需通过盐坨站反向换乘，极为不便。建议远期促成云台山站开办客运业务，减少反向换乘距离，或增设铁路匝道直接进入连云港东站（需连续上跨S242及连霍高速新墟互通）。</w:t>
      </w:r>
    </w:p>
    <w:p w14:paraId="0EADE26F">
      <w:pPr>
        <w:pageBreakBefore w:val="0"/>
        <w:kinsoku/>
        <w:wordWrap/>
        <w:overflowPunct/>
        <w:topLinePunct w:val="0"/>
        <w:autoSpaceDE/>
        <w:autoSpaceDN/>
        <w:bidi w:val="0"/>
        <w:adjustRightInd/>
        <w:snapToGrid/>
        <w:spacing w:line="360" w:lineRule="auto"/>
        <w:ind w:left="0" w:leftChars="0" w:firstLine="600" w:firstLineChars="200"/>
        <w:jc w:val="both"/>
        <w:rPr>
          <w:rFonts w:ascii="Times New Roman" w:hAnsi="Times New Roman" w:eastAsia="仿宋_GB2312" w:cs="Times New Roman"/>
          <w:color w:val="0D0D0D" w:themeColor="text1" w:themeTint="F2"/>
          <w:sz w:val="30"/>
          <w:szCs w:val="30"/>
          <w14:textFill>
            <w14:solidFill>
              <w14:schemeClr w14:val="tx1">
                <w14:lumMod w14:val="95000"/>
                <w14:lumOff w14:val="5000"/>
              </w14:schemeClr>
            </w14:solidFill>
          </w14:textFill>
        </w:rPr>
      </w:pPr>
      <w:r>
        <w:rPr>
          <w:rFonts w:ascii="Times New Roman" w:hAnsi="Times New Roman" w:eastAsia="仿宋_GB2312" w:cs="Times New Roman"/>
          <w:color w:val="0D0D0D" w:themeColor="text1" w:themeTint="F2"/>
          <w:sz w:val="30"/>
          <w:szCs w:val="30"/>
          <w14:textFill>
            <w14:solidFill>
              <w14:schemeClr w14:val="tx1">
                <w14:lumMod w14:val="95000"/>
                <w14:lumOff w14:val="5000"/>
              </w14:schemeClr>
            </w14:solidFill>
          </w14:textFill>
        </w:rPr>
        <w:drawing>
          <wp:anchor distT="0" distB="0" distL="114300" distR="114300" simplePos="0" relativeHeight="251680768" behindDoc="1" locked="0" layoutInCell="1" allowOverlap="1">
            <wp:simplePos x="0" y="0"/>
            <wp:positionH relativeFrom="margin">
              <wp:posOffset>523875</wp:posOffset>
            </wp:positionH>
            <wp:positionV relativeFrom="paragraph">
              <wp:posOffset>86360</wp:posOffset>
            </wp:positionV>
            <wp:extent cx="4763135" cy="3759835"/>
            <wp:effectExtent l="0" t="0" r="0" b="0"/>
            <wp:wrapTight wrapText="bothSides">
              <wp:wrapPolygon>
                <wp:start x="0" y="0"/>
                <wp:lineTo x="0" y="21450"/>
                <wp:lineTo x="21511" y="21450"/>
                <wp:lineTo x="21511" y="0"/>
                <wp:lineTo x="0" y="0"/>
              </wp:wrapPolygon>
            </wp:wrapTight>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4763069" cy="3760104"/>
                    </a:xfrm>
                    <a:prstGeom prst="rect">
                      <a:avLst/>
                    </a:prstGeom>
                  </pic:spPr>
                </pic:pic>
              </a:graphicData>
            </a:graphic>
          </wp:anchor>
        </w:drawing>
      </w:r>
    </w:p>
    <w:p w14:paraId="38C5B819">
      <w:pPr>
        <w:pageBreakBefore w:val="0"/>
        <w:kinsoku/>
        <w:wordWrap/>
        <w:overflowPunct/>
        <w:topLinePunct w:val="0"/>
        <w:autoSpaceDE/>
        <w:autoSpaceDN/>
        <w:bidi w:val="0"/>
        <w:adjustRightInd/>
        <w:snapToGrid/>
        <w:spacing w:line="360" w:lineRule="auto"/>
        <w:ind w:left="0" w:leftChars="0" w:firstLine="600" w:firstLineChars="200"/>
        <w:jc w:val="both"/>
        <w:rPr>
          <w:rFonts w:ascii="Times New Roman" w:hAnsi="Times New Roman" w:eastAsia="仿宋_GB2312" w:cs="Times New Roman"/>
          <w:color w:val="0D0D0D" w:themeColor="text1" w:themeTint="F2"/>
          <w:sz w:val="30"/>
          <w:szCs w:val="30"/>
          <w14:textFill>
            <w14:solidFill>
              <w14:schemeClr w14:val="tx1">
                <w14:lumMod w14:val="95000"/>
                <w14:lumOff w14:val="5000"/>
              </w14:schemeClr>
            </w14:solidFill>
          </w14:textFill>
        </w:rPr>
      </w:pPr>
    </w:p>
    <w:p w14:paraId="6E840B21">
      <w:pPr>
        <w:pageBreakBefore w:val="0"/>
        <w:kinsoku/>
        <w:wordWrap/>
        <w:overflowPunct/>
        <w:topLinePunct w:val="0"/>
        <w:autoSpaceDE/>
        <w:autoSpaceDN/>
        <w:bidi w:val="0"/>
        <w:adjustRightInd/>
        <w:snapToGrid/>
        <w:spacing w:line="360" w:lineRule="auto"/>
        <w:ind w:left="0" w:leftChars="0" w:firstLine="600" w:firstLineChars="200"/>
        <w:jc w:val="both"/>
        <w:rPr>
          <w:rFonts w:ascii="Times New Roman" w:hAnsi="Times New Roman" w:eastAsia="仿宋_GB2312" w:cs="Times New Roman"/>
          <w:color w:val="0D0D0D" w:themeColor="text1" w:themeTint="F2"/>
          <w:sz w:val="30"/>
          <w:szCs w:val="30"/>
          <w14:textFill>
            <w14:solidFill>
              <w14:schemeClr w14:val="tx1">
                <w14:lumMod w14:val="95000"/>
                <w14:lumOff w14:val="5000"/>
              </w14:schemeClr>
            </w14:solidFill>
          </w14:textFill>
        </w:rPr>
      </w:pPr>
    </w:p>
    <w:p w14:paraId="47237AE5">
      <w:pPr>
        <w:pageBreakBefore w:val="0"/>
        <w:kinsoku/>
        <w:wordWrap/>
        <w:overflowPunct/>
        <w:topLinePunct w:val="0"/>
        <w:autoSpaceDE/>
        <w:autoSpaceDN/>
        <w:bidi w:val="0"/>
        <w:adjustRightInd/>
        <w:snapToGrid/>
        <w:spacing w:line="360" w:lineRule="auto"/>
        <w:ind w:left="0" w:leftChars="0" w:firstLine="600" w:firstLineChars="200"/>
        <w:jc w:val="both"/>
        <w:rPr>
          <w:rFonts w:ascii="Times New Roman" w:hAnsi="Times New Roman" w:eastAsia="仿宋_GB2312" w:cs="Times New Roman"/>
          <w:color w:val="0D0D0D" w:themeColor="text1" w:themeTint="F2"/>
          <w:sz w:val="30"/>
          <w:szCs w:val="30"/>
          <w14:textFill>
            <w14:solidFill>
              <w14:schemeClr w14:val="tx1">
                <w14:lumMod w14:val="95000"/>
                <w14:lumOff w14:val="5000"/>
              </w14:schemeClr>
            </w14:solidFill>
          </w14:textFill>
        </w:rPr>
      </w:pPr>
    </w:p>
    <w:p w14:paraId="301658AB">
      <w:pPr>
        <w:pageBreakBefore w:val="0"/>
        <w:kinsoku/>
        <w:wordWrap/>
        <w:overflowPunct/>
        <w:topLinePunct w:val="0"/>
        <w:autoSpaceDE/>
        <w:autoSpaceDN/>
        <w:bidi w:val="0"/>
        <w:adjustRightInd/>
        <w:snapToGrid/>
        <w:spacing w:line="360" w:lineRule="auto"/>
        <w:ind w:left="0" w:leftChars="0" w:firstLine="600" w:firstLineChars="200"/>
        <w:jc w:val="both"/>
        <w:rPr>
          <w:rFonts w:hint="default" w:ascii="Times New Roman" w:hAnsi="Times New Roman" w:eastAsia="仿宋_GB2312" w:cs="Times New Roman"/>
          <w:color w:val="0D0D0D" w:themeColor="text1" w:themeTint="F2"/>
          <w:sz w:val="30"/>
          <w:szCs w:val="30"/>
          <w:lang w:val="en-US" w:eastAsia="zh-CN"/>
          <w14:textFill>
            <w14:solidFill>
              <w14:schemeClr w14:val="tx1">
                <w14:lumMod w14:val="95000"/>
                <w14:lumOff w14:val="5000"/>
              </w14:schemeClr>
            </w14:solidFill>
          </w14:textFill>
        </w:rPr>
      </w:pPr>
    </w:p>
    <w:p w14:paraId="7A1B45A8">
      <w:pPr>
        <w:pageBreakBefore w:val="0"/>
        <w:kinsoku/>
        <w:wordWrap/>
        <w:overflowPunct/>
        <w:topLinePunct w:val="0"/>
        <w:autoSpaceDE/>
        <w:autoSpaceDN/>
        <w:bidi w:val="0"/>
        <w:adjustRightInd/>
        <w:snapToGrid/>
        <w:spacing w:line="360" w:lineRule="auto"/>
        <w:ind w:left="0" w:leftChars="0" w:firstLine="600" w:firstLineChars="200"/>
        <w:jc w:val="both"/>
        <w:rPr>
          <w:rFonts w:ascii="Times New Roman" w:hAnsi="Times New Roman" w:eastAsia="仿宋_GB2312" w:cs="Times New Roman"/>
          <w:color w:val="0D0D0D" w:themeColor="text1" w:themeTint="F2"/>
          <w:sz w:val="30"/>
          <w:szCs w:val="30"/>
          <w14:textFill>
            <w14:solidFill>
              <w14:schemeClr w14:val="tx1">
                <w14:lumMod w14:val="95000"/>
                <w14:lumOff w14:val="5000"/>
              </w14:schemeClr>
            </w14:solidFill>
          </w14:textFill>
        </w:rPr>
      </w:pPr>
    </w:p>
    <w:p w14:paraId="24B981F7">
      <w:pPr>
        <w:pageBreakBefore w:val="0"/>
        <w:kinsoku/>
        <w:wordWrap/>
        <w:overflowPunct/>
        <w:topLinePunct w:val="0"/>
        <w:autoSpaceDE/>
        <w:autoSpaceDN/>
        <w:bidi w:val="0"/>
        <w:adjustRightInd/>
        <w:snapToGrid/>
        <w:spacing w:line="360" w:lineRule="auto"/>
        <w:ind w:left="0" w:leftChars="0" w:firstLine="600" w:firstLineChars="200"/>
        <w:jc w:val="both"/>
        <w:rPr>
          <w:rFonts w:ascii="Times New Roman" w:hAnsi="Times New Roman" w:eastAsia="仿宋_GB2312" w:cs="Times New Roman"/>
          <w:color w:val="0D0D0D" w:themeColor="text1" w:themeTint="F2"/>
          <w:sz w:val="30"/>
          <w:szCs w:val="30"/>
          <w14:textFill>
            <w14:solidFill>
              <w14:schemeClr w14:val="tx1">
                <w14:lumMod w14:val="95000"/>
                <w14:lumOff w14:val="5000"/>
              </w14:schemeClr>
            </w14:solidFill>
          </w14:textFill>
        </w:rPr>
      </w:pPr>
    </w:p>
    <w:p w14:paraId="20A2E2DF">
      <w:pPr>
        <w:pageBreakBefore w:val="0"/>
        <w:kinsoku/>
        <w:wordWrap/>
        <w:overflowPunct/>
        <w:topLinePunct w:val="0"/>
        <w:autoSpaceDE/>
        <w:autoSpaceDN/>
        <w:bidi w:val="0"/>
        <w:adjustRightInd/>
        <w:snapToGrid/>
        <w:spacing w:line="360" w:lineRule="auto"/>
        <w:ind w:left="0" w:leftChars="0" w:firstLine="600" w:firstLineChars="200"/>
        <w:jc w:val="both"/>
        <w:rPr>
          <w:rFonts w:ascii="Times New Roman" w:hAnsi="Times New Roman" w:eastAsia="仿宋_GB2312" w:cs="Times New Roman"/>
          <w:color w:val="0D0D0D" w:themeColor="text1" w:themeTint="F2"/>
          <w:sz w:val="30"/>
          <w:szCs w:val="30"/>
          <w14:textFill>
            <w14:solidFill>
              <w14:schemeClr w14:val="tx1">
                <w14:lumMod w14:val="95000"/>
                <w14:lumOff w14:val="5000"/>
              </w14:schemeClr>
            </w14:solidFill>
          </w14:textFill>
        </w:rPr>
      </w:pPr>
      <w:bookmarkStart w:id="51" w:name="_Toc81203411"/>
    </w:p>
    <w:p w14:paraId="494C4FC5">
      <w:pPr>
        <w:pageBreakBefore w:val="0"/>
        <w:kinsoku/>
        <w:wordWrap/>
        <w:overflowPunct/>
        <w:topLinePunct w:val="0"/>
        <w:autoSpaceDE/>
        <w:autoSpaceDN/>
        <w:bidi w:val="0"/>
        <w:adjustRightInd/>
        <w:snapToGrid/>
        <w:spacing w:line="360" w:lineRule="auto"/>
        <w:ind w:left="0" w:leftChars="0" w:firstLine="600" w:firstLineChars="200"/>
        <w:jc w:val="both"/>
        <w:rPr>
          <w:rFonts w:ascii="Times New Roman" w:hAnsi="Times New Roman" w:eastAsia="仿宋_GB2312" w:cs="Times New Roman"/>
          <w:color w:val="0D0D0D" w:themeColor="text1" w:themeTint="F2"/>
          <w:sz w:val="30"/>
          <w:szCs w:val="30"/>
          <w14:textFill>
            <w14:solidFill>
              <w14:schemeClr w14:val="tx1">
                <w14:lumMod w14:val="95000"/>
                <w14:lumOff w14:val="5000"/>
              </w14:schemeClr>
            </w14:solidFill>
          </w14:textFill>
        </w:rPr>
      </w:pPr>
    </w:p>
    <w:p w14:paraId="3D7100C6">
      <w:pPr>
        <w:pageBreakBefore w:val="0"/>
        <w:kinsoku/>
        <w:wordWrap/>
        <w:overflowPunct/>
        <w:topLinePunct w:val="0"/>
        <w:autoSpaceDE/>
        <w:autoSpaceDN/>
        <w:bidi w:val="0"/>
        <w:adjustRightInd/>
        <w:snapToGrid/>
        <w:spacing w:line="360" w:lineRule="auto"/>
        <w:ind w:left="0" w:leftChars="0" w:firstLine="600" w:firstLineChars="200"/>
        <w:jc w:val="both"/>
        <w:rPr>
          <w:rFonts w:ascii="Times New Roman" w:hAnsi="Times New Roman" w:eastAsia="仿宋_GB2312" w:cs="Times New Roman"/>
          <w:color w:val="0D0D0D" w:themeColor="text1" w:themeTint="F2"/>
          <w:sz w:val="30"/>
          <w:szCs w:val="30"/>
          <w14:textFill>
            <w14:solidFill>
              <w14:schemeClr w14:val="tx1">
                <w14:lumMod w14:val="95000"/>
                <w14:lumOff w14:val="5000"/>
              </w14:schemeClr>
            </w14:solidFill>
          </w14:textFill>
        </w:rPr>
      </w:pPr>
    </w:p>
    <w:p w14:paraId="65F12910">
      <w:pPr>
        <w:pageBreakBefore w:val="0"/>
        <w:kinsoku/>
        <w:wordWrap/>
        <w:overflowPunct/>
        <w:topLinePunct w:val="0"/>
        <w:autoSpaceDE/>
        <w:autoSpaceDN/>
        <w:bidi w:val="0"/>
        <w:adjustRightInd/>
        <w:snapToGrid/>
        <w:spacing w:line="360" w:lineRule="auto"/>
        <w:ind w:left="0" w:leftChars="0" w:firstLine="960" w:firstLineChars="300"/>
        <w:jc w:val="both"/>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val="zh-CN"/>
        </w:rPr>
        <w:t>）集疏运体系建设</w:t>
      </w:r>
      <w:bookmarkEnd w:id="51"/>
    </w:p>
    <w:p w14:paraId="06A7FBE8">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1.</w:t>
      </w:r>
      <w:r>
        <w:rPr>
          <w:rFonts w:hint="eastAsia" w:ascii="楷体" w:hAnsi="楷体" w:eastAsia="楷体" w:cs="楷体"/>
          <w:sz w:val="32"/>
          <w:szCs w:val="32"/>
          <w:lang w:val="zh-CN"/>
        </w:rPr>
        <w:t>公路建设</w:t>
      </w:r>
    </w:p>
    <w:p w14:paraId="11AC567E">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推动大港路快速化改造，推动G228与S242功能对调，提升货运车辆的通行效率，降低客货混行带来的安全隐患，实现港区通行车辆的快速集疏运，充分发挥国际枢纽海港的重要功能。</w:t>
      </w:r>
    </w:p>
    <w:p w14:paraId="22BA1C40">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2.</w:t>
      </w:r>
      <w:r>
        <w:rPr>
          <w:rFonts w:hint="eastAsia" w:ascii="楷体" w:hAnsi="楷体" w:eastAsia="楷体" w:cs="楷体"/>
          <w:sz w:val="32"/>
          <w:szCs w:val="32"/>
          <w:lang w:val="zh-CN"/>
        </w:rPr>
        <w:t>铁路建设</w:t>
      </w:r>
    </w:p>
    <w:p w14:paraId="734228E7">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b/>
          <w:bCs/>
          <w:sz w:val="32"/>
          <w:szCs w:val="32"/>
          <w:lang w:val="zh-CN"/>
        </w:rPr>
        <w:t>——推动实施铁路货运南绕线（连云港港至上合物流园铁路货运隧道及连宿蚌铁路海州至东辛联络线）项目。</w:t>
      </w:r>
      <w:r>
        <w:rPr>
          <w:rFonts w:hint="eastAsia" w:ascii="Times New Roman" w:hAnsi="Times New Roman" w:eastAsia="仿宋_GB2312" w:cs="Times New Roman"/>
          <w:sz w:val="32"/>
          <w:szCs w:val="32"/>
          <w:lang w:val="zh-CN"/>
        </w:rPr>
        <w:t>在旗台作业区铁路专用线、上合组织（连云港）国际物流园专用铁路的建设运行及徐圩支线等货运线路的加快建设基础上，依托连云港港至上合物流园铁路货运隧道项目推进实施铁路货运南绕线项目，于“十四五”期间全面启动项目研究规划相关工作，并争取尽快开工建设。铁路货运南绕线由东西两段组成，西段（连宿蚌铁路海州至东辛联络线）由东辛站经云台山南站、锦屏南站至海州站，东段（连云港港至上合物流园铁路货运隧道项目）由连云站修建穿越后云台山铁路隧道，经上合组织物流园板桥站接入云台山南站。项目总长约59.8公里，其中隧道工程长约5.2公里，桥梁工程长约44.5公里，桥隧比约83%，设计时速120公里/小时。根据初步测算，工程总投资约63.58亿元，其中新建云台山南站投资约17.5亿元。建成后初期，随着港口功能调整，既有陇海铁路连云港东至连云港段仅承担港口集装箱、件杂货的运输，随着“退港融城”的深入推进，连云港主港区货物运输完全转移至货运南绕线，连云港东至连云港站将成为客运专用线路，形成地区客内货外格局，真正实现铁路运输客货分离。同时，还可释放铁路沿线大量城市建设用地用于开发利用。</w:t>
      </w:r>
    </w:p>
    <w:p w14:paraId="1E28F4D3">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b/>
          <w:bCs/>
          <w:sz w:val="32"/>
          <w:szCs w:val="32"/>
          <w:lang w:val="zh-CN"/>
        </w:rPr>
        <w:t>——推动开展沿海高铁连云港至盐城段规划研究。</w:t>
      </w:r>
      <w:r>
        <w:rPr>
          <w:rFonts w:hint="eastAsia" w:ascii="Times New Roman" w:hAnsi="Times New Roman" w:eastAsia="仿宋_GB2312" w:cs="Times New Roman"/>
          <w:sz w:val="32"/>
          <w:szCs w:val="32"/>
          <w:lang w:val="zh-CN"/>
        </w:rPr>
        <w:t>目前沿海高铁连盐段上位规划研究提出两个线位方案，方案一与现有青盐铁路走向一致，经连云港站。今年国务院办公厅印发了《关于进一步做好铁路规划建设工作的意见》（国办函〔2021〕27号），明确要求严格控制建设既有高铁的平行线路，既有高铁能力利用率不足80%的，原则上不得新建平行线路，现有连盐铁路利用率尚未满足新建平行线路要求。方案二在连云港北站（赣榆站）以南新开辟高铁走廊，连云区范围与大港路及徐圩支线平行，拟在在大港路和花果山大道交叉口附近设站点，与连云港东站设联络线，方案二能有效辐射开发区及连云新城，对于沿线地区的整体规划、经济发展将产生明显的拉动作用。</w:t>
      </w:r>
    </w:p>
    <w:p w14:paraId="783CDFDC">
      <w:pPr>
        <w:pageBreakBefore w:val="0"/>
        <w:kinsoku/>
        <w:wordWrap/>
        <w:overflowPunct/>
        <w:topLinePunct w:val="0"/>
        <w:autoSpaceDE/>
        <w:autoSpaceDN/>
        <w:bidi w:val="0"/>
        <w:adjustRightInd/>
        <w:snapToGrid/>
        <w:spacing w:line="360" w:lineRule="auto"/>
        <w:ind w:left="52" w:leftChars="0" w:hanging="52" w:hangingChars="22"/>
        <w:jc w:val="both"/>
        <w:rPr>
          <w:rFonts w:hint="eastAsia" w:ascii="Times New Roman" w:hAnsi="Times New Roman" w:eastAsia="仿宋_GB2312" w:cs="Times New Roman"/>
          <w:color w:val="0D0D0D" w:themeColor="text1" w:themeTint="F2"/>
          <w:sz w:val="30"/>
          <w:szCs w:val="30"/>
          <w14:textFill>
            <w14:solidFill>
              <w14:schemeClr w14:val="tx1">
                <w14:lumMod w14:val="95000"/>
                <w14:lumOff w14:val="5000"/>
              </w14:schemeClr>
            </w14:solidFill>
          </w14:textFill>
        </w:rPr>
      </w:pPr>
      <w:r>
        <w:drawing>
          <wp:inline distT="0" distB="0" distL="0" distR="0">
            <wp:extent cx="5274310" cy="413385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45"/>
                    <a:stretch>
                      <a:fillRect/>
                    </a:stretch>
                  </pic:blipFill>
                  <pic:spPr>
                    <a:xfrm>
                      <a:off x="0" y="0"/>
                      <a:ext cx="5274310" cy="4133850"/>
                    </a:xfrm>
                    <a:prstGeom prst="rect">
                      <a:avLst/>
                    </a:prstGeom>
                  </pic:spPr>
                </pic:pic>
              </a:graphicData>
            </a:graphic>
          </wp:inline>
        </w:drawing>
      </w:r>
    </w:p>
    <w:p w14:paraId="5DF6B76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3.</w:t>
      </w:r>
      <w:r>
        <w:rPr>
          <w:rFonts w:hint="eastAsia" w:ascii="楷体" w:hAnsi="楷体" w:eastAsia="楷体" w:cs="楷体"/>
          <w:sz w:val="32"/>
          <w:szCs w:val="32"/>
          <w:lang w:val="zh-CN"/>
        </w:rPr>
        <w:t>内河航运建设</w:t>
      </w:r>
    </w:p>
    <w:p w14:paraId="3F42216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做大海河联运品牌，打造苏北鲁南皖北豫东地区第一大出海口，推进连云港内河港中云台作业区1#锚地工程建设。积极协调解决内河航道不畅的问题，畅通形成“一港四线”内河运输格局。完善连云港港内河航线网络布局，实现集装箱航线在运河线、连申线和淮河沿线港口的全覆盖。强化新云台等核心港区的海河联运功能，加强海河联运业务衔接和信息协同，有效匹配内河运力与海上运力。</w:t>
      </w:r>
    </w:p>
    <w:p w14:paraId="5C453C0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4.</w:t>
      </w:r>
      <w:r>
        <w:rPr>
          <w:rFonts w:hint="eastAsia" w:ascii="楷体" w:hAnsi="楷体" w:eastAsia="楷体" w:cs="楷体"/>
          <w:sz w:val="32"/>
          <w:szCs w:val="32"/>
          <w:lang w:val="zh-CN"/>
        </w:rPr>
        <w:t>场站配套建设</w:t>
      </w:r>
    </w:p>
    <w:p w14:paraId="49A0B03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推动经十八路修建，使公路港内外形成循环道路。</w:t>
      </w:r>
    </w:p>
    <w:p w14:paraId="4AD6F989">
      <w:pPr>
        <w:keepNext w:val="0"/>
        <w:keepLines w:val="0"/>
        <w:pageBreakBefore w:val="0"/>
        <w:widowControl/>
        <w:kinsoku/>
        <w:wordWrap/>
        <w:overflowPunct/>
        <w:topLinePunct w:val="0"/>
        <w:autoSpaceDE/>
        <w:autoSpaceDN/>
        <w:bidi w:val="0"/>
        <w:adjustRightInd/>
        <w:snapToGrid/>
        <w:spacing w:line="560" w:lineRule="exact"/>
        <w:ind w:left="0" w:leftChars="0" w:firstLine="960" w:firstLineChars="300"/>
        <w:jc w:val="both"/>
        <w:textAlignment w:val="auto"/>
        <w:outlineLvl w:val="4"/>
        <w:rPr>
          <w:rFonts w:hint="eastAsia" w:ascii="楷体" w:hAnsi="楷体" w:eastAsia="楷体" w:cs="楷体"/>
          <w:sz w:val="32"/>
          <w:szCs w:val="32"/>
          <w:lang w:val="zh-CN"/>
        </w:rPr>
      </w:pPr>
      <w:bookmarkStart w:id="52" w:name="_Toc81203412"/>
      <w:r>
        <w:rPr>
          <w:rFonts w:hint="eastAsia" w:ascii="楷体" w:hAnsi="楷体" w:eastAsia="楷体" w:cs="楷体"/>
          <w:sz w:val="32"/>
          <w:szCs w:val="32"/>
          <w:lang w:val="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val="zh-CN"/>
        </w:rPr>
        <w:t>）农村公路建设</w:t>
      </w:r>
      <w:bookmarkEnd w:id="52"/>
    </w:p>
    <w:p w14:paraId="4F42B680">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1.</w:t>
      </w:r>
      <w:r>
        <w:rPr>
          <w:rFonts w:hint="eastAsia" w:ascii="楷体" w:hAnsi="楷体" w:eastAsia="楷体" w:cs="楷体"/>
          <w:sz w:val="32"/>
          <w:szCs w:val="32"/>
          <w:lang w:val="zh-CN"/>
        </w:rPr>
        <w:t>总体布局</w:t>
      </w:r>
    </w:p>
    <w:p w14:paraId="2DDC5A0D">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连云区本次研究共规划县道线路7条，形成“两纵四横一联”的县道公路网格局，县道公路网现状总里程127.9公里，规划后总里程为107.6公里，扣除重复里程6.2公里，县道公路网实际里程101.4公里。</w:t>
      </w:r>
    </w:p>
    <w:p w14:paraId="52E22778">
      <w:pPr>
        <w:pageBreakBefore w:val="0"/>
        <w:kinsoku/>
        <w:wordWrap/>
        <w:overflowPunct/>
        <w:topLinePunct w:val="0"/>
        <w:autoSpaceDE/>
        <w:autoSpaceDN/>
        <w:bidi w:val="0"/>
        <w:adjustRightInd/>
        <w:snapToGrid/>
        <w:spacing w:line="360" w:lineRule="auto"/>
        <w:ind w:left="0" w:leftChars="0"/>
        <w:jc w:val="both"/>
        <w:rPr>
          <w:rFonts w:ascii="Times New Roman" w:hAnsi="Times New Roman" w:eastAsia="仿宋_GB2312" w:cs="Times New Roman"/>
          <w:bCs/>
          <w:sz w:val="30"/>
          <w:szCs w:val="30"/>
        </w:rPr>
      </w:pPr>
      <w:r>
        <w:drawing>
          <wp:inline distT="0" distB="0" distL="0" distR="0">
            <wp:extent cx="5518150" cy="4121150"/>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6"/>
                    <a:stretch>
                      <a:fillRect/>
                    </a:stretch>
                  </pic:blipFill>
                  <pic:spPr>
                    <a:xfrm>
                      <a:off x="0" y="0"/>
                      <a:ext cx="5621543" cy="4198901"/>
                    </a:xfrm>
                    <a:prstGeom prst="rect">
                      <a:avLst/>
                    </a:prstGeom>
                  </pic:spPr>
                </pic:pic>
              </a:graphicData>
            </a:graphic>
          </wp:inline>
        </w:drawing>
      </w:r>
    </w:p>
    <w:p w14:paraId="1DBA6B9F">
      <w:pPr>
        <w:pageBreakBefore w:val="0"/>
        <w:kinsoku/>
        <w:wordWrap/>
        <w:overflowPunct/>
        <w:topLinePunct w:val="0"/>
        <w:autoSpaceDE/>
        <w:autoSpaceDN/>
        <w:bidi w:val="0"/>
        <w:adjustRightInd/>
        <w:snapToGrid/>
        <w:spacing w:line="360" w:lineRule="auto"/>
        <w:ind w:left="0" w:leftChars="0" w:firstLine="2"/>
        <w:jc w:val="center"/>
        <w:rPr>
          <w:rFonts w:ascii="黑体" w:hAnsi="黑体" w:eastAsia="黑体" w:cs="Times New Roman"/>
          <w:bCs/>
          <w:sz w:val="28"/>
          <w:szCs w:val="28"/>
        </w:rPr>
      </w:pPr>
      <w:r>
        <w:rPr>
          <w:rFonts w:hint="eastAsia" w:ascii="黑体" w:hAnsi="黑体" w:eastAsia="黑体" w:cs="Times New Roman"/>
          <w:bCs/>
          <w:sz w:val="28"/>
          <w:szCs w:val="28"/>
        </w:rPr>
        <w:t>连云区县道公路网规划</w:t>
      </w:r>
    </w:p>
    <w:p w14:paraId="2357E5CD">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cs="Times New Roman"/>
          <w:bCs/>
          <w:sz w:val="30"/>
          <w:szCs w:val="30"/>
        </w:rPr>
      </w:pPr>
      <w:r>
        <w:rPr>
          <w:rFonts w:hint="eastAsia" w:ascii="Times New Roman" w:hAnsi="Times New Roman" w:eastAsia="仿宋_GB2312" w:cs="Times New Roman"/>
          <w:sz w:val="32"/>
          <w:szCs w:val="32"/>
          <w:lang w:val="zh-CN"/>
        </w:rPr>
        <w:t>乡村道路规划共涉及墟沟、连云、云山、连岛、板桥、宿城、高公岛七个街道，现状总里程乡道30.134km，村道81.479km；规划总里程乡道52.356km，村道80.592km。</w:t>
      </w:r>
    </w:p>
    <w:p w14:paraId="71EFAB8E">
      <w:pPr>
        <w:pageBreakBefore w:val="0"/>
        <w:kinsoku/>
        <w:wordWrap/>
        <w:overflowPunct/>
        <w:topLinePunct w:val="0"/>
        <w:autoSpaceDE/>
        <w:autoSpaceDN/>
        <w:bidi w:val="0"/>
        <w:adjustRightInd/>
        <w:snapToGrid/>
        <w:spacing w:line="360" w:lineRule="auto"/>
        <w:ind w:left="194" w:leftChars="0" w:hanging="194" w:hangingChars="81"/>
        <w:jc w:val="both"/>
        <w:rPr>
          <w:rFonts w:ascii="Times New Roman" w:hAnsi="Times New Roman" w:eastAsia="仿宋_GB2312" w:cs="Times New Roman"/>
          <w:bCs/>
          <w:sz w:val="30"/>
          <w:szCs w:val="30"/>
        </w:rPr>
      </w:pPr>
      <w:r>
        <w:drawing>
          <wp:inline distT="0" distB="0" distL="0" distR="0">
            <wp:extent cx="5133340" cy="3274695"/>
            <wp:effectExtent l="0" t="0" r="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47"/>
                    <a:stretch>
                      <a:fillRect/>
                    </a:stretch>
                  </pic:blipFill>
                  <pic:spPr>
                    <a:xfrm>
                      <a:off x="0" y="0"/>
                      <a:ext cx="5143702" cy="3281306"/>
                    </a:xfrm>
                    <a:prstGeom prst="rect">
                      <a:avLst/>
                    </a:prstGeom>
                  </pic:spPr>
                </pic:pic>
              </a:graphicData>
            </a:graphic>
          </wp:inline>
        </w:drawing>
      </w:r>
    </w:p>
    <w:p w14:paraId="55481E7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2.</w:t>
      </w:r>
      <w:r>
        <w:rPr>
          <w:rFonts w:hint="eastAsia" w:ascii="楷体" w:hAnsi="楷体" w:eastAsia="楷体" w:cs="楷体"/>
          <w:sz w:val="32"/>
          <w:szCs w:val="32"/>
          <w:lang w:val="zh-CN"/>
        </w:rPr>
        <w:t>提档升级建设</w:t>
      </w:r>
    </w:p>
    <w:p w14:paraId="50D49D0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农村公路提档升级建设，将更好的服务乡村振兴，推进农村公路“一县一品牌，一区一特色”规划全面建设实施，促进区域经济社会发展，实现全区农村公路具备条件县道均达到三级及以上标准，乡村道互联互通，规划发展村庄连通等级公路，完善苏北地区改善农民群众住房条件配套道路设施，农村公路危桥持续改造，逐渐消减宽路窄桥，到2025年，基本形成“覆盖更广、品质更高、结构更优、服务更好”的农村公路基础设施体系。</w:t>
      </w:r>
    </w:p>
    <w:p w14:paraId="51D414D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根据《江苏省农村公路建设项目库（2021－2025年）编制方案》要求，本次项目库共有5种道路项目类型和3种桥梁项目类型。连云区2021-2025年项目库共安排农村公路提档升级项目68.6公里，其中：县道达标项目39.5公里，规划发展村庄通达等级公路项目10.8公里，节点通达项目11.8公里，通行政村双车道四级公路“白改黑”项目6.5公里。详见下表：</w:t>
      </w:r>
    </w:p>
    <w:tbl>
      <w:tblPr>
        <w:tblStyle w:val="16"/>
        <w:tblpPr w:leftFromText="180" w:rightFromText="180" w:vertAnchor="text" w:horzAnchor="page" w:tblpX="1675" w:tblpY="561"/>
        <w:tblOverlap w:val="never"/>
        <w:tblW w:w="48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3"/>
        <w:gridCol w:w="5498"/>
        <w:gridCol w:w="1957"/>
      </w:tblGrid>
      <w:tr w14:paraId="6438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82" w:type="pct"/>
            <w:shd w:val="clear" w:color="auto" w:fill="auto"/>
            <w:vAlign w:val="center"/>
          </w:tcPr>
          <w:p w14:paraId="6193EA52">
            <w:pPr>
              <w:pageBreakBefore w:val="0"/>
              <w:kinsoku/>
              <w:wordWrap/>
              <w:overflowPunct/>
              <w:topLinePunct w:val="0"/>
              <w:autoSpaceDE/>
              <w:autoSpaceDN/>
              <w:bidi w:val="0"/>
              <w:adjustRightInd/>
              <w:snapToGrid/>
              <w:ind w:left="0" w:leftChars="0"/>
              <w:jc w:val="both"/>
              <w:rPr>
                <w:rFonts w:hint="eastAsia" w:ascii="仿宋" w:hAnsi="仿宋" w:eastAsia="仿宋" w:cs="仿宋"/>
                <w:b/>
                <w:bCs/>
                <w:color w:val="000000"/>
              </w:rPr>
            </w:pPr>
            <w:r>
              <w:rPr>
                <w:rFonts w:hint="eastAsia" w:ascii="仿宋" w:hAnsi="仿宋" w:eastAsia="仿宋" w:cs="仿宋"/>
                <w:b/>
                <w:bCs/>
                <w:color w:val="000000"/>
              </w:rPr>
              <w:t>类别</w:t>
            </w:r>
          </w:p>
        </w:tc>
        <w:tc>
          <w:tcPr>
            <w:tcW w:w="3110" w:type="pct"/>
            <w:shd w:val="clear" w:color="auto" w:fill="auto"/>
            <w:vAlign w:val="center"/>
          </w:tcPr>
          <w:p w14:paraId="75B5A8B8">
            <w:pPr>
              <w:pageBreakBefore w:val="0"/>
              <w:kinsoku/>
              <w:wordWrap/>
              <w:overflowPunct/>
              <w:topLinePunct w:val="0"/>
              <w:autoSpaceDE/>
              <w:autoSpaceDN/>
              <w:bidi w:val="0"/>
              <w:adjustRightInd/>
              <w:snapToGrid/>
              <w:ind w:left="0" w:leftChars="0"/>
              <w:jc w:val="both"/>
              <w:rPr>
                <w:rFonts w:hint="eastAsia" w:ascii="仿宋" w:hAnsi="仿宋" w:eastAsia="仿宋" w:cs="仿宋"/>
                <w:b/>
                <w:bCs/>
                <w:color w:val="000000"/>
              </w:rPr>
            </w:pPr>
            <w:r>
              <w:rPr>
                <w:rFonts w:hint="eastAsia" w:ascii="仿宋" w:hAnsi="仿宋" w:eastAsia="仿宋" w:cs="仿宋"/>
                <w:b/>
                <w:bCs/>
                <w:color w:val="000000"/>
              </w:rPr>
              <w:t>项目类型</w:t>
            </w:r>
          </w:p>
        </w:tc>
        <w:tc>
          <w:tcPr>
            <w:tcW w:w="1107" w:type="pct"/>
            <w:shd w:val="clear" w:color="auto" w:fill="auto"/>
            <w:vAlign w:val="center"/>
          </w:tcPr>
          <w:p w14:paraId="77B522EA">
            <w:pPr>
              <w:pageBreakBefore w:val="0"/>
              <w:kinsoku/>
              <w:wordWrap/>
              <w:overflowPunct/>
              <w:topLinePunct w:val="0"/>
              <w:autoSpaceDE/>
              <w:autoSpaceDN/>
              <w:bidi w:val="0"/>
              <w:adjustRightInd/>
              <w:snapToGrid/>
              <w:ind w:left="0" w:leftChars="0"/>
              <w:jc w:val="both"/>
              <w:rPr>
                <w:rFonts w:hint="eastAsia" w:ascii="仿宋" w:hAnsi="仿宋" w:eastAsia="仿宋" w:cs="仿宋"/>
                <w:b/>
                <w:bCs/>
                <w:color w:val="000000"/>
              </w:rPr>
            </w:pPr>
            <w:r>
              <w:rPr>
                <w:rFonts w:hint="eastAsia" w:ascii="仿宋" w:hAnsi="仿宋" w:eastAsia="仿宋" w:cs="仿宋"/>
                <w:b/>
                <w:bCs/>
                <w:color w:val="000000"/>
              </w:rPr>
              <w:t>里程（公里）</w:t>
            </w:r>
          </w:p>
        </w:tc>
      </w:tr>
      <w:tr w14:paraId="24F4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82" w:type="pct"/>
            <w:vMerge w:val="restart"/>
            <w:vAlign w:val="center"/>
          </w:tcPr>
          <w:p w14:paraId="07D81373">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sz w:val="22"/>
                <w:szCs w:val="22"/>
              </w:rPr>
            </w:pPr>
            <w:r>
              <w:rPr>
                <w:rFonts w:hint="eastAsia" w:ascii="仿宋" w:hAnsi="仿宋" w:eastAsia="仿宋" w:cs="仿宋"/>
                <w:color w:val="000000"/>
                <w:sz w:val="22"/>
                <w:szCs w:val="22"/>
              </w:rPr>
              <w:t>道路项目</w:t>
            </w:r>
          </w:p>
        </w:tc>
        <w:tc>
          <w:tcPr>
            <w:tcW w:w="3110" w:type="pct"/>
            <w:vAlign w:val="center"/>
          </w:tcPr>
          <w:p w14:paraId="75BD1761">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sz w:val="22"/>
                <w:szCs w:val="22"/>
              </w:rPr>
            </w:pPr>
            <w:r>
              <w:rPr>
                <w:rFonts w:hint="eastAsia" w:ascii="仿宋" w:hAnsi="仿宋" w:eastAsia="仿宋" w:cs="仿宋"/>
                <w:color w:val="000000"/>
                <w:sz w:val="22"/>
                <w:szCs w:val="22"/>
              </w:rPr>
              <w:t>县道达标项目</w:t>
            </w:r>
          </w:p>
        </w:tc>
        <w:tc>
          <w:tcPr>
            <w:tcW w:w="1107" w:type="pct"/>
            <w:vAlign w:val="center"/>
          </w:tcPr>
          <w:p w14:paraId="6990EA35">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rPr>
            </w:pPr>
            <w:r>
              <w:rPr>
                <w:rFonts w:hint="eastAsia" w:ascii="仿宋" w:hAnsi="仿宋" w:eastAsia="仿宋" w:cs="仿宋"/>
                <w:color w:val="000000"/>
              </w:rPr>
              <w:t>39.5</w:t>
            </w:r>
          </w:p>
        </w:tc>
      </w:tr>
      <w:tr w14:paraId="5C05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82" w:type="pct"/>
            <w:vMerge w:val="continue"/>
            <w:vAlign w:val="center"/>
          </w:tcPr>
          <w:p w14:paraId="4468D504">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sz w:val="22"/>
                <w:szCs w:val="22"/>
              </w:rPr>
            </w:pPr>
          </w:p>
        </w:tc>
        <w:tc>
          <w:tcPr>
            <w:tcW w:w="3110" w:type="pct"/>
            <w:vAlign w:val="center"/>
          </w:tcPr>
          <w:p w14:paraId="57DF444A">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sz w:val="22"/>
                <w:szCs w:val="22"/>
              </w:rPr>
            </w:pPr>
            <w:r>
              <w:rPr>
                <w:rFonts w:hint="eastAsia" w:ascii="仿宋" w:hAnsi="仿宋" w:eastAsia="仿宋" w:cs="仿宋"/>
                <w:color w:val="000000"/>
                <w:sz w:val="22"/>
                <w:szCs w:val="22"/>
              </w:rPr>
              <w:t>规划发展村庄通达等级公路项目</w:t>
            </w:r>
          </w:p>
        </w:tc>
        <w:tc>
          <w:tcPr>
            <w:tcW w:w="1107" w:type="pct"/>
            <w:vAlign w:val="center"/>
          </w:tcPr>
          <w:p w14:paraId="554FD833">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rPr>
            </w:pPr>
            <w:r>
              <w:rPr>
                <w:rFonts w:hint="eastAsia" w:ascii="仿宋" w:hAnsi="仿宋" w:eastAsia="仿宋" w:cs="仿宋"/>
                <w:color w:val="000000"/>
              </w:rPr>
              <w:t>10.8</w:t>
            </w:r>
          </w:p>
        </w:tc>
      </w:tr>
      <w:tr w14:paraId="71DE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82" w:type="pct"/>
            <w:vMerge w:val="continue"/>
            <w:vAlign w:val="center"/>
          </w:tcPr>
          <w:p w14:paraId="3CE627DD">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sz w:val="22"/>
                <w:szCs w:val="22"/>
              </w:rPr>
            </w:pPr>
          </w:p>
        </w:tc>
        <w:tc>
          <w:tcPr>
            <w:tcW w:w="3110" w:type="pct"/>
            <w:vAlign w:val="center"/>
          </w:tcPr>
          <w:p w14:paraId="295D5B3E">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sz w:val="22"/>
                <w:szCs w:val="22"/>
              </w:rPr>
            </w:pPr>
            <w:r>
              <w:rPr>
                <w:rFonts w:hint="eastAsia" w:ascii="仿宋" w:hAnsi="仿宋" w:eastAsia="仿宋" w:cs="仿宋"/>
                <w:color w:val="000000"/>
                <w:sz w:val="22"/>
                <w:szCs w:val="22"/>
              </w:rPr>
              <w:t>节点通达项目</w:t>
            </w:r>
          </w:p>
        </w:tc>
        <w:tc>
          <w:tcPr>
            <w:tcW w:w="1107" w:type="pct"/>
            <w:vAlign w:val="center"/>
          </w:tcPr>
          <w:p w14:paraId="64CE2DD5">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rPr>
            </w:pPr>
            <w:r>
              <w:rPr>
                <w:rFonts w:hint="eastAsia" w:ascii="仿宋" w:hAnsi="仿宋" w:eastAsia="仿宋" w:cs="仿宋"/>
                <w:color w:val="000000"/>
              </w:rPr>
              <w:t>11.8</w:t>
            </w:r>
          </w:p>
        </w:tc>
      </w:tr>
      <w:tr w14:paraId="1232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82" w:type="pct"/>
            <w:vMerge w:val="continue"/>
            <w:vAlign w:val="center"/>
          </w:tcPr>
          <w:p w14:paraId="68C2FE8A">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sz w:val="22"/>
                <w:szCs w:val="22"/>
              </w:rPr>
            </w:pPr>
          </w:p>
        </w:tc>
        <w:tc>
          <w:tcPr>
            <w:tcW w:w="3110" w:type="pct"/>
            <w:vAlign w:val="center"/>
          </w:tcPr>
          <w:p w14:paraId="25685FBF">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sz w:val="22"/>
                <w:szCs w:val="22"/>
              </w:rPr>
            </w:pPr>
            <w:r>
              <w:rPr>
                <w:rFonts w:hint="eastAsia" w:ascii="仿宋" w:hAnsi="仿宋" w:eastAsia="仿宋" w:cs="仿宋"/>
                <w:color w:val="000000"/>
                <w:sz w:val="22"/>
                <w:szCs w:val="22"/>
              </w:rPr>
              <w:t>苏北地区改善农民群众住房条件配套道路项目</w:t>
            </w:r>
          </w:p>
        </w:tc>
        <w:tc>
          <w:tcPr>
            <w:tcW w:w="1107" w:type="pct"/>
            <w:shd w:val="clear" w:color="auto" w:fill="FFFFFF"/>
            <w:vAlign w:val="center"/>
          </w:tcPr>
          <w:p w14:paraId="7A88269F">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rPr>
            </w:pPr>
            <w:r>
              <w:rPr>
                <w:rFonts w:hint="eastAsia" w:ascii="仿宋" w:hAnsi="仿宋" w:eastAsia="仿宋" w:cs="仿宋"/>
                <w:color w:val="000000"/>
              </w:rPr>
              <w:t>0</w:t>
            </w:r>
          </w:p>
        </w:tc>
      </w:tr>
      <w:tr w14:paraId="3A80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82" w:type="pct"/>
            <w:vMerge w:val="continue"/>
            <w:vAlign w:val="center"/>
          </w:tcPr>
          <w:p w14:paraId="06DA82D0">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sz w:val="22"/>
                <w:szCs w:val="22"/>
              </w:rPr>
            </w:pPr>
          </w:p>
        </w:tc>
        <w:tc>
          <w:tcPr>
            <w:tcW w:w="3110" w:type="pct"/>
            <w:vAlign w:val="center"/>
          </w:tcPr>
          <w:p w14:paraId="659DDE05">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sz w:val="22"/>
                <w:szCs w:val="22"/>
              </w:rPr>
            </w:pPr>
            <w:r>
              <w:rPr>
                <w:rFonts w:hint="eastAsia" w:ascii="仿宋" w:hAnsi="仿宋" w:eastAsia="仿宋" w:cs="仿宋"/>
                <w:color w:val="000000"/>
                <w:sz w:val="22"/>
                <w:szCs w:val="22"/>
              </w:rPr>
              <w:t>通行政村双车道四级公路“白改黑”项目</w:t>
            </w:r>
          </w:p>
        </w:tc>
        <w:tc>
          <w:tcPr>
            <w:tcW w:w="1107" w:type="pct"/>
            <w:shd w:val="clear" w:color="auto" w:fill="FFFFFF"/>
            <w:vAlign w:val="center"/>
          </w:tcPr>
          <w:p w14:paraId="310930F7">
            <w:pPr>
              <w:pageBreakBefore w:val="0"/>
              <w:kinsoku/>
              <w:wordWrap/>
              <w:overflowPunct/>
              <w:topLinePunct w:val="0"/>
              <w:autoSpaceDE/>
              <w:autoSpaceDN/>
              <w:bidi w:val="0"/>
              <w:adjustRightInd/>
              <w:snapToGrid/>
              <w:ind w:left="0" w:leftChars="0"/>
              <w:jc w:val="both"/>
              <w:rPr>
                <w:rFonts w:hint="eastAsia" w:ascii="仿宋" w:hAnsi="仿宋" w:eastAsia="仿宋" w:cs="仿宋"/>
                <w:color w:val="000000"/>
              </w:rPr>
            </w:pPr>
            <w:r>
              <w:rPr>
                <w:rFonts w:hint="eastAsia" w:ascii="仿宋" w:hAnsi="仿宋" w:eastAsia="仿宋" w:cs="仿宋"/>
                <w:color w:val="000000"/>
              </w:rPr>
              <w:t>6.5</w:t>
            </w:r>
          </w:p>
        </w:tc>
      </w:tr>
      <w:tr w14:paraId="1AB8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892" w:type="pct"/>
            <w:gridSpan w:val="2"/>
            <w:vAlign w:val="center"/>
          </w:tcPr>
          <w:p w14:paraId="40C1070A">
            <w:pPr>
              <w:pageBreakBefore w:val="0"/>
              <w:kinsoku/>
              <w:wordWrap/>
              <w:overflowPunct/>
              <w:topLinePunct w:val="0"/>
              <w:autoSpaceDE/>
              <w:autoSpaceDN/>
              <w:bidi w:val="0"/>
              <w:adjustRightInd/>
              <w:snapToGrid/>
              <w:ind w:left="0" w:leftChars="0"/>
              <w:jc w:val="both"/>
              <w:rPr>
                <w:rFonts w:hint="eastAsia" w:ascii="仿宋" w:hAnsi="仿宋" w:eastAsia="仿宋" w:cs="仿宋"/>
                <w:b/>
                <w:color w:val="000000"/>
              </w:rPr>
            </w:pPr>
            <w:r>
              <w:rPr>
                <w:rFonts w:hint="eastAsia" w:ascii="仿宋" w:hAnsi="仿宋" w:eastAsia="仿宋" w:cs="仿宋"/>
                <w:b/>
                <w:color w:val="000000"/>
              </w:rPr>
              <w:t>小计</w:t>
            </w:r>
          </w:p>
        </w:tc>
        <w:tc>
          <w:tcPr>
            <w:tcW w:w="1107" w:type="pct"/>
            <w:vAlign w:val="center"/>
          </w:tcPr>
          <w:p w14:paraId="1B79B5BA">
            <w:pPr>
              <w:pageBreakBefore w:val="0"/>
              <w:kinsoku/>
              <w:wordWrap/>
              <w:overflowPunct/>
              <w:topLinePunct w:val="0"/>
              <w:autoSpaceDE/>
              <w:autoSpaceDN/>
              <w:bidi w:val="0"/>
              <w:adjustRightInd/>
              <w:snapToGrid/>
              <w:ind w:left="0" w:leftChars="0"/>
              <w:jc w:val="both"/>
              <w:rPr>
                <w:rFonts w:hint="eastAsia" w:ascii="仿宋" w:hAnsi="仿宋" w:eastAsia="仿宋" w:cs="仿宋"/>
                <w:b/>
                <w:color w:val="000000"/>
              </w:rPr>
            </w:pPr>
            <w:r>
              <w:rPr>
                <w:rFonts w:hint="eastAsia" w:ascii="仿宋" w:hAnsi="仿宋" w:eastAsia="仿宋" w:cs="仿宋"/>
                <w:b/>
                <w:color w:val="000000"/>
              </w:rPr>
              <w:t>68.6</w:t>
            </w:r>
          </w:p>
        </w:tc>
      </w:tr>
    </w:tbl>
    <w:p w14:paraId="76C58869">
      <w:pPr>
        <w:keepNext w:val="0"/>
        <w:keepLines w:val="0"/>
        <w:pageBreakBefore w:val="0"/>
        <w:widowControl/>
        <w:kinsoku/>
        <w:wordWrap/>
        <w:overflowPunct/>
        <w:topLinePunct w:val="0"/>
        <w:autoSpaceDE/>
        <w:autoSpaceDN/>
        <w:bidi w:val="0"/>
        <w:adjustRightInd/>
        <w:snapToGrid/>
        <w:spacing w:line="560" w:lineRule="exact"/>
        <w:ind w:left="0" w:leftChars="0"/>
        <w:jc w:val="center"/>
        <w:textAlignment w:val="auto"/>
        <w:rPr>
          <w:rFonts w:ascii="黑体" w:hAnsi="黑体" w:eastAsia="黑体"/>
          <w:sz w:val="28"/>
          <w:szCs w:val="28"/>
        </w:rPr>
      </w:pPr>
      <w:r>
        <w:rPr>
          <w:rFonts w:ascii="黑体" w:hAnsi="黑体" w:eastAsia="黑体"/>
          <w:sz w:val="28"/>
          <w:szCs w:val="28"/>
        </w:rPr>
        <w:t>连云区农村公路建设项目库（2021－2025年）统计表</w:t>
      </w:r>
    </w:p>
    <w:p w14:paraId="1A0C5BDB">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bookmarkStart w:id="53" w:name="_Toc81203413"/>
      <w:r>
        <w:rPr>
          <w:rFonts w:hint="eastAsia" w:ascii="楷体" w:hAnsi="楷体" w:eastAsia="楷体" w:cs="楷体"/>
          <w:sz w:val="32"/>
          <w:szCs w:val="32"/>
          <w:lang w:val="zh-CN"/>
        </w:rPr>
        <w:t>（</w:t>
      </w:r>
      <w:r>
        <w:rPr>
          <w:rFonts w:hint="eastAsia" w:ascii="楷体" w:hAnsi="楷体" w:eastAsia="楷体" w:cs="楷体"/>
          <w:sz w:val="32"/>
          <w:szCs w:val="32"/>
          <w:lang w:val="en-US" w:eastAsia="zh-CN"/>
        </w:rPr>
        <w:t>四</w:t>
      </w:r>
      <w:r>
        <w:rPr>
          <w:rFonts w:hint="eastAsia" w:ascii="楷体" w:hAnsi="楷体" w:eastAsia="楷体" w:cs="楷体"/>
          <w:sz w:val="32"/>
          <w:szCs w:val="32"/>
          <w:lang w:val="zh-CN"/>
        </w:rPr>
        <w:t>）公共出行服务体系建设</w:t>
      </w:r>
      <w:bookmarkEnd w:id="53"/>
    </w:p>
    <w:p w14:paraId="3B005ED9">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公共出行按照出行范围分为：国际之间、城际之间、城市内部、城乡之间、镇村之间出行五个层面。连云区已初步构建了五级公共出行服务体系，但目前存在国际、城际与城市公共出行服务水平低、高铁、航空出行服务仍为空白两个突出问题。“十四五”期间，连云区应以推进快速高效铁路出行、便捷全面公交出行、推动场站建设为重点领域，大幅提升城际、城市公交出行服务水平；积极促进与花果山机场快速通道，填补航空客运服务空白。</w:t>
      </w:r>
    </w:p>
    <w:p w14:paraId="09EEB5B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1.</w:t>
      </w:r>
      <w:r>
        <w:rPr>
          <w:rFonts w:hint="eastAsia" w:ascii="楷体" w:hAnsi="楷体" w:eastAsia="楷体" w:cs="楷体"/>
          <w:sz w:val="32"/>
          <w:szCs w:val="32"/>
          <w:lang w:val="zh-CN"/>
        </w:rPr>
        <w:t>城际客运工作重点</w:t>
      </w:r>
    </w:p>
    <w:p w14:paraId="20071964">
      <w:pPr>
        <w:keepNext w:val="0"/>
        <w:keepLines w:val="0"/>
        <w:pageBreakBefore w:val="0"/>
        <w:kinsoku/>
        <w:wordWrap/>
        <w:overflowPunct/>
        <w:topLinePunct w:val="0"/>
        <w:autoSpaceDE/>
        <w:autoSpaceDN/>
        <w:bidi w:val="0"/>
        <w:adjustRightInd/>
        <w:snapToGrid/>
        <w:spacing w:line="560" w:lineRule="exact"/>
        <w:ind w:left="0" w:leftChars="0" w:firstLine="960" w:firstLineChars="300"/>
        <w:jc w:val="both"/>
        <w:textAlignment w:val="auto"/>
        <w:outlineLvl w:val="5"/>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1</w:t>
      </w:r>
      <w:r>
        <w:rPr>
          <w:rFonts w:hint="eastAsia" w:ascii="楷体" w:hAnsi="楷体" w:eastAsia="楷体" w:cs="楷体"/>
          <w:sz w:val="32"/>
          <w:szCs w:val="32"/>
          <w:lang w:val="zh-CN"/>
        </w:rPr>
        <w:t>）优化运输服务组织，提升客运服务便捷化水平</w:t>
      </w:r>
    </w:p>
    <w:p w14:paraId="5336F2D8">
      <w:pPr>
        <w:keepNext w:val="0"/>
        <w:keepLines w:val="0"/>
        <w:pageBreakBefore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b/>
          <w:bCs/>
          <w:sz w:val="32"/>
          <w:szCs w:val="32"/>
          <w:lang w:val="zh-CN"/>
        </w:rPr>
        <w:t>一是积极推动连云港东站开行高铁动车。</w:t>
      </w:r>
      <w:r>
        <w:rPr>
          <w:rFonts w:hint="eastAsia" w:ascii="Times New Roman" w:hAnsi="Times New Roman" w:eastAsia="仿宋_GB2312" w:cs="Times New Roman"/>
          <w:sz w:val="32"/>
          <w:szCs w:val="32"/>
          <w:lang w:val="zh-CN"/>
        </w:rPr>
        <w:t>合理布局与陇海铁路客运不同区域、层次的运输网络，最大限度的发挥铁路客运比较优势和现有网络整体效能。目前，陇海铁路在连云港站连盐场已接入连盐（连镇）线，高铁动车降速即可开进连云港东站。鉴于我市“一市双城”特殊城市结构及连云港东站与连云港站距离较近（22公里）的客观情况，建议参照青岛（青岛站至青岛北站间距16公里，区间动车运行时间18分钟，平均运行时速53km/h）等地经验，将高铁动车开行至连云港东站。</w:t>
      </w:r>
    </w:p>
    <w:p w14:paraId="62650A95">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在南绕线建设完成前，通过存车设施补强及信号系统适应性改造，实现连云港东站动车组始发终到业务办理，将以连云港东站为始发终到站的普速列车调整至连云港站始发终到，暂停目前正在运行的市域列车，由此释放运能，可使连云港站始发终到高铁动车28对延伸至连云港东站。</w:t>
      </w:r>
    </w:p>
    <w:p w14:paraId="1A0FE86A">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在南绕线建设完成后，既有陇海线（连云港-连云港东段）运能得到释放，通过陇海—连徐等相关联络线建设，连云港至连云港东段可调整为客运专线，通过连云港站始发终到动车组列车可全部延伸至连云港东站始发终到，连云港东站将成为融合普速、市域、城际三大功能的客运辅助枢纽，在为连云港站运能进行补充的同时满足外来商务、旅游及东部城区市民高质量出行需求。</w:t>
      </w:r>
    </w:p>
    <w:p w14:paraId="48AD45ED">
      <w:pPr>
        <w:keepNext w:val="0"/>
        <w:keepLines w:val="0"/>
        <w:pageBreakBefore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b/>
          <w:bCs/>
          <w:sz w:val="32"/>
          <w:szCs w:val="32"/>
          <w:lang w:val="zh-CN"/>
        </w:rPr>
        <w:t>二是大力发展班车网络化运输。</w:t>
      </w:r>
      <w:r>
        <w:rPr>
          <w:rFonts w:hint="eastAsia" w:ascii="Times New Roman" w:hAnsi="Times New Roman" w:eastAsia="仿宋_GB2312" w:cs="Times New Roman"/>
          <w:sz w:val="32"/>
          <w:szCs w:val="32"/>
          <w:lang w:val="zh-CN"/>
        </w:rPr>
        <w:t>引导班车车头向下，积极推行中长途班车重点乡街、经济开发区等旅客集中地发车常态化。推动连云区至徐圩新区快速公交开行，解决新区产业人员外出通行需求。</w:t>
      </w:r>
    </w:p>
    <w:p w14:paraId="4CE8A918">
      <w:pPr>
        <w:keepNext w:val="0"/>
        <w:keepLines w:val="0"/>
        <w:pageBreakBefore w:val="0"/>
        <w:kinsoku/>
        <w:wordWrap/>
        <w:overflowPunct/>
        <w:topLinePunct w:val="0"/>
        <w:autoSpaceDE/>
        <w:autoSpaceDN/>
        <w:bidi w:val="0"/>
        <w:adjustRightInd/>
        <w:snapToGrid/>
        <w:spacing w:line="560" w:lineRule="exact"/>
        <w:ind w:left="0" w:leftChars="0" w:firstLine="643" w:firstLineChars="200"/>
        <w:jc w:val="both"/>
        <w:textAlignment w:val="auto"/>
        <w:rPr>
          <w:rFonts w:ascii="Times New Roman" w:hAnsi="Times New Roman" w:eastAsia="仿宋_GB2312" w:cs="Times New Roman"/>
          <w:sz w:val="30"/>
          <w:szCs w:val="30"/>
        </w:rPr>
      </w:pPr>
      <w:r>
        <w:rPr>
          <w:rFonts w:hint="eastAsia" w:ascii="Times New Roman" w:hAnsi="Times New Roman" w:eastAsia="仿宋_GB2312" w:cs="Times New Roman"/>
          <w:b/>
          <w:bCs/>
          <w:sz w:val="32"/>
          <w:szCs w:val="32"/>
          <w:lang w:val="zh-CN"/>
        </w:rPr>
        <w:t>三是推动旅游包车行业合作共赢。</w:t>
      </w:r>
      <w:r>
        <w:rPr>
          <w:rFonts w:hint="eastAsia" w:ascii="Times New Roman" w:hAnsi="Times New Roman" w:eastAsia="仿宋_GB2312" w:cs="Times New Roman"/>
          <w:sz w:val="32"/>
          <w:szCs w:val="32"/>
          <w:lang w:val="zh-CN"/>
        </w:rPr>
        <w:t>引导旅游包车企业通过成立战略联盟等方式抱团发展，提高经营效率、降低运营成本。支持规模包车企业或联盟与旅游行业电商合作力度，实现旅游包车车辆的统一调度，增强行业整体竞争优势。</w:t>
      </w:r>
    </w:p>
    <w:p w14:paraId="7B1D5162">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outlineLvl w:val="5"/>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2</w:t>
      </w:r>
      <w:r>
        <w:rPr>
          <w:rFonts w:hint="eastAsia" w:ascii="楷体" w:hAnsi="楷体" w:eastAsia="楷体" w:cs="楷体"/>
          <w:sz w:val="32"/>
          <w:szCs w:val="32"/>
          <w:lang w:val="zh-CN"/>
        </w:rPr>
        <w:t>）引导行业结构调整，提升客运服务低碳化水平</w:t>
      </w:r>
    </w:p>
    <w:p w14:paraId="638284AA">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以节约资源、提高能效、控制排放为目标，加大客运结构调整力度，大力发展集约、绿色客运，实现经济效益与社会效益的有机统一。</w:t>
      </w:r>
      <w:r>
        <w:rPr>
          <w:rFonts w:hint="eastAsia" w:ascii="Times New Roman" w:hAnsi="Times New Roman" w:eastAsia="仿宋_GB2312" w:cs="Times New Roman"/>
          <w:b/>
          <w:bCs/>
          <w:sz w:val="32"/>
          <w:szCs w:val="32"/>
          <w:lang w:val="zh-CN"/>
        </w:rPr>
        <w:t>一是深化客运主体整合战略，</w:t>
      </w:r>
      <w:r>
        <w:rPr>
          <w:rFonts w:hint="eastAsia" w:ascii="Times New Roman" w:hAnsi="Times New Roman" w:eastAsia="仿宋_GB2312" w:cs="Times New Roman"/>
          <w:b w:val="0"/>
          <w:bCs w:val="0"/>
          <w:sz w:val="32"/>
          <w:szCs w:val="32"/>
          <w:lang w:val="zh-CN"/>
        </w:rPr>
        <w:t>继续推进客运企业间的兼并重组，提高道路运输行业市场集中度和企业竞争力。</w:t>
      </w:r>
      <w:r>
        <w:rPr>
          <w:rFonts w:hint="eastAsia" w:ascii="Times New Roman" w:hAnsi="Times New Roman" w:eastAsia="仿宋_GB2312" w:cs="Times New Roman"/>
          <w:b/>
          <w:bCs/>
          <w:sz w:val="32"/>
          <w:szCs w:val="32"/>
          <w:lang w:val="zh-CN"/>
        </w:rPr>
        <w:t>二是加快客运运力调整。</w:t>
      </w:r>
      <w:r>
        <w:rPr>
          <w:rFonts w:hint="eastAsia" w:ascii="Times New Roman" w:hAnsi="Times New Roman" w:eastAsia="仿宋_GB2312" w:cs="Times New Roman"/>
          <w:sz w:val="32"/>
          <w:szCs w:val="32"/>
          <w:lang w:val="zh-CN"/>
        </w:rPr>
        <w:t>积极响应生态文明建设和机动车排气污染防治工作，规范客运“黄标车”提前退运，引导企业加快老旧客车更新换代，推广应用节油、节能、环保型车辆。进一步提升中高级客车比例，鼓励发展LNG等新能源运力，积极争取政策倾斜，“十四五”期间新增一批LNG客车和环保公交车。</w:t>
      </w:r>
    </w:p>
    <w:p w14:paraId="6C9028C5">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outlineLvl w:val="5"/>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3</w:t>
      </w:r>
      <w:r>
        <w:rPr>
          <w:rFonts w:hint="eastAsia" w:ascii="楷体" w:hAnsi="楷体" w:eastAsia="楷体" w:cs="楷体"/>
          <w:sz w:val="32"/>
          <w:szCs w:val="32"/>
          <w:lang w:val="zh-CN"/>
        </w:rPr>
        <w:t>）加快服务标准建设，提升客运服务规范化水平</w:t>
      </w:r>
    </w:p>
    <w:p w14:paraId="11886784">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正确认识和处理好政府和市场的关系，加快转变政府职能，做好宏观调控，注重发展方向引导，加强事中和事后监督，强化公共服务提供。</w:t>
      </w:r>
      <w:r>
        <w:rPr>
          <w:rFonts w:hint="eastAsia" w:ascii="Times New Roman" w:hAnsi="Times New Roman" w:eastAsia="仿宋_GB2312" w:cs="Times New Roman"/>
          <w:b/>
          <w:bCs/>
          <w:sz w:val="32"/>
          <w:szCs w:val="32"/>
          <w:lang w:val="zh-CN"/>
        </w:rPr>
        <w:t>完善客运服务标准。</w:t>
      </w:r>
      <w:r>
        <w:rPr>
          <w:rFonts w:hint="eastAsia" w:ascii="Times New Roman" w:hAnsi="Times New Roman" w:eastAsia="仿宋_GB2312" w:cs="Times New Roman"/>
          <w:sz w:val="32"/>
          <w:szCs w:val="32"/>
          <w:lang w:val="zh-CN"/>
        </w:rPr>
        <w:t>完善连云区客运服务规范和标准，引导企业强化自身能力建设，支持企业做强做大，加快形成一批龙头骨干企业，更好地发挥示范带头引领作用。督促企业严格执行行业服务标准，鼓励企业制定更加严格、更高水平的企业标准，树立企业品牌。加强客运经济运行情况调查分析与发布。</w:t>
      </w:r>
      <w:r>
        <w:rPr>
          <w:rFonts w:hint="eastAsia" w:ascii="Times New Roman" w:hAnsi="Times New Roman" w:eastAsia="仿宋_GB2312" w:cs="Times New Roman"/>
          <w:b/>
          <w:bCs/>
          <w:sz w:val="32"/>
          <w:szCs w:val="32"/>
          <w:lang w:val="zh-CN"/>
        </w:rPr>
        <w:t>完善客运统计直报系统，</w:t>
      </w:r>
      <w:r>
        <w:rPr>
          <w:rFonts w:hint="eastAsia" w:ascii="Times New Roman" w:hAnsi="Times New Roman" w:eastAsia="仿宋_GB2312" w:cs="Times New Roman"/>
          <w:sz w:val="32"/>
          <w:szCs w:val="32"/>
          <w:lang w:val="zh-CN"/>
        </w:rPr>
        <w:t>定期统计分析客运经济运行情况，及时发布客运平均合理成本，重点促进包车客运行业形成合理运价，带动客运经营者从低价恶性竞争向追求高品质服务转变。</w:t>
      </w:r>
    </w:p>
    <w:p w14:paraId="3BB62913">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2.</w:t>
      </w:r>
      <w:r>
        <w:rPr>
          <w:rFonts w:hint="eastAsia" w:ascii="楷体" w:hAnsi="楷体" w:eastAsia="楷体" w:cs="楷体"/>
          <w:sz w:val="32"/>
          <w:szCs w:val="32"/>
          <w:lang w:val="zh-CN"/>
        </w:rPr>
        <w:t>城市交通服务重点</w:t>
      </w:r>
    </w:p>
    <w:p w14:paraId="5E2FD04E">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以争创“公交优先示范城市”为目标，以公交发展策略为指导，充分发挥BRT公交骨架作用，建立“结构清晰、功能明确”的公共交通网络体系，优化线网、落实场站、规范管理、提高质量，初步形成以快速公交为骨架，常规公交为主体，出租车及慢行交通为补充的公交系统构架，打造品牌公交，体现滨海、旅游特色，逐步提高公交服务水平，为远期创建公交都市打好基础。目前，东部城区共运行普通公交线路18条，快速公交线路9条，开行线路基本覆盖连云区主城区，但班次和密度不尽相同，未实现公交成网运行。</w:t>
      </w:r>
    </w:p>
    <w:p w14:paraId="006856D9">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近期建设规划重点包括五大行动：服务提升行动、场站建设行动、线网优化行动、公交提速行动、智能公交行动。</w:t>
      </w:r>
    </w:p>
    <w:p w14:paraId="664E190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5"/>
        <w:rPr>
          <w:rFonts w:hint="eastAsia" w:ascii="楷体" w:hAnsi="楷体" w:eastAsia="楷体" w:cs="楷体"/>
          <w:b w:val="0"/>
          <w:bCs/>
          <w:sz w:val="32"/>
          <w:szCs w:val="32"/>
        </w:rPr>
      </w:pPr>
      <w:r>
        <w:rPr>
          <w:rFonts w:hint="eastAsia" w:ascii="楷体" w:hAnsi="楷体" w:eastAsia="楷体" w:cs="楷体"/>
          <w:b w:val="0"/>
          <w:bCs/>
          <w:sz w:val="32"/>
          <w:szCs w:val="32"/>
          <w:lang w:eastAsia="zh-CN"/>
        </w:rPr>
        <w:t>（</w:t>
      </w:r>
      <w:r>
        <w:rPr>
          <w:rFonts w:hint="eastAsia" w:ascii="楷体" w:hAnsi="楷体" w:eastAsia="楷体" w:cs="楷体"/>
          <w:b w:val="0"/>
          <w:bCs/>
          <w:sz w:val="32"/>
          <w:szCs w:val="32"/>
          <w:lang w:val="en-US" w:eastAsia="zh-CN"/>
        </w:rPr>
        <w:t>1</w:t>
      </w:r>
      <w:r>
        <w:rPr>
          <w:rFonts w:hint="eastAsia" w:ascii="楷体" w:hAnsi="楷体" w:eastAsia="楷体" w:cs="楷体"/>
          <w:b w:val="0"/>
          <w:bCs/>
          <w:sz w:val="32"/>
          <w:szCs w:val="32"/>
          <w:lang w:eastAsia="zh-CN"/>
        </w:rPr>
        <w:t>）</w:t>
      </w:r>
      <w:r>
        <w:rPr>
          <w:rFonts w:hint="eastAsia" w:ascii="楷体" w:hAnsi="楷体" w:eastAsia="楷体" w:cs="楷体"/>
          <w:b w:val="0"/>
          <w:bCs/>
          <w:sz w:val="32"/>
          <w:szCs w:val="32"/>
        </w:rPr>
        <w:t>提升服务质量</w:t>
      </w:r>
    </w:p>
    <w:p w14:paraId="53CA88CE">
      <w:pPr>
        <w:keepNext w:val="0"/>
        <w:keepLines w:val="0"/>
        <w:pageBreakBefore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b/>
          <w:bCs/>
          <w:sz w:val="32"/>
          <w:szCs w:val="32"/>
          <w:lang w:val="zh-CN"/>
        </w:rPr>
        <w:t>一是加快推进城市公交集中调度中心建设，</w:t>
      </w:r>
      <w:r>
        <w:rPr>
          <w:rFonts w:hint="eastAsia" w:ascii="Times New Roman" w:hAnsi="Times New Roman" w:eastAsia="仿宋_GB2312" w:cs="Times New Roman"/>
          <w:sz w:val="32"/>
          <w:szCs w:val="32"/>
          <w:lang w:val="zh-CN"/>
        </w:rPr>
        <w:t>研发公交集中调度指挥信息系统，达到公交运力和运量的动态平衡；将部分新增车辆及进行线路优化调整后的节约车辆用于加大线路发车频率，减少候车时间，争取平峰时段不低于80%的乘客有座位，上下班高峰时段加密发车班次，力争高峰时段平均一半的乘客有座位；</w:t>
      </w:r>
      <w:r>
        <w:rPr>
          <w:rFonts w:hint="eastAsia" w:ascii="Times New Roman" w:hAnsi="Times New Roman" w:eastAsia="仿宋_GB2312" w:cs="Times New Roman"/>
          <w:b/>
          <w:bCs/>
          <w:sz w:val="32"/>
          <w:szCs w:val="32"/>
          <w:lang w:val="zh-CN"/>
        </w:rPr>
        <w:t>二是完善配套设施建设，</w:t>
      </w:r>
      <w:r>
        <w:rPr>
          <w:rFonts w:hint="eastAsia" w:ascii="Times New Roman" w:hAnsi="Times New Roman" w:eastAsia="仿宋_GB2312" w:cs="Times New Roman"/>
          <w:sz w:val="32"/>
          <w:szCs w:val="32"/>
          <w:lang w:val="zh-CN"/>
        </w:rPr>
        <w:t>改善慢行环境；加强过街设施建设，逐步增加站点，特别是枢纽站、客流量较大的BRT站点立体过街设施；加强城区外围停车换乘设施规划，减少中心区交通拥堵，缓解中心区停车压力；完善站点自行车停车设施建设和公共自行车租赁点建设。</w:t>
      </w:r>
    </w:p>
    <w:p w14:paraId="2AB7140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5"/>
        <w:rPr>
          <w:rFonts w:hint="eastAsia" w:ascii="楷体" w:hAnsi="楷体" w:eastAsia="楷体" w:cs="楷体"/>
          <w:b w:val="0"/>
          <w:bCs/>
          <w:sz w:val="32"/>
          <w:szCs w:val="32"/>
        </w:rPr>
      </w:pPr>
      <w:r>
        <w:rPr>
          <w:rFonts w:hint="eastAsia" w:ascii="楷体" w:hAnsi="楷体" w:eastAsia="楷体" w:cs="楷体"/>
          <w:b w:val="0"/>
          <w:bCs/>
          <w:sz w:val="32"/>
          <w:szCs w:val="32"/>
          <w:lang w:eastAsia="zh-CN"/>
        </w:rPr>
        <w:t>（</w:t>
      </w:r>
      <w:r>
        <w:rPr>
          <w:rFonts w:hint="eastAsia" w:ascii="楷体" w:hAnsi="楷体" w:eastAsia="楷体" w:cs="楷体"/>
          <w:b w:val="0"/>
          <w:bCs/>
          <w:sz w:val="32"/>
          <w:szCs w:val="32"/>
          <w:lang w:val="en-US" w:eastAsia="zh-CN"/>
        </w:rPr>
        <w:t>2</w:t>
      </w:r>
      <w:r>
        <w:rPr>
          <w:rFonts w:hint="eastAsia" w:ascii="楷体" w:hAnsi="楷体" w:eastAsia="楷体" w:cs="楷体"/>
          <w:b w:val="0"/>
          <w:bCs/>
          <w:sz w:val="32"/>
          <w:szCs w:val="32"/>
          <w:lang w:eastAsia="zh-CN"/>
        </w:rPr>
        <w:t>）</w:t>
      </w:r>
      <w:r>
        <w:rPr>
          <w:rFonts w:hint="eastAsia" w:ascii="楷体" w:hAnsi="楷体" w:eastAsia="楷体" w:cs="楷体"/>
          <w:b w:val="0"/>
          <w:bCs/>
          <w:sz w:val="32"/>
          <w:szCs w:val="32"/>
        </w:rPr>
        <w:t>推动场站建设</w:t>
      </w:r>
    </w:p>
    <w:p w14:paraId="1F11AE13">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贯彻落实公交优先发展政策，加快公交场站的建设，进一步完善公交基础设施，增强公交营运生产保障能力，扩大和延伸公交线路辐射范围，提高城市公共交通综合能力和服务水平。</w:t>
      </w:r>
    </w:p>
    <w:p w14:paraId="6D6FD5F5">
      <w:pPr>
        <w:pStyle w:val="37"/>
        <w:keepNext w:val="0"/>
        <w:keepLines w:val="0"/>
        <w:pageBreakBefore w:val="0"/>
        <w:widowControl w:val="0"/>
        <w:numPr>
          <w:ilvl w:val="0"/>
          <w:numId w:val="2"/>
        </w:numPr>
        <w:kinsoku/>
        <w:wordWrap/>
        <w:overflowPunct/>
        <w:topLinePunct w:val="0"/>
        <w:autoSpaceDE/>
        <w:autoSpaceDN/>
        <w:bidi w:val="0"/>
        <w:adjustRightInd/>
        <w:snapToGrid/>
        <w:spacing w:line="560" w:lineRule="exact"/>
        <w:ind w:left="363" w:leftChars="0" w:hanging="363" w:firstLineChars="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近期公交枢纽站建设规划</w:t>
      </w:r>
    </w:p>
    <w:p w14:paraId="2150BF94">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近期规划枢纽站3处，其中综合对外枢纽1个，一般市内枢纽2个，总规模约1.6公顷，详见下表：</w:t>
      </w:r>
    </w:p>
    <w:p w14:paraId="29038D74">
      <w:pPr>
        <w:pageBreakBefore w:val="0"/>
        <w:kinsoku/>
        <w:wordWrap/>
        <w:overflowPunct/>
        <w:topLinePunct w:val="0"/>
        <w:autoSpaceDE/>
        <w:autoSpaceDN/>
        <w:bidi w:val="0"/>
        <w:adjustRightInd/>
        <w:snapToGrid/>
        <w:spacing w:line="360" w:lineRule="auto"/>
        <w:ind w:left="0" w:leftChars="0"/>
        <w:jc w:val="center"/>
        <w:rPr>
          <w:rFonts w:ascii="黑体" w:hAnsi="黑体" w:eastAsia="黑体" w:cs="Times New Roman"/>
          <w:b/>
          <w:bCs/>
        </w:rPr>
      </w:pPr>
      <w:r>
        <w:rPr>
          <w:rFonts w:hint="eastAsia" w:ascii="黑体" w:hAnsi="黑体" w:eastAsia="黑体" w:cs="Times New Roman"/>
          <w:b/>
          <w:bCs/>
        </w:rPr>
        <w:t>近期公交枢纽布局</w:t>
      </w:r>
    </w:p>
    <w:tbl>
      <w:tblPr>
        <w:tblStyle w:val="16"/>
        <w:tblW w:w="8796" w:type="dxa"/>
        <w:tblInd w:w="136" w:type="dxa"/>
        <w:tblLayout w:type="fixed"/>
        <w:tblCellMar>
          <w:top w:w="0" w:type="dxa"/>
          <w:left w:w="108" w:type="dxa"/>
          <w:bottom w:w="0" w:type="dxa"/>
          <w:right w:w="108" w:type="dxa"/>
        </w:tblCellMar>
      </w:tblPr>
      <w:tblGrid>
        <w:gridCol w:w="941"/>
        <w:gridCol w:w="1167"/>
        <w:gridCol w:w="2015"/>
        <w:gridCol w:w="2027"/>
        <w:gridCol w:w="1145"/>
        <w:gridCol w:w="1501"/>
      </w:tblGrid>
      <w:tr w14:paraId="4520D050">
        <w:tblPrEx>
          <w:tblCellMar>
            <w:top w:w="0" w:type="dxa"/>
            <w:left w:w="108" w:type="dxa"/>
            <w:bottom w:w="0" w:type="dxa"/>
            <w:right w:w="108" w:type="dxa"/>
          </w:tblCellMar>
        </w:tblPrEx>
        <w:trPr>
          <w:trHeight w:val="397" w:hRule="exact"/>
        </w:trPr>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C0DA">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定位</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1D96C">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场站名称</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5E4EC">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位置</w:t>
            </w:r>
          </w:p>
        </w:tc>
        <w:tc>
          <w:tcPr>
            <w:tcW w:w="2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C093F">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功能</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F9ED2">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规模（m2）</w:t>
            </w: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05754">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备注</w:t>
            </w:r>
          </w:p>
        </w:tc>
      </w:tr>
      <w:tr w14:paraId="2A64C246">
        <w:tblPrEx>
          <w:tblCellMar>
            <w:top w:w="0" w:type="dxa"/>
            <w:left w:w="108" w:type="dxa"/>
            <w:bottom w:w="0" w:type="dxa"/>
            <w:right w:w="108" w:type="dxa"/>
          </w:tblCellMar>
        </w:tblPrEx>
        <w:trPr>
          <w:trHeight w:val="397" w:hRule="exact"/>
        </w:trPr>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01A8D">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综合对外枢纽</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1F911">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火车东站</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EF35">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连云港东站</w:t>
            </w:r>
          </w:p>
        </w:tc>
        <w:tc>
          <w:tcPr>
            <w:tcW w:w="2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D8D7">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火车、公交换乘枢纽</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F30BF">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8000</w:t>
            </w: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EECAB">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改建</w:t>
            </w:r>
          </w:p>
        </w:tc>
      </w:tr>
      <w:tr w14:paraId="447ADB2A">
        <w:tblPrEx>
          <w:tblCellMar>
            <w:top w:w="0" w:type="dxa"/>
            <w:left w:w="108" w:type="dxa"/>
            <w:bottom w:w="0" w:type="dxa"/>
            <w:right w:w="108" w:type="dxa"/>
          </w:tblCellMar>
        </w:tblPrEx>
        <w:trPr>
          <w:trHeight w:val="631" w:hRule="exact"/>
        </w:trPr>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3CB7">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一般市内枢纽</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2790">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墟沟购物中心站</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B028">
            <w:pPr>
              <w:pageBreakBefore w:val="0"/>
              <w:kinsoku/>
              <w:wordWrap/>
              <w:overflowPunct/>
              <w:topLinePunct w:val="0"/>
              <w:autoSpaceDE/>
              <w:autoSpaceDN/>
              <w:bidi w:val="0"/>
              <w:adjustRightInd/>
              <w:snapToGrid/>
              <w:ind w:left="0" w:leftChars="0"/>
              <w:jc w:val="both"/>
              <w:textAlignment w:val="center"/>
              <w:rPr>
                <w:rFonts w:hint="eastAsia" w:ascii="等线" w:hAnsi="等线" w:eastAsia="等线" w:cs="等线"/>
                <w:color w:val="000000"/>
                <w:sz w:val="18"/>
                <w:szCs w:val="18"/>
                <w:lang w:eastAsia="zh-CN"/>
              </w:rPr>
            </w:pPr>
            <w:r>
              <w:rPr>
                <w:rFonts w:hint="eastAsia" w:ascii="等线" w:hAnsi="等线" w:eastAsia="等线" w:cs="等线"/>
                <w:color w:val="000000"/>
                <w:sz w:val="18"/>
                <w:szCs w:val="18"/>
              </w:rPr>
              <w:t>海滨大道中华西路</w:t>
            </w:r>
          </w:p>
          <w:p w14:paraId="4D142339">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交叉口东北角</w:t>
            </w:r>
          </w:p>
        </w:tc>
        <w:tc>
          <w:tcPr>
            <w:tcW w:w="2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7890">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BRT、公交换乘枢纽</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369AB">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3000</w:t>
            </w: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F8D36">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新建</w:t>
            </w:r>
          </w:p>
        </w:tc>
      </w:tr>
      <w:tr w14:paraId="24E378F4">
        <w:tblPrEx>
          <w:tblCellMar>
            <w:top w:w="0" w:type="dxa"/>
            <w:left w:w="108" w:type="dxa"/>
            <w:bottom w:w="0" w:type="dxa"/>
            <w:right w:w="108" w:type="dxa"/>
          </w:tblCellMar>
        </w:tblPrEx>
        <w:trPr>
          <w:trHeight w:val="397" w:hRule="exact"/>
        </w:trPr>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D180">
            <w:pPr>
              <w:pageBreakBefore w:val="0"/>
              <w:kinsoku/>
              <w:wordWrap/>
              <w:overflowPunct/>
              <w:topLinePunct w:val="0"/>
              <w:autoSpaceDE/>
              <w:autoSpaceDN/>
              <w:bidi w:val="0"/>
              <w:adjustRightInd/>
              <w:snapToGrid/>
              <w:ind w:left="0" w:leftChars="0"/>
              <w:jc w:val="both"/>
              <w:rPr>
                <w:rFonts w:ascii="等线" w:hAnsi="等线" w:eastAsia="等线" w:cs="等线"/>
                <w:color w:val="000000"/>
                <w:sz w:val="18"/>
                <w:szCs w:val="18"/>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29BD5">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国展中心站</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58EA">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国展中心附近</w:t>
            </w:r>
          </w:p>
        </w:tc>
        <w:tc>
          <w:tcPr>
            <w:tcW w:w="2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D0266">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BRT、公交换乘枢纽</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90FB">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5000</w:t>
            </w: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31FB2">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新建、配建</w:t>
            </w:r>
          </w:p>
        </w:tc>
      </w:tr>
    </w:tbl>
    <w:p w14:paraId="07E1B62C">
      <w:pPr>
        <w:pStyle w:val="37"/>
        <w:keepNext w:val="0"/>
        <w:keepLines w:val="0"/>
        <w:pageBreakBefore w:val="0"/>
        <w:widowControl w:val="0"/>
        <w:numPr>
          <w:ilvl w:val="0"/>
          <w:numId w:val="2"/>
        </w:numPr>
        <w:kinsoku/>
        <w:wordWrap/>
        <w:overflowPunct/>
        <w:topLinePunct w:val="0"/>
        <w:autoSpaceDE/>
        <w:autoSpaceDN/>
        <w:bidi w:val="0"/>
        <w:adjustRightInd/>
        <w:snapToGrid/>
        <w:spacing w:line="360" w:lineRule="auto"/>
        <w:ind w:left="363" w:leftChars="0" w:hanging="363" w:firstLineChars="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近期公交首末站规划</w:t>
      </w:r>
    </w:p>
    <w:p w14:paraId="390E34AD">
      <w:pPr>
        <w:pageBreakBefore w:val="0"/>
        <w:kinsoku/>
        <w:wordWrap/>
        <w:overflowPunct/>
        <w:topLinePunct w:val="0"/>
        <w:autoSpaceDE/>
        <w:autoSpaceDN/>
        <w:bidi w:val="0"/>
        <w:adjustRightInd/>
        <w:snapToGrid/>
        <w:spacing w:line="360" w:lineRule="auto"/>
        <w:ind w:left="0" w:leftChars="0" w:firstLine="640" w:firstLineChars="200"/>
        <w:jc w:val="both"/>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近期规划首末站9处，总计规模约4.6公顷。详见下表：</w:t>
      </w:r>
    </w:p>
    <w:p w14:paraId="072B3EAA">
      <w:pPr>
        <w:pageBreakBefore w:val="0"/>
        <w:kinsoku/>
        <w:wordWrap/>
        <w:overflowPunct/>
        <w:topLinePunct w:val="0"/>
        <w:autoSpaceDE/>
        <w:autoSpaceDN/>
        <w:bidi w:val="0"/>
        <w:adjustRightInd/>
        <w:snapToGrid/>
        <w:spacing w:line="360" w:lineRule="auto"/>
        <w:ind w:left="0" w:leftChars="0" w:firstLine="87" w:firstLineChars="36"/>
        <w:jc w:val="center"/>
        <w:rPr>
          <w:rFonts w:hint="eastAsia" w:ascii="黑体" w:hAnsi="黑体" w:eastAsia="黑体" w:cs="Times New Roman"/>
          <w:b/>
          <w:bCs/>
        </w:rPr>
      </w:pPr>
    </w:p>
    <w:p w14:paraId="7DAC9A76">
      <w:pPr>
        <w:pStyle w:val="2"/>
        <w:rPr>
          <w:rFonts w:hint="eastAsia" w:ascii="黑体" w:hAnsi="黑体" w:eastAsia="黑体" w:cs="Times New Roman"/>
          <w:b/>
          <w:bCs/>
        </w:rPr>
      </w:pPr>
    </w:p>
    <w:p w14:paraId="417903E6">
      <w:pPr>
        <w:rPr>
          <w:rFonts w:hint="eastAsia" w:ascii="黑体" w:hAnsi="黑体" w:eastAsia="黑体" w:cs="Times New Roman"/>
          <w:b/>
          <w:bCs/>
        </w:rPr>
      </w:pPr>
    </w:p>
    <w:p w14:paraId="3C672C18">
      <w:pPr>
        <w:pStyle w:val="2"/>
        <w:rPr>
          <w:rFonts w:hint="eastAsia"/>
        </w:rPr>
      </w:pPr>
    </w:p>
    <w:p w14:paraId="07E17415">
      <w:pPr>
        <w:pageBreakBefore w:val="0"/>
        <w:kinsoku/>
        <w:wordWrap/>
        <w:overflowPunct/>
        <w:topLinePunct w:val="0"/>
        <w:autoSpaceDE/>
        <w:autoSpaceDN/>
        <w:bidi w:val="0"/>
        <w:adjustRightInd/>
        <w:snapToGrid/>
        <w:spacing w:line="360" w:lineRule="auto"/>
        <w:ind w:left="0" w:leftChars="0" w:firstLine="87" w:firstLineChars="36"/>
        <w:jc w:val="center"/>
        <w:rPr>
          <w:rFonts w:ascii="黑体" w:hAnsi="黑体" w:eastAsia="黑体" w:cs="Times New Roman"/>
          <w:b/>
          <w:bCs/>
        </w:rPr>
      </w:pPr>
      <w:r>
        <w:rPr>
          <w:rFonts w:hint="eastAsia" w:ascii="黑体" w:hAnsi="黑体" w:eastAsia="黑体" w:cs="Times New Roman"/>
          <w:b/>
          <w:bCs/>
        </w:rPr>
        <w:t>近期规划首末站布局</w:t>
      </w:r>
    </w:p>
    <w:tbl>
      <w:tblPr>
        <w:tblStyle w:val="16"/>
        <w:tblW w:w="8688" w:type="dxa"/>
        <w:tblInd w:w="100" w:type="dxa"/>
        <w:tblLayout w:type="autofit"/>
        <w:tblCellMar>
          <w:top w:w="0" w:type="dxa"/>
          <w:left w:w="108" w:type="dxa"/>
          <w:bottom w:w="0" w:type="dxa"/>
          <w:right w:w="108" w:type="dxa"/>
        </w:tblCellMar>
      </w:tblPr>
      <w:tblGrid>
        <w:gridCol w:w="609"/>
        <w:gridCol w:w="1907"/>
        <w:gridCol w:w="2482"/>
        <w:gridCol w:w="1680"/>
        <w:gridCol w:w="2010"/>
      </w:tblGrid>
      <w:tr w14:paraId="529B6B13">
        <w:tblPrEx>
          <w:tblCellMar>
            <w:top w:w="0" w:type="dxa"/>
            <w:left w:w="108" w:type="dxa"/>
            <w:bottom w:w="0" w:type="dxa"/>
            <w:right w:w="108" w:type="dxa"/>
          </w:tblCellMar>
        </w:tblPrEx>
        <w:trPr>
          <w:trHeight w:val="397" w:hRule="exac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0DE5F">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序号</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A45C">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场站名称</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0FCB">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位置</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C7C1">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规模（m</w:t>
            </w:r>
            <w:r>
              <w:rPr>
                <w:rFonts w:ascii="Calibri" w:hAnsi="Calibri" w:eastAsia="黑体" w:cs="Calibri"/>
                <w:b/>
                <w:bCs/>
                <w:color w:val="000000"/>
                <w:sz w:val="18"/>
                <w:szCs w:val="18"/>
              </w:rPr>
              <w:t>²</w:t>
            </w:r>
            <w:r>
              <w:rPr>
                <w:rFonts w:hint="eastAsia" w:ascii="黑体" w:hAnsi="黑体" w:eastAsia="黑体" w:cs="黑体"/>
                <w:b/>
                <w:bCs/>
                <w:color w:val="000000"/>
                <w:sz w:val="18"/>
                <w:szCs w:val="18"/>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BD3D8">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备注</w:t>
            </w:r>
          </w:p>
        </w:tc>
      </w:tr>
      <w:tr w14:paraId="19662E4E">
        <w:tblPrEx>
          <w:tblCellMar>
            <w:top w:w="0" w:type="dxa"/>
            <w:left w:w="108" w:type="dxa"/>
            <w:bottom w:w="0" w:type="dxa"/>
            <w:right w:w="108" w:type="dxa"/>
          </w:tblCellMar>
        </w:tblPrEx>
        <w:trPr>
          <w:trHeight w:val="397" w:hRule="exac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DC7D3">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1</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C30AB">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连岛</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90F0C">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西连岛外，西大堤南侧</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575EC">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15000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053B4">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新建</w:t>
            </w:r>
          </w:p>
        </w:tc>
      </w:tr>
      <w:tr w14:paraId="599FC319">
        <w:tblPrEx>
          <w:tblCellMar>
            <w:top w:w="0" w:type="dxa"/>
            <w:left w:w="108" w:type="dxa"/>
            <w:bottom w:w="0" w:type="dxa"/>
            <w:right w:w="108" w:type="dxa"/>
          </w:tblCellMar>
        </w:tblPrEx>
        <w:trPr>
          <w:trHeight w:val="397" w:hRule="exac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0FA5">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9FC8">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连岛内</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F52F">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西连岛内</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EE469">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2000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5859">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新建</w:t>
            </w:r>
          </w:p>
        </w:tc>
      </w:tr>
      <w:tr w14:paraId="7DA3E018">
        <w:tblPrEx>
          <w:tblCellMar>
            <w:top w:w="0" w:type="dxa"/>
            <w:left w:w="108" w:type="dxa"/>
            <w:bottom w:w="0" w:type="dxa"/>
            <w:right w:w="108" w:type="dxa"/>
          </w:tblCellMar>
        </w:tblPrEx>
        <w:trPr>
          <w:trHeight w:val="397" w:hRule="exac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78BA">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3</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4DC5">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连云新城商务中心</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C7387">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连云新城商务中心</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BE154">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5484</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A8F01">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新建</w:t>
            </w:r>
          </w:p>
        </w:tc>
      </w:tr>
      <w:tr w14:paraId="7894ECDD">
        <w:tblPrEx>
          <w:tblCellMar>
            <w:top w:w="0" w:type="dxa"/>
            <w:left w:w="108" w:type="dxa"/>
            <w:bottom w:w="0" w:type="dxa"/>
            <w:right w:w="108" w:type="dxa"/>
          </w:tblCellMar>
        </w:tblPrEx>
        <w:trPr>
          <w:trHeight w:val="397" w:hRule="exac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D9B9F">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4</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54BB1">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东哨</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42F0">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平山北路-北崮山大道交叉口</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FFEE4">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3000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75E0">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现状保留</w:t>
            </w:r>
          </w:p>
        </w:tc>
      </w:tr>
      <w:tr w14:paraId="77138BFB">
        <w:tblPrEx>
          <w:tblCellMar>
            <w:top w:w="0" w:type="dxa"/>
            <w:left w:w="108" w:type="dxa"/>
            <w:bottom w:w="0" w:type="dxa"/>
            <w:right w:w="108" w:type="dxa"/>
          </w:tblCellMar>
        </w:tblPrEx>
        <w:trPr>
          <w:trHeight w:val="397" w:hRule="exac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BC8B">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B0CB">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柳河</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748D5">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柳河村</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0D210">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2000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D1E6F">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现状保留</w:t>
            </w:r>
          </w:p>
        </w:tc>
      </w:tr>
      <w:tr w14:paraId="4C87870E">
        <w:tblPrEx>
          <w:tblCellMar>
            <w:top w:w="0" w:type="dxa"/>
            <w:left w:w="108" w:type="dxa"/>
            <w:bottom w:w="0" w:type="dxa"/>
            <w:right w:w="108" w:type="dxa"/>
          </w:tblCellMar>
        </w:tblPrEx>
        <w:trPr>
          <w:trHeight w:val="397" w:hRule="exac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152E">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6</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A94D">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宿城</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CEEC3">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宿城街道</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58790">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7000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6CB48">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新建</w:t>
            </w:r>
          </w:p>
        </w:tc>
      </w:tr>
      <w:tr w14:paraId="4BC60274">
        <w:tblPrEx>
          <w:tblCellMar>
            <w:top w:w="0" w:type="dxa"/>
            <w:left w:w="108" w:type="dxa"/>
            <w:bottom w:w="0" w:type="dxa"/>
            <w:right w:w="108" w:type="dxa"/>
          </w:tblCellMar>
        </w:tblPrEx>
        <w:trPr>
          <w:trHeight w:val="397" w:hRule="exac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B7452">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7</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4010F">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板桥</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7E94F">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板桥街道</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1323">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3000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F5485">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新建</w:t>
            </w:r>
          </w:p>
        </w:tc>
      </w:tr>
      <w:tr w14:paraId="5161ADA2">
        <w:tblPrEx>
          <w:tblCellMar>
            <w:top w:w="0" w:type="dxa"/>
            <w:left w:w="108" w:type="dxa"/>
            <w:bottom w:w="0" w:type="dxa"/>
            <w:right w:w="108" w:type="dxa"/>
          </w:tblCellMar>
        </w:tblPrEx>
        <w:trPr>
          <w:trHeight w:val="397" w:hRule="exac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AC319">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1D579">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中山路</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1546">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墟沟老火车站广场</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D63D2">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3000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158E">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新建</w:t>
            </w:r>
          </w:p>
        </w:tc>
      </w:tr>
      <w:tr w14:paraId="4EAA0685">
        <w:tblPrEx>
          <w:tblCellMar>
            <w:top w:w="0" w:type="dxa"/>
            <w:left w:w="108" w:type="dxa"/>
            <w:bottom w:w="0" w:type="dxa"/>
            <w:right w:w="108" w:type="dxa"/>
          </w:tblCellMar>
        </w:tblPrEx>
        <w:trPr>
          <w:trHeight w:val="397" w:hRule="exac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4F59">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9</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549AE">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连云新城商务中心</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DDB2">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连云新城商务中心</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6AFC">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5</w:t>
            </w:r>
            <w:r>
              <w:rPr>
                <w:rFonts w:ascii="等线" w:hAnsi="等线" w:eastAsia="等线" w:cs="等线"/>
                <w:color w:val="000000"/>
                <w:sz w:val="18"/>
                <w:szCs w:val="18"/>
              </w:rPr>
              <w:t>484</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EFF3D">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新建</w:t>
            </w:r>
          </w:p>
        </w:tc>
      </w:tr>
    </w:tbl>
    <w:p w14:paraId="22441673">
      <w:pPr>
        <w:pStyle w:val="37"/>
        <w:keepNext w:val="0"/>
        <w:keepLines w:val="0"/>
        <w:pageBreakBefore w:val="0"/>
        <w:widowControl w:val="0"/>
        <w:numPr>
          <w:ilvl w:val="0"/>
          <w:numId w:val="2"/>
        </w:numPr>
        <w:kinsoku/>
        <w:wordWrap/>
        <w:overflowPunct/>
        <w:topLinePunct w:val="0"/>
        <w:autoSpaceDE/>
        <w:autoSpaceDN/>
        <w:bidi w:val="0"/>
        <w:adjustRightInd/>
        <w:snapToGrid/>
        <w:spacing w:line="360" w:lineRule="auto"/>
        <w:ind w:left="363" w:leftChars="0" w:hanging="363" w:firstLineChars="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近期公交停保场规划</w:t>
      </w:r>
    </w:p>
    <w:p w14:paraId="71AC0AF1">
      <w:pPr>
        <w:pageBreakBefore w:val="0"/>
        <w:kinsoku/>
        <w:wordWrap/>
        <w:overflowPunct/>
        <w:topLinePunct w:val="0"/>
        <w:autoSpaceDE/>
        <w:autoSpaceDN/>
        <w:bidi w:val="0"/>
        <w:adjustRightInd/>
        <w:snapToGrid/>
        <w:spacing w:line="360" w:lineRule="auto"/>
        <w:ind w:left="0" w:leftChars="0" w:firstLine="640" w:firstLineChars="200"/>
        <w:jc w:val="both"/>
        <w:rPr>
          <w:rFonts w:hint="eastAsia" w:ascii="Times New Roman" w:hAnsi="Times New Roman" w:eastAsia="仿宋_GB2312" w:cs="Times New Roman"/>
          <w:sz w:val="32"/>
          <w:szCs w:val="32"/>
          <w:lang w:val="zh-CN"/>
        </w:rPr>
      </w:pPr>
      <w:bookmarkStart w:id="54" w:name="_Hlk72917675"/>
      <w:r>
        <w:rPr>
          <w:rFonts w:hint="eastAsia" w:ascii="Times New Roman" w:hAnsi="Times New Roman" w:eastAsia="仿宋_GB2312" w:cs="Times New Roman"/>
          <w:sz w:val="32"/>
          <w:szCs w:val="32"/>
          <w:lang w:val="zh-CN"/>
        </w:rPr>
        <w:t>近期规划停保场</w:t>
      </w:r>
      <w:bookmarkEnd w:id="54"/>
      <w:r>
        <w:rPr>
          <w:rFonts w:hint="eastAsia" w:ascii="Times New Roman" w:hAnsi="Times New Roman" w:eastAsia="仿宋_GB2312" w:cs="Times New Roman"/>
          <w:sz w:val="32"/>
          <w:szCs w:val="32"/>
          <w:lang w:val="zh-CN"/>
        </w:rPr>
        <w:t>（含修理功能）3处，总计规模约5.1公顷。详见下表：</w:t>
      </w:r>
    </w:p>
    <w:p w14:paraId="10C0893E">
      <w:pPr>
        <w:pageBreakBefore w:val="0"/>
        <w:kinsoku/>
        <w:wordWrap/>
        <w:overflowPunct/>
        <w:topLinePunct w:val="0"/>
        <w:autoSpaceDE/>
        <w:autoSpaceDN/>
        <w:bidi w:val="0"/>
        <w:adjustRightInd/>
        <w:snapToGrid/>
        <w:spacing w:line="360" w:lineRule="auto"/>
        <w:ind w:left="0" w:leftChars="0" w:firstLine="87" w:firstLineChars="36"/>
        <w:jc w:val="center"/>
        <w:rPr>
          <w:rFonts w:ascii="黑体" w:hAnsi="黑体" w:eastAsia="黑体" w:cs="Times New Roman"/>
          <w:b/>
          <w:bCs/>
        </w:rPr>
      </w:pPr>
      <w:r>
        <w:rPr>
          <w:rFonts w:hint="eastAsia" w:ascii="黑体" w:hAnsi="黑体" w:eastAsia="黑体" w:cs="Times New Roman"/>
          <w:b/>
          <w:bCs/>
        </w:rPr>
        <w:t>近期规划停保场布局</w:t>
      </w:r>
    </w:p>
    <w:tbl>
      <w:tblPr>
        <w:tblStyle w:val="16"/>
        <w:tblW w:w="8664" w:type="dxa"/>
        <w:tblInd w:w="88" w:type="dxa"/>
        <w:tblLayout w:type="autofit"/>
        <w:tblCellMar>
          <w:top w:w="0" w:type="dxa"/>
          <w:left w:w="108" w:type="dxa"/>
          <w:bottom w:w="0" w:type="dxa"/>
          <w:right w:w="108" w:type="dxa"/>
        </w:tblCellMar>
      </w:tblPr>
      <w:tblGrid>
        <w:gridCol w:w="616"/>
        <w:gridCol w:w="1589"/>
        <w:gridCol w:w="2073"/>
        <w:gridCol w:w="2008"/>
        <w:gridCol w:w="1256"/>
        <w:gridCol w:w="1122"/>
      </w:tblGrid>
      <w:tr w14:paraId="7BF45CEC">
        <w:tblPrEx>
          <w:tblCellMar>
            <w:top w:w="0" w:type="dxa"/>
            <w:left w:w="108" w:type="dxa"/>
            <w:bottom w:w="0" w:type="dxa"/>
            <w:right w:w="108" w:type="dxa"/>
          </w:tblCellMar>
        </w:tblPrEx>
        <w:trPr>
          <w:trHeight w:val="234"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E70DD">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序号</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B8E4">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场站名称</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3B5A">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位置</w:t>
            </w:r>
          </w:p>
        </w:tc>
        <w:tc>
          <w:tcPr>
            <w:tcW w:w="2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1D7E">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功能</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F6D3">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规模（m2）</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20B0">
            <w:pPr>
              <w:pageBreakBefore w:val="0"/>
              <w:kinsoku/>
              <w:wordWrap/>
              <w:overflowPunct/>
              <w:topLinePunct w:val="0"/>
              <w:autoSpaceDE/>
              <w:autoSpaceDN/>
              <w:bidi w:val="0"/>
              <w:adjustRightInd/>
              <w:snapToGrid/>
              <w:ind w:left="0" w:leftChars="0"/>
              <w:jc w:val="both"/>
              <w:textAlignment w:val="center"/>
              <w:rPr>
                <w:rFonts w:ascii="黑体" w:hAnsi="黑体" w:eastAsia="黑体" w:cs="等线"/>
                <w:b/>
                <w:bCs/>
                <w:color w:val="000000"/>
                <w:sz w:val="18"/>
                <w:szCs w:val="18"/>
              </w:rPr>
            </w:pPr>
            <w:r>
              <w:rPr>
                <w:rFonts w:hint="eastAsia" w:ascii="黑体" w:hAnsi="黑体" w:eastAsia="黑体" w:cs="等线"/>
                <w:b/>
                <w:bCs/>
                <w:color w:val="000000"/>
                <w:sz w:val="18"/>
                <w:szCs w:val="18"/>
              </w:rPr>
              <w:t>备注</w:t>
            </w:r>
          </w:p>
        </w:tc>
      </w:tr>
      <w:tr w14:paraId="387C44A7">
        <w:tblPrEx>
          <w:tblCellMar>
            <w:top w:w="0" w:type="dxa"/>
            <w:left w:w="108" w:type="dxa"/>
            <w:bottom w:w="0" w:type="dxa"/>
            <w:right w:w="108" w:type="dxa"/>
          </w:tblCellMar>
        </w:tblPrEx>
        <w:trPr>
          <w:trHeight w:val="234"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CECE4">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1</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0700F">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平山北路站</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00B9">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平山北路-北崮山大道交叉口</w:t>
            </w:r>
          </w:p>
        </w:tc>
        <w:tc>
          <w:tcPr>
            <w:tcW w:w="2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E30A9">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停车、加气、大修</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2E01">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20000</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F7838">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新建</w:t>
            </w:r>
          </w:p>
        </w:tc>
      </w:tr>
      <w:tr w14:paraId="57CF2194">
        <w:tblPrEx>
          <w:tblCellMar>
            <w:top w:w="0" w:type="dxa"/>
            <w:left w:w="108" w:type="dxa"/>
            <w:bottom w:w="0" w:type="dxa"/>
            <w:right w:w="108" w:type="dxa"/>
          </w:tblCellMar>
        </w:tblPrEx>
        <w:trPr>
          <w:trHeight w:val="234"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F7FBA">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2</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A9622">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连云古镇</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6484">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连云古镇北侧</w:t>
            </w:r>
          </w:p>
        </w:tc>
        <w:tc>
          <w:tcPr>
            <w:tcW w:w="2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83A79">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停车、加气站</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5CB5">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16000</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F3A12">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新建</w:t>
            </w:r>
          </w:p>
        </w:tc>
      </w:tr>
      <w:tr w14:paraId="2D259BCB">
        <w:tblPrEx>
          <w:tblCellMar>
            <w:top w:w="0" w:type="dxa"/>
            <w:left w:w="108" w:type="dxa"/>
            <w:bottom w:w="0" w:type="dxa"/>
            <w:right w:w="108" w:type="dxa"/>
          </w:tblCellMar>
        </w:tblPrEx>
        <w:trPr>
          <w:trHeight w:val="234"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DF62B">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3</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53D97">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大港路站</w:t>
            </w:r>
          </w:p>
        </w:tc>
        <w:tc>
          <w:tcPr>
            <w:tcW w:w="2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F0F91">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大港路和运河路之间</w:t>
            </w:r>
          </w:p>
        </w:tc>
        <w:tc>
          <w:tcPr>
            <w:tcW w:w="2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5FD9">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停车</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BF67F">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15000</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17FA6">
            <w:pPr>
              <w:pageBreakBefore w:val="0"/>
              <w:kinsoku/>
              <w:wordWrap/>
              <w:overflowPunct/>
              <w:topLinePunct w:val="0"/>
              <w:autoSpaceDE/>
              <w:autoSpaceDN/>
              <w:bidi w:val="0"/>
              <w:adjustRightInd/>
              <w:snapToGrid/>
              <w:ind w:left="0" w:leftChars="0"/>
              <w:jc w:val="both"/>
              <w:textAlignment w:val="center"/>
              <w:rPr>
                <w:rFonts w:ascii="等线" w:hAnsi="等线" w:eastAsia="等线" w:cs="等线"/>
                <w:color w:val="000000"/>
                <w:sz w:val="18"/>
                <w:szCs w:val="18"/>
              </w:rPr>
            </w:pPr>
            <w:r>
              <w:rPr>
                <w:rFonts w:hint="eastAsia" w:ascii="等线" w:hAnsi="等线" w:eastAsia="等线" w:cs="等线"/>
                <w:color w:val="000000"/>
                <w:sz w:val="18"/>
                <w:szCs w:val="18"/>
              </w:rPr>
              <w:t>现状</w:t>
            </w:r>
          </w:p>
        </w:tc>
      </w:tr>
    </w:tbl>
    <w:p w14:paraId="04B899F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5"/>
        <w:rPr>
          <w:rFonts w:ascii="Times New Roman" w:hAnsi="Times New Roman" w:eastAsia="仿宋_GB2312" w:cs="Times New Roman"/>
          <w:b w:val="0"/>
          <w:bCs/>
          <w:sz w:val="30"/>
          <w:szCs w:val="30"/>
        </w:rPr>
      </w:pPr>
      <w:r>
        <w:rPr>
          <w:rFonts w:hint="eastAsia" w:ascii="楷体" w:hAnsi="楷体" w:eastAsia="楷体" w:cs="楷体"/>
          <w:b w:val="0"/>
          <w:bCs/>
          <w:sz w:val="32"/>
          <w:szCs w:val="32"/>
          <w:lang w:eastAsia="zh-CN"/>
        </w:rPr>
        <w:t>（</w:t>
      </w:r>
      <w:r>
        <w:rPr>
          <w:rFonts w:hint="eastAsia" w:ascii="楷体" w:hAnsi="楷体" w:eastAsia="楷体" w:cs="楷体"/>
          <w:b w:val="0"/>
          <w:bCs/>
          <w:sz w:val="32"/>
          <w:szCs w:val="32"/>
          <w:lang w:val="en-US" w:eastAsia="zh-CN"/>
        </w:rPr>
        <w:t>3</w:t>
      </w:r>
      <w:r>
        <w:rPr>
          <w:rFonts w:hint="eastAsia" w:ascii="楷体" w:hAnsi="楷体" w:eastAsia="楷体" w:cs="楷体"/>
          <w:b w:val="0"/>
          <w:bCs/>
          <w:sz w:val="32"/>
          <w:szCs w:val="32"/>
          <w:lang w:eastAsia="zh-CN"/>
        </w:rPr>
        <w:t>）</w:t>
      </w:r>
      <w:r>
        <w:rPr>
          <w:rFonts w:hint="eastAsia" w:ascii="楷体" w:hAnsi="楷体" w:eastAsia="楷体" w:cs="楷体"/>
          <w:b w:val="0"/>
          <w:bCs/>
          <w:sz w:val="32"/>
          <w:szCs w:val="32"/>
        </w:rPr>
        <w:t>公交线网优化</w:t>
      </w:r>
    </w:p>
    <w:p w14:paraId="3AA92709">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①推动连云区至徐圩新区快速公交开行。随着徐圩新区石化企业相继建成投产，大量产业人员向徐圩新区集聚，随着连云新城生活配套设施的日臻完善，短期内，前往连云区生活的产业人员更多会选择把公共交通作为主要出行方式，建议在228国道市政道路快速化改造工程进行同期，与徐圩新区加强联系，推动快速公交开行，解决新区产业人员外出通行需求。</w:t>
      </w:r>
    </w:p>
    <w:p w14:paraId="69E5F7C1">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②加快推进BRT公交系统建设，建设一批快线（包括BRT快线、捷运快线）。在强化公交服务覆盖的同时，不断强化线网分级和换乘枢纽建设，保障快线、干线的运行速度，改善公交换乘条件。</w:t>
      </w:r>
    </w:p>
    <w:p w14:paraId="5CDCECFB">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③连云港东站动车开行方案与市域列车开行方案统筹考虑，针对连云港市域列车沿线车站少，发送旅客少等问题，建议尽快启动凌州广场站、云台山站、虎山站、北固山站等预留站点建设，方便周边居民乘坐市域列车。</w:t>
      </w:r>
    </w:p>
    <w:p w14:paraId="1DCF9DA4">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④推动市域列车与城市公交一体化，优化调整公交线路发班时间和间隔，与市域列车发班及到站时间相吻合，推动票务改革，实现一票联乘，减少交通换乘不便，高效输送和分流市域列车的客流，解决出行“最后一公里”问题。</w:t>
      </w:r>
    </w:p>
    <w:p w14:paraId="775ED51F">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⑤推动市域列车市区至东海段开办，加强连云区与东海县的联系，完善城市多层次综合交通系统、提高沿线居民出行效率、促进全域旅游业发展。</w:t>
      </w:r>
    </w:p>
    <w:p w14:paraId="5EBD545A">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⑥近期线网优化形成项目库，具体结合城市开发情况逐步调整，建议开展线网优化专项规划，实行三年滚动计划，每年调整、优化。</w:t>
      </w:r>
    </w:p>
    <w:p w14:paraId="72FD5C6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5"/>
        <w:rPr>
          <w:rFonts w:hint="eastAsia" w:ascii="楷体" w:hAnsi="楷体" w:eastAsia="楷体" w:cs="楷体"/>
          <w:b w:val="0"/>
          <w:bCs/>
          <w:sz w:val="32"/>
          <w:szCs w:val="32"/>
        </w:rPr>
      </w:pPr>
      <w:r>
        <w:rPr>
          <w:rFonts w:hint="eastAsia" w:ascii="楷体" w:hAnsi="楷体" w:eastAsia="楷体" w:cs="楷体"/>
          <w:b w:val="0"/>
          <w:bCs/>
          <w:sz w:val="32"/>
          <w:szCs w:val="32"/>
          <w:lang w:eastAsia="zh-CN"/>
        </w:rPr>
        <w:t>（</w:t>
      </w:r>
      <w:r>
        <w:rPr>
          <w:rFonts w:hint="eastAsia" w:ascii="楷体" w:hAnsi="楷体" w:eastAsia="楷体" w:cs="楷体"/>
          <w:b w:val="0"/>
          <w:bCs/>
          <w:sz w:val="32"/>
          <w:szCs w:val="32"/>
          <w:lang w:val="en-US" w:eastAsia="zh-CN"/>
        </w:rPr>
        <w:t>4</w:t>
      </w:r>
      <w:r>
        <w:rPr>
          <w:rFonts w:hint="eastAsia" w:ascii="楷体" w:hAnsi="楷体" w:eastAsia="楷体" w:cs="楷体"/>
          <w:b w:val="0"/>
          <w:bCs/>
          <w:sz w:val="32"/>
          <w:szCs w:val="32"/>
          <w:lang w:eastAsia="zh-CN"/>
        </w:rPr>
        <w:t>）</w:t>
      </w:r>
      <w:r>
        <w:rPr>
          <w:rFonts w:hint="eastAsia" w:ascii="楷体" w:hAnsi="楷体" w:eastAsia="楷体" w:cs="楷体"/>
          <w:b w:val="0"/>
          <w:bCs/>
          <w:sz w:val="32"/>
          <w:szCs w:val="32"/>
        </w:rPr>
        <w:t>公交提速行动</w:t>
      </w:r>
    </w:p>
    <w:p w14:paraId="251F9951">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①加强BRT公交专用道、常规公交专用道建设，保障公交优先路权；</w:t>
      </w:r>
    </w:p>
    <w:p w14:paraId="3DBFC04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②优化交叉口设计，重要拥堵路段交叉口建议设置公交排队优先专用道；划定禁停区保障公交通行；</w:t>
      </w:r>
    </w:p>
    <w:p w14:paraId="07D469F5">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eastAsia="ja-JP"/>
        </w:rPr>
        <w:t>③</w:t>
      </w:r>
      <w:r>
        <w:rPr>
          <w:rFonts w:hint="eastAsia" w:ascii="Times New Roman" w:hAnsi="Times New Roman" w:eastAsia="仿宋_GB2312" w:cs="Times New Roman"/>
          <w:sz w:val="32"/>
          <w:szCs w:val="32"/>
          <w:lang w:val="zh-CN"/>
        </w:rPr>
        <w:t>加强公交专用道使用监督；</w:t>
      </w:r>
    </w:p>
    <w:p w14:paraId="525B690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eastAsia="ja-JP"/>
        </w:rPr>
        <w:t>④</w:t>
      </w:r>
      <w:r>
        <w:rPr>
          <w:rFonts w:hint="eastAsia" w:ascii="Times New Roman" w:hAnsi="Times New Roman" w:eastAsia="仿宋_GB2312" w:cs="Times New Roman"/>
          <w:sz w:val="32"/>
          <w:szCs w:val="32"/>
          <w:lang w:val="zh-CN"/>
        </w:rPr>
        <w:t>完善行人过街设施，方便行人过街，减少人车干扰。</w:t>
      </w:r>
    </w:p>
    <w:p w14:paraId="657928E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5"/>
        <w:rPr>
          <w:rFonts w:hint="eastAsia" w:ascii="楷体" w:hAnsi="楷体" w:eastAsia="楷体" w:cs="楷体"/>
          <w:b w:val="0"/>
          <w:bCs/>
          <w:sz w:val="32"/>
          <w:szCs w:val="32"/>
          <w:lang w:val="zh-CN"/>
        </w:rPr>
      </w:pPr>
      <w:r>
        <w:rPr>
          <w:rFonts w:hint="eastAsia" w:ascii="楷体" w:hAnsi="楷体" w:eastAsia="楷体" w:cs="楷体"/>
          <w:b w:val="0"/>
          <w:bCs/>
          <w:sz w:val="32"/>
          <w:szCs w:val="32"/>
          <w:lang w:val="zh-CN"/>
        </w:rPr>
        <w:t>（</w:t>
      </w:r>
      <w:r>
        <w:rPr>
          <w:rFonts w:hint="eastAsia" w:ascii="楷体" w:hAnsi="楷体" w:eastAsia="楷体" w:cs="楷体"/>
          <w:b w:val="0"/>
          <w:bCs/>
          <w:sz w:val="32"/>
          <w:szCs w:val="32"/>
          <w:lang w:val="en-US" w:eastAsia="zh-CN"/>
        </w:rPr>
        <w:t>5</w:t>
      </w:r>
      <w:r>
        <w:rPr>
          <w:rFonts w:hint="eastAsia" w:ascii="楷体" w:hAnsi="楷体" w:eastAsia="楷体" w:cs="楷体"/>
          <w:b w:val="0"/>
          <w:bCs/>
          <w:sz w:val="32"/>
          <w:szCs w:val="32"/>
          <w:lang w:val="zh-CN"/>
        </w:rPr>
        <w:t>）智能公交行动</w:t>
      </w:r>
    </w:p>
    <w:p w14:paraId="71BCD178">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①完善智能公交信息平台，开发连云港掌上公交系统，建设电子站台；</w:t>
      </w:r>
    </w:p>
    <w:p w14:paraId="778A9CCF">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②推进跨区域一卡通互联互通，提高城市吸引力；</w:t>
      </w:r>
    </w:p>
    <w:p w14:paraId="481D9F66">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③不断完善公交支付手段，研究引入微信支付、支付宝支付、手机NFC虚拟卡等电子支付方式。</w:t>
      </w:r>
    </w:p>
    <w:p w14:paraId="634DAFB9">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3.</w:t>
      </w:r>
      <w:r>
        <w:rPr>
          <w:rFonts w:hint="eastAsia" w:ascii="楷体" w:hAnsi="楷体" w:eastAsia="楷体" w:cs="楷体"/>
          <w:sz w:val="32"/>
          <w:szCs w:val="32"/>
          <w:lang w:val="zh-CN"/>
        </w:rPr>
        <w:t>城乡、镇村客运服务重点</w:t>
      </w:r>
    </w:p>
    <w:p w14:paraId="5FAA922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1</w:t>
      </w:r>
      <w:r>
        <w:rPr>
          <w:rFonts w:hint="eastAsia" w:ascii="楷体" w:hAnsi="楷体" w:eastAsia="楷体" w:cs="楷体"/>
          <w:sz w:val="32"/>
          <w:szCs w:val="32"/>
          <w:lang w:val="zh-CN"/>
        </w:rPr>
        <w:t>）提升镇村公交服务水平</w:t>
      </w:r>
    </w:p>
    <w:p w14:paraId="49C82DC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契合新型城镇化、城乡发展一体化和新农村建设需求，构建符合连云区城乡空间特征的农村客运体系，提升城乡客运均等化服务水平。结合新型城镇化和城乡发展一体化趋势，优化镇村公交网络，使农村居民乘车单次出行直达乡街，一次换乘到达县（市、区）城。形成布局合理、功能兼备、衔接顺畅的镇村公交基础设施系统，打造线路优化、层次互配、网络全覆盖的镇村公交线网运行系统，构建优质安全、便捷经济的镇村公交运营服务系统。</w:t>
      </w:r>
    </w:p>
    <w:p w14:paraId="33C6159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2</w:t>
      </w:r>
      <w:r>
        <w:rPr>
          <w:rFonts w:hint="eastAsia" w:ascii="楷体" w:hAnsi="楷体" w:eastAsia="楷体" w:cs="楷体"/>
          <w:sz w:val="32"/>
          <w:szCs w:val="32"/>
          <w:lang w:val="zh-CN"/>
        </w:rPr>
        <w:t>）推进区域公共交通一体化</w:t>
      </w:r>
    </w:p>
    <w:p w14:paraId="590EF4B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完善城乡客运三级网络，推进城际班线公交化运营，促进城际间公交互联互通，进一步提高集约化水平和服务水平。新辟、优化调整城乡公交线路，推进毗邻乡街间公交无缝对接，打破行政壁垒，推动区域及城市交通资源整合，促进城乡客运融入区域交通一体化体系，满足群众出行需求。新建农村客运站、候车亭，镇村公交覆盖率保持100%，城乡客运一体化程度达到全省领先水平。</w:t>
      </w:r>
    </w:p>
    <w:p w14:paraId="1514FE0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3</w:t>
      </w:r>
      <w:r>
        <w:rPr>
          <w:rFonts w:hint="eastAsia" w:ascii="楷体" w:hAnsi="楷体" w:eastAsia="楷体" w:cs="楷体"/>
          <w:sz w:val="32"/>
          <w:szCs w:val="32"/>
          <w:lang w:val="zh-CN"/>
        </w:rPr>
        <w:t>）加强城乡公交企业绩效考核</w:t>
      </w:r>
    </w:p>
    <w:p w14:paraId="7A0C6BDE">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建立车辆运营与燃油消耗定期核查机制，严格城乡客运燃油消耗申报和补贴资金发放工作。研究制定公共交通绩效评价办法和评价指标体系，完善落实公共交通运营服务标准和考核办法，将考核结果作为衡量公共交通企业运营绩效等的重要依据。</w:t>
      </w:r>
    </w:p>
    <w:p w14:paraId="586E3F9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bookmarkStart w:id="55" w:name="_Toc81203414"/>
      <w:r>
        <w:rPr>
          <w:rFonts w:hint="eastAsia" w:ascii="楷体" w:hAnsi="楷体" w:eastAsia="楷体" w:cs="楷体"/>
          <w:sz w:val="32"/>
          <w:szCs w:val="32"/>
          <w:lang w:val="zh-CN"/>
        </w:rPr>
        <w:t>（</w:t>
      </w:r>
      <w:r>
        <w:rPr>
          <w:rFonts w:hint="eastAsia" w:ascii="楷体" w:hAnsi="楷体" w:eastAsia="楷体" w:cs="楷体"/>
          <w:sz w:val="32"/>
          <w:szCs w:val="32"/>
          <w:lang w:val="en-US" w:eastAsia="zh-CN"/>
        </w:rPr>
        <w:t>五</w:t>
      </w:r>
      <w:r>
        <w:rPr>
          <w:rFonts w:hint="eastAsia" w:ascii="楷体" w:hAnsi="楷体" w:eastAsia="楷体" w:cs="楷体"/>
          <w:sz w:val="32"/>
          <w:szCs w:val="32"/>
          <w:lang w:val="zh-CN"/>
        </w:rPr>
        <w:t>）货运物流服务体系建设</w:t>
      </w:r>
      <w:bookmarkEnd w:id="55"/>
    </w:p>
    <w:p w14:paraId="2C9A430E">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1.</w:t>
      </w:r>
      <w:r>
        <w:rPr>
          <w:rFonts w:hint="eastAsia" w:ascii="楷体" w:hAnsi="楷体" w:eastAsia="楷体" w:cs="楷体"/>
          <w:sz w:val="32"/>
          <w:szCs w:val="32"/>
          <w:lang w:val="zh-CN"/>
        </w:rPr>
        <w:t>运输组织发展重点</w:t>
      </w:r>
    </w:p>
    <w:p w14:paraId="4E6D0042">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(1</w:t>
      </w:r>
      <w:r>
        <w:rPr>
          <w:rFonts w:hint="eastAsia" w:ascii="楷体" w:hAnsi="楷体" w:eastAsia="楷体" w:cs="楷体"/>
          <w:sz w:val="32"/>
          <w:szCs w:val="32"/>
          <w:lang w:val="zh-CN"/>
        </w:rPr>
        <w:t>）加快优化运输结构</w:t>
      </w:r>
    </w:p>
    <w:p w14:paraId="416ABAE5">
      <w:pPr>
        <w:keepNext w:val="0"/>
        <w:keepLines w:val="0"/>
        <w:pageBreakBefore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b/>
          <w:bCs/>
          <w:sz w:val="32"/>
          <w:szCs w:val="32"/>
          <w:lang w:val="zh-CN"/>
        </w:rPr>
        <w:t>一是强化主体培育。</w:t>
      </w:r>
      <w:r>
        <w:rPr>
          <w:rFonts w:hint="eastAsia" w:ascii="Times New Roman" w:hAnsi="Times New Roman" w:eastAsia="仿宋_GB2312" w:cs="Times New Roman"/>
          <w:sz w:val="32"/>
          <w:szCs w:val="32"/>
          <w:lang w:val="zh-CN"/>
        </w:rPr>
        <w:t>引导现有品牌企业推广服务标准、打造信息平台、整合物流服务资源，扩大品牌影响，向综合物流服务经营人转变，吸引中小型货运企 业联盟整合，抱团发展。</w:t>
      </w:r>
      <w:r>
        <w:rPr>
          <w:rFonts w:hint="eastAsia" w:ascii="Times New Roman" w:hAnsi="Times New Roman" w:eastAsia="仿宋_GB2312" w:cs="Times New Roman"/>
          <w:b/>
          <w:bCs/>
          <w:sz w:val="32"/>
          <w:szCs w:val="32"/>
          <w:lang w:val="zh-CN"/>
        </w:rPr>
        <w:t>二是提倡绿色发展。</w:t>
      </w:r>
      <w:r>
        <w:rPr>
          <w:rFonts w:hint="eastAsia" w:ascii="Times New Roman" w:hAnsi="Times New Roman" w:eastAsia="仿宋_GB2312" w:cs="Times New Roman"/>
          <w:sz w:val="32"/>
          <w:szCs w:val="32"/>
          <w:lang w:val="zh-CN"/>
        </w:rPr>
        <w:t>出台“船型标准化”及“新能源车辆购置补助”等鼓励政策，加强宣传引导，扶持物流企业更新运力，淘汰“黄标车”及高能耗运力，进一步优化运力结构，鼓励“甩挂试点”范围内企业加强互助合作，联合开发双重甩挂线路，提升试点运行质量。</w:t>
      </w:r>
      <w:r>
        <w:rPr>
          <w:rFonts w:hint="eastAsia" w:ascii="Times New Roman" w:hAnsi="Times New Roman" w:eastAsia="仿宋_GB2312" w:cs="Times New Roman"/>
          <w:b/>
          <w:bCs/>
          <w:sz w:val="32"/>
          <w:szCs w:val="32"/>
          <w:lang w:val="zh-CN"/>
        </w:rPr>
        <w:t>三是支持货运场站建设。</w:t>
      </w:r>
      <w:r>
        <w:rPr>
          <w:rFonts w:hint="eastAsia" w:ascii="Times New Roman" w:hAnsi="Times New Roman" w:eastAsia="仿宋_GB2312" w:cs="Times New Roman"/>
          <w:sz w:val="32"/>
          <w:szCs w:val="32"/>
          <w:lang w:val="zh-CN"/>
        </w:rPr>
        <w:t>对具备多式联运、甩挂运输、快递与城乡联合配送、长途货运与城乡配送转换等功能的货运场站予以扶持。</w:t>
      </w:r>
    </w:p>
    <w:p w14:paraId="7D069C7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2</w:t>
      </w:r>
      <w:r>
        <w:rPr>
          <w:rFonts w:hint="eastAsia" w:ascii="楷体" w:hAnsi="楷体" w:eastAsia="楷体" w:cs="楷体"/>
          <w:sz w:val="32"/>
          <w:szCs w:val="32"/>
          <w:lang w:val="zh-CN"/>
        </w:rPr>
        <w:t>）深入发展多式联运</w:t>
      </w:r>
    </w:p>
    <w:p w14:paraId="3548D1C5">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深入推进公、水、铁联运。加强多式联运设施设备技术标准、信息资源、服务规范、作业流程等方面的有效对接，加快培育多式联运承运人，推动货物运输的“无缝衔接”和“一单制”。深入推进交通与铁路部门的沟通协作，促成签订包含信息化对接、公路货运场站布点、旗下企业合作等多方面内容的合作框架协议。</w:t>
      </w:r>
    </w:p>
    <w:p w14:paraId="3EEFBFA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3</w:t>
      </w:r>
      <w:r>
        <w:rPr>
          <w:rFonts w:hint="eastAsia" w:ascii="楷体" w:hAnsi="楷体" w:eastAsia="楷体" w:cs="楷体"/>
          <w:sz w:val="32"/>
          <w:szCs w:val="32"/>
          <w:lang w:val="zh-CN"/>
        </w:rPr>
        <w:t>）加强行业政策研究</w:t>
      </w:r>
    </w:p>
    <w:p w14:paraId="142434FE">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加强物流发展政策及服务标准研究，梳理总结近年发展经验，形成相应的服务规范体系和发展策略，带动全区交通物流业转型升级。加强创新监管手段策略研究，对危险货物托运进行深入调研，研究有效防范、查处危险货物违规托运的管理政策，为更好地开展货运行业安全监管和综合服务提供思路及依据。</w:t>
      </w:r>
    </w:p>
    <w:p w14:paraId="25F33DF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4</w:t>
      </w:r>
      <w:r>
        <w:rPr>
          <w:rFonts w:hint="eastAsia" w:ascii="楷体" w:hAnsi="楷体" w:eastAsia="楷体" w:cs="楷体"/>
          <w:sz w:val="32"/>
          <w:szCs w:val="32"/>
          <w:lang w:val="zh-CN"/>
        </w:rPr>
        <w:t>）提升辅助决策水平</w:t>
      </w:r>
    </w:p>
    <w:p w14:paraId="16BEC71F">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加强诚信体系建设，联合公安、工商及税务等相关部门，从诚信征集、诚信评价、诚信披露及诚信奖惩等方面入手，构建货运企业诚信体系，促进行业转型升级；积极发挥行业协会自律和规范市场作用，通过发布货运价格指数、创建行业服务品牌等举措，引领行业进步。</w:t>
      </w:r>
    </w:p>
    <w:p w14:paraId="1B9A06AD">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2.</w:t>
      </w:r>
      <w:r>
        <w:rPr>
          <w:rFonts w:hint="eastAsia" w:ascii="楷体" w:hAnsi="楷体" w:eastAsia="楷体" w:cs="楷体"/>
          <w:sz w:val="32"/>
          <w:szCs w:val="32"/>
          <w:lang w:val="zh-CN"/>
        </w:rPr>
        <w:t>运输装备发展重点</w:t>
      </w:r>
    </w:p>
    <w:p w14:paraId="53D164B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1</w:t>
      </w:r>
      <w:r>
        <w:rPr>
          <w:rFonts w:hint="eastAsia" w:ascii="楷体" w:hAnsi="楷体" w:eastAsia="楷体" w:cs="楷体"/>
          <w:sz w:val="32"/>
          <w:szCs w:val="32"/>
          <w:lang w:val="zh-CN"/>
        </w:rPr>
        <w:t>）提升各种运输方式装备水平</w:t>
      </w:r>
    </w:p>
    <w:p w14:paraId="1992EA38">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扶持货运车辆结构调整，鼓励发展厢式运输、甩挂运输和重载化运输，引导运输经营者购买使用节能、环保、标准化车辆；水路运输形成以大吨位散货运输船舶、油品运输船舶和集装箱运输船舶占主导地位的运力结构，内河运输船舶提升标准化比例，加快更新改造。</w:t>
      </w:r>
    </w:p>
    <w:p w14:paraId="7E34621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2</w:t>
      </w:r>
      <w:r>
        <w:rPr>
          <w:rFonts w:hint="eastAsia" w:ascii="楷体" w:hAnsi="楷体" w:eastAsia="楷体" w:cs="楷体"/>
          <w:sz w:val="32"/>
          <w:szCs w:val="32"/>
          <w:lang w:val="zh-CN"/>
        </w:rPr>
        <w:t>）推进运输装备标准化</w:t>
      </w:r>
    </w:p>
    <w:p w14:paraId="062B6CE8">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按照现代物流运作要求，进一步完善运输装备技术标准，促进运输装备标准化，引导企业加快淘汰高耗能、高污染和安全性、经济性差的运输装备，按照《综合交通运输标准体系（2015）》的总体要求，围绕安全、高效、便捷、绿色的道路运输服务体系，以标准化运输装备支撑现代物流体系发展。</w:t>
      </w:r>
    </w:p>
    <w:p w14:paraId="07B8CDB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3</w:t>
      </w:r>
      <w:r>
        <w:rPr>
          <w:rFonts w:hint="eastAsia" w:ascii="楷体" w:hAnsi="楷体" w:eastAsia="楷体" w:cs="楷体"/>
          <w:sz w:val="32"/>
          <w:szCs w:val="32"/>
          <w:lang w:val="zh-CN"/>
        </w:rPr>
        <w:t>）加快引导运输装备专业化</w:t>
      </w:r>
    </w:p>
    <w:p w14:paraId="46E48AED">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引导运输经营者购买使用标准化专业化程度高、安全性能好和能耗排放低的货运车辆。鼓励发展厢式运输、甩挂运输和汽车列车，引导发展冷链运输、化学品运输等专用运输车辆和多轴重载大型车辆，推广LNG 等节能型货运车辆。鼓励发展适用于城市配送的灵活、机动、环保的运输车辆。</w:t>
      </w:r>
    </w:p>
    <w:p w14:paraId="5B521BFB">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3.</w:t>
      </w:r>
      <w:r>
        <w:rPr>
          <w:rFonts w:hint="eastAsia" w:ascii="楷体" w:hAnsi="楷体" w:eastAsia="楷体" w:cs="楷体"/>
          <w:sz w:val="32"/>
          <w:szCs w:val="32"/>
          <w:lang w:val="zh-CN"/>
        </w:rPr>
        <w:t>运输企业发展重点</w:t>
      </w:r>
    </w:p>
    <w:p w14:paraId="2EFFD0B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1</w:t>
      </w:r>
      <w:r>
        <w:rPr>
          <w:rFonts w:hint="eastAsia" w:ascii="楷体" w:hAnsi="楷体" w:eastAsia="楷体" w:cs="楷体"/>
          <w:sz w:val="32"/>
          <w:szCs w:val="32"/>
          <w:lang w:val="zh-CN"/>
        </w:rPr>
        <w:t>）培育大型综合物流企业</w:t>
      </w:r>
    </w:p>
    <w:p w14:paraId="5E9075E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通过政策扶持一批货运企业成为业务领域广、服务功能全、技术先进、组织有效、具有核心竞争力的龙头物流企业。抓住国家推进铁路运输市场开放的契机，大力培育综合运输市场主体，增强现代物流发展后劲。引导大件、冷藏及危险品等专业物流发展。鼓励具备一定条件的货运企业向综合物流服务商转型。支持港航企业延伸服务链，向全球或区域物流经营人转变，支持并规范货代、船代、无船承运人等运输辅助业发展。鼓励邮政、快递企业做大做强，支持货运企业与邮政、快递企业开展合作。</w:t>
      </w:r>
    </w:p>
    <w:p w14:paraId="4A25E2F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2</w:t>
      </w:r>
      <w:r>
        <w:rPr>
          <w:rFonts w:hint="eastAsia" w:ascii="楷体" w:hAnsi="楷体" w:eastAsia="楷体" w:cs="楷体"/>
          <w:sz w:val="32"/>
          <w:szCs w:val="32"/>
          <w:lang w:val="zh-CN"/>
        </w:rPr>
        <w:t>）扶持引导专业物流企业</w:t>
      </w:r>
    </w:p>
    <w:p w14:paraId="57EBC079">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在传统干线、危险品运输领域，鼓励企业开展整合兼并，形成规模优势和品牌效应；在冷链、城市配送、甩挂运输及多式联运等新兴领域，通过政策倾斜、资金引导、横向沟通协调等方式进行扶持，吸引规模企业投入并迅速扩大市场份额；引导货运中介组织规模化发展。鼓励大型货代企业加强与货运枢纽间的合作，充分发挥其信息整合优势与货运枢纽的通道优势，培育具有较强整合功能的无车承运人。</w:t>
      </w:r>
    </w:p>
    <w:p w14:paraId="1B0A13D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3</w:t>
      </w:r>
      <w:r>
        <w:rPr>
          <w:rFonts w:hint="eastAsia" w:ascii="楷体" w:hAnsi="楷体" w:eastAsia="楷体" w:cs="楷体"/>
          <w:sz w:val="32"/>
          <w:szCs w:val="32"/>
          <w:lang w:val="zh-CN"/>
        </w:rPr>
        <w:t>）整合中小型货运企业</w:t>
      </w:r>
    </w:p>
    <w:p w14:paraId="6437BC3F">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加快整合解决小、散、乱的问题，通过加强市场准入调控力度提高市场集中度，通过对不同类型企业联盟的扶持和引导鼓励中小企业整合，通过开展“物流品牌通道”培育工程走品牌发展之路，通过发布“物流白皮书”、“物流年度发展报告”等市场研究成果加强行业引导，市场集中度和企业竞争力得到明显提升。为中小企业的良性发展创造条件，引导中小型货运企业依托物流平台、节点融入现代物流体系，向专业化、个性化、特色化经营转变，立足配送服务主业，积极拓展新型业务领域，打造在物流供应链中具有独特优势的运输企业。鼓励中小企业通过多种形式联盟抱团发展，推动物流资源整合重组，实现集约化发展。</w:t>
      </w:r>
    </w:p>
    <w:p w14:paraId="07F1A26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bookmarkStart w:id="56" w:name="_Toc81203415"/>
      <w:r>
        <w:rPr>
          <w:rFonts w:hint="eastAsia" w:ascii="楷体" w:hAnsi="楷体" w:eastAsia="楷体" w:cs="楷体"/>
          <w:sz w:val="32"/>
          <w:szCs w:val="32"/>
          <w:lang w:val="zh-CN"/>
        </w:rPr>
        <w:t>（</w:t>
      </w:r>
      <w:r>
        <w:rPr>
          <w:rFonts w:hint="eastAsia" w:ascii="楷体" w:hAnsi="楷体" w:eastAsia="楷体" w:cs="楷体"/>
          <w:sz w:val="32"/>
          <w:szCs w:val="32"/>
          <w:lang w:val="en-US" w:eastAsia="zh-CN"/>
        </w:rPr>
        <w:t>六</w:t>
      </w:r>
      <w:r>
        <w:rPr>
          <w:rFonts w:hint="eastAsia" w:ascii="楷体" w:hAnsi="楷体" w:eastAsia="楷体" w:cs="楷体"/>
          <w:sz w:val="32"/>
          <w:szCs w:val="32"/>
          <w:lang w:val="zh-CN"/>
        </w:rPr>
        <w:t>）交通运输治理体系建设</w:t>
      </w:r>
      <w:bookmarkEnd w:id="56"/>
    </w:p>
    <w:p w14:paraId="3485F30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1.</w:t>
      </w:r>
      <w:r>
        <w:rPr>
          <w:rFonts w:hint="eastAsia" w:ascii="楷体" w:hAnsi="楷体" w:eastAsia="楷体" w:cs="楷体"/>
          <w:sz w:val="32"/>
          <w:szCs w:val="32"/>
          <w:lang w:val="zh-CN"/>
        </w:rPr>
        <w:t>规划管理</w:t>
      </w:r>
    </w:p>
    <w:p w14:paraId="5DF35D8D">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十四五”期间，围绕规划管理制度、发展研究方向、规划项目内容、规划编制组织等方面，强化规划综合协调性，以积极引导方式加强规划控制，通过近期规划与国民经济发展、城乡规划、土地利用总体规划等相关规划相协调，把发展规划落实到空间上。</w:t>
      </w:r>
    </w:p>
    <w:p w14:paraId="78F8630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2.</w:t>
      </w:r>
      <w:r>
        <w:rPr>
          <w:rFonts w:hint="eastAsia" w:ascii="楷体" w:hAnsi="楷体" w:eastAsia="楷体" w:cs="楷体"/>
          <w:sz w:val="32"/>
          <w:szCs w:val="32"/>
          <w:lang w:val="zh-CN"/>
        </w:rPr>
        <w:t>建设与质量管理</w:t>
      </w:r>
    </w:p>
    <w:p w14:paraId="051508D1">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“十四五”期间，建设管理围绕项目建设程序、招投标监管、工</w:t>
      </w:r>
      <w:r>
        <w:rPr>
          <w:rFonts w:hint="eastAsia" w:ascii="Times New Roman" w:hAnsi="Times New Roman" w:eastAsia="仿宋_GB2312" w:cs="Times New Roman"/>
          <w:sz w:val="32"/>
          <w:szCs w:val="32"/>
          <w:lang w:val="zh-CN" w:eastAsia="zh-CN"/>
        </w:rPr>
        <w:t>程质量监督、施工安全监管、交竣工验收、市场诚信体系、资金流动监管等内容，建</w:t>
      </w:r>
      <w:r>
        <w:rPr>
          <w:rFonts w:hint="eastAsia" w:ascii="Times New Roman" w:hAnsi="Times New Roman" w:eastAsia="仿宋_GB2312" w:cs="Times New Roman"/>
          <w:sz w:val="32"/>
          <w:szCs w:val="32"/>
          <w:lang w:val="zh-CN"/>
        </w:rPr>
        <w:t>立完善相应的管理体系和执行机制。</w:t>
      </w:r>
    </w:p>
    <w:p w14:paraId="46B7A47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3.</w:t>
      </w:r>
      <w:r>
        <w:rPr>
          <w:rFonts w:hint="eastAsia" w:ascii="楷体" w:hAnsi="楷体" w:eastAsia="楷体" w:cs="楷体"/>
          <w:sz w:val="32"/>
          <w:szCs w:val="32"/>
          <w:lang w:val="zh-CN"/>
        </w:rPr>
        <w:t>养护管理</w:t>
      </w:r>
    </w:p>
    <w:p w14:paraId="145CB3C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4"/>
        <w:rPr>
          <w:rFonts w:hint="eastAsia"/>
          <w:lang w:val="zh-CN"/>
        </w:rPr>
      </w:pPr>
      <w:r>
        <w:rPr>
          <w:rFonts w:hint="eastAsia" w:ascii="楷体" w:hAnsi="楷体" w:eastAsia="楷体" w:cs="楷体"/>
          <w:sz w:val="32"/>
          <w:szCs w:val="32"/>
          <w:lang w:val="zh-CN"/>
        </w:rPr>
        <w:t>（</w:t>
      </w:r>
      <w:r>
        <w:rPr>
          <w:rFonts w:hint="eastAsia" w:ascii="楷体" w:hAnsi="楷体" w:eastAsia="楷体" w:cs="楷体"/>
          <w:sz w:val="32"/>
          <w:szCs w:val="32"/>
          <w:lang w:val="en-US" w:eastAsia="zh-CN"/>
        </w:rPr>
        <w:t>1</w:t>
      </w:r>
      <w:r>
        <w:rPr>
          <w:rFonts w:hint="eastAsia" w:ascii="楷体" w:hAnsi="楷体" w:eastAsia="楷体" w:cs="楷体"/>
          <w:sz w:val="32"/>
          <w:szCs w:val="32"/>
          <w:lang w:val="zh-CN"/>
        </w:rPr>
        <w:t>）公路养护</w:t>
      </w:r>
    </w:p>
    <w:p w14:paraId="29E27679">
      <w:pPr>
        <w:pStyle w:val="37"/>
        <w:keepNext w:val="0"/>
        <w:keepLines w:val="0"/>
        <w:pageBreakBefore w:val="0"/>
        <w:widowControl w:val="0"/>
        <w:numPr>
          <w:ilvl w:val="0"/>
          <w:numId w:val="3"/>
        </w:numPr>
        <w:kinsoku/>
        <w:wordWrap/>
        <w:overflowPunct/>
        <w:topLinePunct w:val="0"/>
        <w:autoSpaceDE/>
        <w:autoSpaceDN/>
        <w:bidi w:val="0"/>
        <w:adjustRightInd/>
        <w:snapToGrid/>
        <w:spacing w:line="560" w:lineRule="exact"/>
        <w:ind w:left="1140" w:leftChars="300" w:hanging="420" w:firstLineChars="0"/>
        <w:textAlignment w:val="auto"/>
        <w:rPr>
          <w:rFonts w:hint="eastAsia" w:ascii="楷体" w:hAnsi="楷体" w:eastAsia="楷体" w:cs="楷体"/>
          <w:sz w:val="32"/>
          <w:szCs w:val="32"/>
        </w:rPr>
      </w:pPr>
      <w:r>
        <w:rPr>
          <w:rFonts w:hint="eastAsia" w:ascii="楷体" w:hAnsi="楷体" w:eastAsia="楷体" w:cs="楷体"/>
          <w:sz w:val="32"/>
          <w:szCs w:val="32"/>
        </w:rPr>
        <w:t>养护目标</w:t>
      </w:r>
    </w:p>
    <w:p w14:paraId="18809B6F">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稳步推进公路养护计划，加快转变公路交通发展方式，充分发挥公路部门引导和监督职能，统筹公路养护与应急处置，推动公路养护“六化”发展：养护工区标准化、养护设备成套化、养护队伍专业化、养护决策科学化、养护管理规范化、养护技术先进化。至2025年，养护质量保持在较高水平，路况水平进一步提升，国省公路优等路率达到90%以上，县乡街公路优良路率达到90%以上，普通国省干线公路MQI 指标值保持90 以上，县道MQI 指标值不低于80，乡村公路好路率80%以上；国省干线公路一、二类桥梁达到96%以上，公路绿化完好率提高到95%以上，小修保养机械化作业率达到80%以上。</w:t>
      </w:r>
    </w:p>
    <w:p w14:paraId="00B411D4">
      <w:pPr>
        <w:pStyle w:val="37"/>
        <w:keepNext w:val="0"/>
        <w:keepLines w:val="0"/>
        <w:pageBreakBefore w:val="0"/>
        <w:widowControl w:val="0"/>
        <w:numPr>
          <w:ilvl w:val="0"/>
          <w:numId w:val="3"/>
        </w:numPr>
        <w:kinsoku/>
        <w:wordWrap/>
        <w:overflowPunct/>
        <w:topLinePunct w:val="0"/>
        <w:autoSpaceDE/>
        <w:autoSpaceDN/>
        <w:bidi w:val="0"/>
        <w:adjustRightInd/>
        <w:snapToGrid/>
        <w:spacing w:line="560" w:lineRule="exact"/>
        <w:ind w:left="1140" w:leftChars="300" w:hanging="420" w:firstLineChars="0"/>
        <w:textAlignment w:val="auto"/>
        <w:rPr>
          <w:rFonts w:hint="eastAsia" w:ascii="楷体" w:hAnsi="楷体" w:eastAsia="楷体" w:cs="楷体"/>
          <w:sz w:val="32"/>
          <w:szCs w:val="32"/>
        </w:rPr>
      </w:pPr>
      <w:r>
        <w:rPr>
          <w:rFonts w:hint="eastAsia" w:ascii="楷体" w:hAnsi="楷体" w:eastAsia="楷体" w:cs="楷体"/>
          <w:sz w:val="32"/>
          <w:szCs w:val="32"/>
        </w:rPr>
        <w:t>管理重点</w:t>
      </w:r>
    </w:p>
    <w:p w14:paraId="5CF90BE4">
      <w:pPr>
        <w:keepNext w:val="0"/>
        <w:keepLines w:val="0"/>
        <w:pageBreakBefore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b/>
          <w:bCs/>
          <w:sz w:val="32"/>
          <w:szCs w:val="32"/>
          <w:lang w:val="zh-CN" w:eastAsia="zh-CN"/>
        </w:rPr>
        <w:t>一是进一步完善公路养护工区体系。</w:t>
      </w:r>
      <w:r>
        <w:rPr>
          <w:rFonts w:hint="eastAsia" w:ascii="Times New Roman" w:hAnsi="Times New Roman" w:eastAsia="仿宋_GB2312" w:cs="Times New Roman"/>
          <w:sz w:val="32"/>
          <w:szCs w:val="32"/>
          <w:lang w:val="zh-CN" w:eastAsia="zh-CN"/>
        </w:rPr>
        <w:t>采取提高小修保养费用标准、加强技术培训、强化合同约束和考核监督等措施，引导公路养护企业，加大养护机械设备投入，加快养护机械设备更新换代，达到与公路养护工区职能相适应的机械设备配置标准，推进公路养护作业机械化进程。</w:t>
      </w:r>
      <w:r>
        <w:rPr>
          <w:rFonts w:hint="eastAsia" w:ascii="Times New Roman" w:hAnsi="Times New Roman" w:eastAsia="仿宋_GB2312" w:cs="Times New Roman"/>
          <w:b/>
          <w:bCs/>
          <w:sz w:val="32"/>
          <w:szCs w:val="32"/>
          <w:lang w:val="zh-CN" w:eastAsia="zh-CN"/>
        </w:rPr>
        <w:t>二是加大现有公路养护作业人员培训和教育力度。</w:t>
      </w:r>
      <w:r>
        <w:rPr>
          <w:rFonts w:hint="eastAsia" w:ascii="Times New Roman" w:hAnsi="Times New Roman" w:eastAsia="仿宋_GB2312" w:cs="Times New Roman"/>
          <w:sz w:val="32"/>
          <w:szCs w:val="32"/>
          <w:lang w:val="zh-CN" w:eastAsia="zh-CN"/>
        </w:rPr>
        <w:t>强化合同管理和合同约束，扩大养护人员队伍，提高技术性工人占比，全面提升公路养护队伍专业素质水平。</w:t>
      </w:r>
      <w:r>
        <w:rPr>
          <w:rFonts w:hint="eastAsia" w:ascii="Times New Roman" w:hAnsi="Times New Roman" w:eastAsia="仿宋_GB2312" w:cs="Times New Roman"/>
          <w:b/>
          <w:bCs/>
          <w:sz w:val="32"/>
          <w:szCs w:val="32"/>
          <w:lang w:val="zh-CN" w:eastAsia="zh-CN"/>
        </w:rPr>
        <w:t>三是完善公路技术状况评定指标体系。</w:t>
      </w:r>
      <w:r>
        <w:rPr>
          <w:rFonts w:hint="eastAsia" w:ascii="Times New Roman" w:hAnsi="Times New Roman" w:eastAsia="仿宋_GB2312" w:cs="Times New Roman"/>
          <w:sz w:val="32"/>
          <w:szCs w:val="32"/>
          <w:lang w:val="zh-CN" w:eastAsia="zh-CN"/>
        </w:rPr>
        <w:t>提升公路和桥梁检测装备水平，依靠公路交通量观测数据，为公路养护决策提供详细和准确的基础数据。</w:t>
      </w:r>
      <w:r>
        <w:rPr>
          <w:rFonts w:hint="eastAsia" w:ascii="Times New Roman" w:hAnsi="Times New Roman" w:eastAsia="仿宋_GB2312" w:cs="Times New Roman"/>
          <w:b/>
          <w:bCs/>
          <w:sz w:val="32"/>
          <w:szCs w:val="32"/>
          <w:lang w:val="zh-CN" w:eastAsia="zh-CN"/>
        </w:rPr>
        <w:t>四是推进数字公路建设。</w:t>
      </w:r>
      <w:r>
        <w:rPr>
          <w:rFonts w:hint="eastAsia" w:ascii="Times New Roman" w:hAnsi="Times New Roman" w:eastAsia="仿宋_GB2312" w:cs="Times New Roman"/>
          <w:sz w:val="32"/>
          <w:szCs w:val="32"/>
          <w:lang w:val="zh-CN" w:eastAsia="zh-CN"/>
        </w:rPr>
        <w:t>加强公路养护管理先进手段建设，提升公路养护、调度、应急和服务智能化水平，提升公路养护管理效率。</w:t>
      </w:r>
      <w:r>
        <w:rPr>
          <w:rFonts w:hint="eastAsia" w:ascii="Times New Roman" w:hAnsi="Times New Roman" w:eastAsia="仿宋_GB2312" w:cs="Times New Roman"/>
          <w:b/>
          <w:bCs/>
          <w:sz w:val="32"/>
          <w:szCs w:val="32"/>
          <w:lang w:val="zh-CN" w:eastAsia="zh-CN"/>
        </w:rPr>
        <w:t>五是扩大公路养护管理人员队伍。</w:t>
      </w:r>
      <w:r>
        <w:rPr>
          <w:rFonts w:hint="eastAsia" w:ascii="Times New Roman" w:hAnsi="Times New Roman" w:eastAsia="仿宋_GB2312" w:cs="Times New Roman"/>
          <w:sz w:val="32"/>
          <w:szCs w:val="32"/>
          <w:lang w:val="zh-CN" w:eastAsia="zh-CN"/>
        </w:rPr>
        <w:t>提高养护管理人员本科及以上学历人才占比，提高管理人员素质；</w:t>
      </w:r>
      <w:r>
        <w:rPr>
          <w:rFonts w:hint="eastAsia" w:ascii="Times New Roman" w:hAnsi="Times New Roman" w:eastAsia="仿宋_GB2312" w:cs="Times New Roman"/>
          <w:b/>
          <w:bCs/>
          <w:sz w:val="32"/>
          <w:szCs w:val="32"/>
          <w:lang w:val="zh-CN" w:eastAsia="zh-CN"/>
        </w:rPr>
        <w:t>六是优化和完善养护管理程序。</w:t>
      </w:r>
      <w:r>
        <w:rPr>
          <w:rFonts w:hint="eastAsia" w:ascii="Times New Roman" w:hAnsi="Times New Roman" w:eastAsia="仿宋_GB2312" w:cs="Times New Roman"/>
          <w:sz w:val="32"/>
          <w:szCs w:val="32"/>
          <w:lang w:val="zh-CN" w:eastAsia="zh-CN"/>
        </w:rPr>
        <w:t>整合公路养护、路政、路网、建设等相关管理资源，巡查、决策、处置、质量监督、计量支付、工程验收等管理工作实现规范化。</w:t>
      </w:r>
      <w:r>
        <w:rPr>
          <w:rFonts w:hint="eastAsia" w:ascii="Times New Roman" w:hAnsi="Times New Roman" w:eastAsia="仿宋_GB2312" w:cs="Times New Roman"/>
          <w:b/>
          <w:bCs/>
          <w:sz w:val="32"/>
          <w:szCs w:val="32"/>
          <w:lang w:val="zh-CN" w:eastAsia="zh-CN"/>
        </w:rPr>
        <w:t>七是完善公路养护新技术、新工艺和新材料应用成果。</w:t>
      </w:r>
      <w:r>
        <w:rPr>
          <w:rFonts w:hint="eastAsia" w:ascii="Times New Roman" w:hAnsi="Times New Roman" w:eastAsia="仿宋_GB2312" w:cs="Times New Roman"/>
          <w:sz w:val="32"/>
          <w:szCs w:val="32"/>
          <w:lang w:val="zh-CN" w:eastAsia="zh-CN"/>
        </w:rPr>
        <w:t>加强对沥青路面再生技术、预防性养护技术、抗车辙技术、快速养护技术配套工艺研究，形成适合连云区公路的养护技术体系，实现公路养护节能环保。</w:t>
      </w:r>
    </w:p>
    <w:p w14:paraId="5E92C022">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4.</w:t>
      </w:r>
      <w:r>
        <w:rPr>
          <w:rFonts w:hint="eastAsia" w:ascii="楷体" w:hAnsi="楷体" w:eastAsia="楷体" w:cs="楷体"/>
          <w:sz w:val="32"/>
          <w:szCs w:val="32"/>
          <w:lang w:val="zh-CN"/>
        </w:rPr>
        <w:t>科技信息化管理</w:t>
      </w:r>
    </w:p>
    <w:p w14:paraId="2B815F6B">
      <w:pPr>
        <w:keepNext w:val="0"/>
        <w:keepLines w:val="0"/>
        <w:pageBreakBefore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b/>
          <w:bCs/>
          <w:sz w:val="32"/>
          <w:szCs w:val="32"/>
          <w:lang w:val="zh-CN" w:eastAsia="zh-CN"/>
        </w:rPr>
        <w:t>一是规范项目管理流程。</w:t>
      </w:r>
      <w:r>
        <w:rPr>
          <w:rFonts w:hint="eastAsia" w:ascii="Times New Roman" w:hAnsi="Times New Roman" w:eastAsia="仿宋_GB2312" w:cs="Times New Roman"/>
          <w:sz w:val="32"/>
          <w:szCs w:val="32"/>
          <w:lang w:val="zh-CN" w:eastAsia="zh-CN"/>
        </w:rPr>
        <w:t>以前期项目研究为主导推动整个项目的实施，按照业务设计、系统设计、功能设计、代码设计四个层面逐层分析现状、存在的问题、对策措施和实施办法，从根本层面找到项目需要解决的问题，确保项目能够成功实施。</w:t>
      </w:r>
      <w:r>
        <w:rPr>
          <w:rFonts w:hint="eastAsia" w:ascii="Times New Roman" w:hAnsi="Times New Roman" w:eastAsia="仿宋_GB2312" w:cs="Times New Roman"/>
          <w:b/>
          <w:bCs/>
          <w:sz w:val="32"/>
          <w:szCs w:val="32"/>
          <w:lang w:val="zh-CN" w:eastAsia="zh-CN"/>
        </w:rPr>
        <w:t>二是完善项目管理机制。</w:t>
      </w:r>
      <w:r>
        <w:rPr>
          <w:rFonts w:hint="eastAsia" w:ascii="Times New Roman" w:hAnsi="Times New Roman" w:eastAsia="仿宋_GB2312" w:cs="Times New Roman"/>
          <w:sz w:val="32"/>
          <w:szCs w:val="32"/>
          <w:lang w:val="zh-CN" w:eastAsia="zh-CN"/>
        </w:rPr>
        <w:t>加大组织力度，让更多的业务人员参与到项目建设和应用工作中，让技术人员与业务人员更多的交流。</w:t>
      </w:r>
      <w:r>
        <w:rPr>
          <w:rFonts w:hint="eastAsia" w:ascii="Times New Roman" w:hAnsi="Times New Roman" w:eastAsia="仿宋_GB2312" w:cs="Times New Roman"/>
          <w:b/>
          <w:bCs/>
          <w:sz w:val="32"/>
          <w:szCs w:val="32"/>
          <w:lang w:val="zh-CN" w:eastAsia="zh-CN"/>
        </w:rPr>
        <w:t>三是加强项目考核机制。</w:t>
      </w:r>
      <w:r>
        <w:rPr>
          <w:rFonts w:hint="eastAsia" w:ascii="Times New Roman" w:hAnsi="Times New Roman" w:eastAsia="仿宋_GB2312" w:cs="Times New Roman"/>
          <w:sz w:val="32"/>
          <w:szCs w:val="32"/>
          <w:lang w:val="zh-CN" w:eastAsia="zh-CN"/>
        </w:rPr>
        <w:t>对业务、系统、功能的设计进行评估和考核，避免因设计不到位造成的时间和经费的浪费。</w:t>
      </w:r>
    </w:p>
    <w:p w14:paraId="102FCF58">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将智慧交通建设作为主战场，把云计算、大数据、物联网等现代信息技术的研发、推广、应用作为主攻方向，争取在一系列关键技术上取得重大突破。</w:t>
      </w:r>
    </w:p>
    <w:p w14:paraId="6858EAA7">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5.</w:t>
      </w:r>
      <w:r>
        <w:rPr>
          <w:rFonts w:hint="eastAsia" w:ascii="楷体" w:hAnsi="楷体" w:eastAsia="楷体" w:cs="楷体"/>
          <w:sz w:val="32"/>
          <w:szCs w:val="32"/>
          <w:lang w:val="zh-CN"/>
        </w:rPr>
        <w:t>法治化管理</w:t>
      </w:r>
    </w:p>
    <w:p w14:paraId="50DCF125">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依法行政是市场经济条件下对政府的基本要求。交通运输现代化建设，必须把推进法治交通与深化行政管理体制改革、转变政府职能有机结合起来，坚持开拓创新与循序渐进的统一，既要体现改革和创新的精神，又要有计划、有步骤地分类推进；必须把坚持依法行政与提高行政效率统一起来，做到既严格依法办事，又积极履行职责，有效推进法治交通建设。</w:t>
      </w:r>
    </w:p>
    <w:p w14:paraId="7A422A8D">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6.</w:t>
      </w:r>
      <w:r>
        <w:rPr>
          <w:rFonts w:hint="eastAsia" w:ascii="楷体" w:hAnsi="楷体" w:eastAsia="楷体" w:cs="楷体"/>
          <w:sz w:val="32"/>
          <w:szCs w:val="32"/>
          <w:lang w:val="zh-CN"/>
        </w:rPr>
        <w:t>安全稳定与应急处置管理</w:t>
      </w:r>
    </w:p>
    <w:p w14:paraId="6AB5382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十四五”期间，加强交通运输安全生产和应急体系规划建设，完善体制机制，健全法规体系，提高交通设施、运输装备安全性能，提升从业人员安全生产素质，推进安全生产标准化、安全监管规范化和安全管理信息化，积极探索强化铁路、民航运输安全监管的有效举措，显著增强应急能力，全面提升安全生产保障水平，有效推进平安交通建设。</w:t>
      </w:r>
    </w:p>
    <w:p w14:paraId="0509BC63">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outlineLvl w:val="4"/>
        <w:rPr>
          <w:rFonts w:hint="eastAsia" w:ascii="楷体" w:hAnsi="楷体" w:eastAsia="楷体" w:cs="楷体"/>
          <w:sz w:val="32"/>
          <w:szCs w:val="32"/>
          <w:lang w:val="zh-CN"/>
        </w:rPr>
      </w:pPr>
      <w:r>
        <w:rPr>
          <w:rFonts w:hint="eastAsia" w:ascii="楷体" w:hAnsi="楷体" w:eastAsia="楷体" w:cs="楷体"/>
          <w:sz w:val="32"/>
          <w:szCs w:val="32"/>
          <w:lang w:val="en-US" w:eastAsia="zh-CN"/>
        </w:rPr>
        <w:t>7.</w:t>
      </w:r>
      <w:r>
        <w:rPr>
          <w:rFonts w:hint="eastAsia" w:ascii="楷体" w:hAnsi="楷体" w:eastAsia="楷体" w:cs="楷体"/>
          <w:sz w:val="32"/>
          <w:szCs w:val="32"/>
          <w:lang w:val="zh-CN"/>
        </w:rPr>
        <w:t>廉政与作风效能建设</w:t>
      </w:r>
    </w:p>
    <w:p w14:paraId="430AB82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深入贯彻十九大、十九届四中全会和习近平总书记系列讲话精神，紧紧围绕推进交通运输全面深化改革的总体部署，坚持标本兼治、综合治理、惩防并举、注重预防，强化交通运输系统反腐败体制机制创新和制度保障，坚定不移严明纪律、转变作风、反对腐败，为推进连云区交通运输现代化建设提供坚强保障。“十四五”期间，惩治和预防腐畋体系更加完善，人民群众对交通运输系统满意度明显提升。形式主义、官僚主义、享乐主义和奢靡之风得到有效治理，政风行风持续好转；惩治腐败力度不断加大，党员干部违纪违法问题明显减少；权力运行监督和制约更加有效，党员干部廉洁自律意识和拒腐防变能力明显增强。</w:t>
      </w:r>
    </w:p>
    <w:p w14:paraId="7C37E16F">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eastAsia="zh-CN"/>
        </w:rPr>
      </w:pPr>
    </w:p>
    <w:p w14:paraId="1EADCC3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eastAsia="zh-CN"/>
        </w:rPr>
        <w:sectPr>
          <w:headerReference r:id="rId10" w:type="default"/>
          <w:pgSz w:w="11906" w:h="16838"/>
          <w:pgMar w:top="2098" w:right="1474" w:bottom="1984" w:left="1587" w:header="851" w:footer="992" w:gutter="0"/>
          <w:pgNumType w:fmt="numberInDash"/>
          <w:cols w:space="425" w:num="1"/>
          <w:docGrid w:type="lines" w:linePitch="312" w:charSpace="0"/>
        </w:sectPr>
      </w:pPr>
    </w:p>
    <w:p w14:paraId="3719C937">
      <w:pPr>
        <w:keepNext w:val="0"/>
        <w:keepLines w:val="0"/>
        <w:pageBreakBefore w:val="0"/>
        <w:widowControl/>
        <w:kinsoku/>
        <w:wordWrap/>
        <w:overflowPunct/>
        <w:topLinePunct w:val="0"/>
        <w:autoSpaceDE/>
        <w:autoSpaceDN/>
        <w:bidi w:val="0"/>
        <w:adjustRightInd/>
        <w:snapToGrid/>
        <w:spacing w:before="312" w:beforeLines="100" w:after="312" w:afterLines="100" w:line="560" w:lineRule="exact"/>
        <w:ind w:left="0" w:leftChars="0"/>
        <w:jc w:val="center"/>
        <w:textAlignment w:val="auto"/>
        <w:outlineLvl w:val="1"/>
        <w:rPr>
          <w:rFonts w:ascii="Times New Roman" w:hAnsi="Times New Roman" w:eastAsia="黑体" w:cs="Times New Roman"/>
          <w:b w:val="0"/>
          <w:bCs/>
          <w:sz w:val="36"/>
          <w:szCs w:val="36"/>
        </w:rPr>
      </w:pPr>
      <w:bookmarkStart w:id="57" w:name="_Toc426812819"/>
      <w:bookmarkStart w:id="58" w:name="_Toc81203416"/>
      <w:r>
        <w:rPr>
          <w:rFonts w:ascii="Times New Roman" w:hAnsi="Times New Roman" w:eastAsia="黑体" w:cs="Times New Roman"/>
          <w:b w:val="0"/>
          <w:bCs/>
          <w:sz w:val="36"/>
          <w:szCs w:val="36"/>
        </w:rPr>
        <w:t>第</w:t>
      </w:r>
      <w:r>
        <w:rPr>
          <w:rFonts w:hint="eastAsia" w:ascii="Times New Roman" w:hAnsi="Times New Roman" w:eastAsia="黑体" w:cs="Times New Roman"/>
          <w:b w:val="0"/>
          <w:bCs/>
          <w:sz w:val="36"/>
          <w:szCs w:val="36"/>
        </w:rPr>
        <w:t>五</w:t>
      </w:r>
      <w:r>
        <w:rPr>
          <w:rFonts w:ascii="Times New Roman" w:hAnsi="Times New Roman" w:eastAsia="黑体" w:cs="Times New Roman"/>
          <w:b w:val="0"/>
          <w:bCs/>
          <w:sz w:val="36"/>
          <w:szCs w:val="36"/>
        </w:rPr>
        <w:t>章</w:t>
      </w:r>
      <w:bookmarkEnd w:id="57"/>
      <w:r>
        <w:rPr>
          <w:rFonts w:hint="eastAsia" w:ascii="Times New Roman" w:hAnsi="Times New Roman" w:eastAsia="黑体" w:cs="Times New Roman"/>
          <w:b w:val="0"/>
          <w:bCs/>
          <w:sz w:val="36"/>
          <w:szCs w:val="36"/>
        </w:rPr>
        <w:t xml:space="preserve">  规划实施保障</w:t>
      </w:r>
      <w:bookmarkEnd w:id="58"/>
    </w:p>
    <w:p w14:paraId="154FBCBC">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cs="Times New Roman"/>
          <w:b/>
          <w:sz w:val="30"/>
          <w:szCs w:val="30"/>
        </w:rPr>
      </w:pPr>
      <w:bookmarkStart w:id="59" w:name="_Toc393726391"/>
      <w:bookmarkStart w:id="60" w:name="_Toc369283947"/>
      <w:bookmarkStart w:id="61" w:name="_Toc369376606"/>
      <w:bookmarkStart w:id="62" w:name="_Toc369706947"/>
      <w:bookmarkStart w:id="63" w:name="_Toc369621220"/>
      <w:bookmarkStart w:id="64" w:name="_Toc369618763"/>
      <w:bookmarkStart w:id="65" w:name="_Toc369382567"/>
      <w:bookmarkStart w:id="66" w:name="_Toc369618762"/>
      <w:bookmarkStart w:id="67" w:name="_Toc369621221"/>
      <w:bookmarkStart w:id="68" w:name="_Toc369382569"/>
      <w:bookmarkStart w:id="69" w:name="_Toc369283945"/>
      <w:bookmarkStart w:id="70" w:name="_Toc369706948"/>
      <w:bookmarkStart w:id="71" w:name="_Toc369618764"/>
      <w:bookmarkStart w:id="72" w:name="_Toc369706946"/>
      <w:bookmarkStart w:id="73" w:name="_Toc369621222"/>
      <w:bookmarkStart w:id="74" w:name="_Toc369376608"/>
      <w:r>
        <w:rPr>
          <w:rFonts w:hint="eastAsia" w:ascii="楷体" w:hAnsi="楷体" w:eastAsia="楷体" w:cs="楷体"/>
          <w:b w:val="0"/>
          <w:bCs/>
          <w:sz w:val="32"/>
          <w:szCs w:val="32"/>
          <w:lang w:val="en-US" w:eastAsia="zh-CN"/>
        </w:rPr>
        <w:t>一、</w:t>
      </w:r>
      <w:r>
        <w:rPr>
          <w:rFonts w:hint="eastAsia" w:ascii="楷体" w:hAnsi="楷体" w:eastAsia="楷体" w:cs="楷体"/>
          <w:b w:val="0"/>
          <w:bCs/>
          <w:sz w:val="32"/>
          <w:szCs w:val="32"/>
        </w:rPr>
        <w:t>加强领导，强化交通基础设施建设组织保障</w:t>
      </w:r>
    </w:p>
    <w:p w14:paraId="57204B3B">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一是建立健全区级层面的领导机构，统筹协调港口、公、铁、水各行业发展。由区委、区政府牵头，建立健全区级层面的领导机构，定期开展对公路、铁路、水运等区域交通运输业发展的考评、奖励等，促进交通各子行业协调发展。二是优先配置资源，支持重大交通基础设施建设。成立重大交通基础设施建设项目小组，协调经发、交通、自然资源、生态环境、住建、水利等部门，开辟重大项目手续办理“绿色通道”，做到特事特办、急事急办，全力支持重大交通基础设施建设。三是协调各街道、园区、各部门，合力支持交通发展。充分调动各街道、园区、各部门及社会力量的积极性，变“部门办交通”为“社会办交通”，充分发挥各部门的积极性和创造性，形成“合力加快交通建设，促进连云区经济发展”的新格局。</w:t>
      </w:r>
    </w:p>
    <w:p w14:paraId="7280CB20">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b w:val="0"/>
          <w:bCs/>
          <w:sz w:val="32"/>
          <w:szCs w:val="32"/>
        </w:rPr>
      </w:pPr>
      <w:r>
        <w:rPr>
          <w:rFonts w:hint="eastAsia" w:ascii="楷体" w:hAnsi="楷体" w:eastAsia="楷体" w:cs="楷体"/>
          <w:b w:val="0"/>
          <w:bCs/>
          <w:sz w:val="32"/>
          <w:szCs w:val="32"/>
          <w:lang w:val="en-US" w:eastAsia="zh-CN"/>
        </w:rPr>
        <w:t>二、</w:t>
      </w:r>
      <w:r>
        <w:rPr>
          <w:rFonts w:hint="eastAsia" w:ascii="楷体" w:hAnsi="楷体" w:eastAsia="楷体" w:cs="楷体"/>
          <w:b w:val="0"/>
          <w:bCs/>
          <w:sz w:val="32"/>
          <w:szCs w:val="32"/>
        </w:rPr>
        <w:t>多方协调，加强交通建设资金</w:t>
      </w:r>
    </w:p>
    <w:p w14:paraId="1436C89C">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lang w:val="zh-CN" w:eastAsia="zh-CN"/>
        </w:rPr>
      </w:pPr>
      <w:r>
        <w:rPr>
          <w:rFonts w:hint="eastAsia" w:ascii="Times New Roman" w:hAnsi="Times New Roman" w:eastAsia="仿宋_GB2312" w:cs="Times New Roman"/>
          <w:sz w:val="32"/>
          <w:szCs w:val="32"/>
          <w:lang w:val="zh-CN" w:eastAsia="zh-CN"/>
        </w:rPr>
        <w:t>客观上，过去多年累积的债务，使再继续依靠贷款发展交通的方式难以为继。同时新一轮财税体制改革，也将给交通运输发展的建设资金保障带来很大的不确定性。这些问题的存在和出现，要求交通运输发展必须构建多元化资本结构的筹融资体系。一是积极争取国家、省市资金投入。加强跟踪和掌握国家、省市各级政府及相关部门对交通运输建设发展的资金投入导向，统筹谋划我区重点建设项目投入，最大力度争取国家和省市资金支持。积极争取加大区级财政直接资金投入力度和间接资金倾斜政策执行力度，同时调动各方建设资金投入的积极性。二是积极探索市场化运作和投融资体系建设。进一步探索市场化运作手段，主动引导民间资本参与交通基础设施项目建设和运输市场。</w:t>
      </w:r>
    </w:p>
    <w:tbl>
      <w:tblPr>
        <w:tblStyle w:val="16"/>
        <w:tblpPr w:leftFromText="180" w:rightFromText="180" w:vertAnchor="text" w:horzAnchor="page" w:tblpX="2108" w:tblpY="5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1"/>
      </w:tblGrid>
      <w:tr w14:paraId="0A52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8371" w:type="dxa"/>
            <w:tcBorders>
              <w:top w:val="single" w:color="auto" w:sz="4" w:space="0"/>
              <w:left w:val="single" w:color="auto" w:sz="4" w:space="0"/>
              <w:bottom w:val="single" w:color="auto" w:sz="4" w:space="0"/>
              <w:right w:val="single" w:color="auto" w:sz="4" w:space="0"/>
            </w:tcBorders>
          </w:tcPr>
          <w:p w14:paraId="1506F0F6">
            <w:pPr>
              <w:pageBreakBefore w:val="0"/>
              <w:kinsoku/>
              <w:wordWrap/>
              <w:overflowPunct/>
              <w:topLinePunct w:val="0"/>
              <w:autoSpaceDE/>
              <w:autoSpaceDN/>
              <w:bidi w:val="0"/>
              <w:adjustRightInd/>
              <w:snapToGrid/>
              <w:spacing w:before="156" w:beforeLines="50" w:after="156" w:afterLines="50"/>
              <w:ind w:left="0" w:leftChars="0" w:firstLine="159" w:firstLineChars="66"/>
              <w:jc w:val="both"/>
              <w:rPr>
                <w:rFonts w:ascii="Times New Roman" w:hAnsi="Times New Roman" w:eastAsia="楷体_GB2312" w:cs="Times New Roman"/>
                <w:b/>
                <w:szCs w:val="21"/>
              </w:rPr>
            </w:pPr>
            <w:r>
              <w:rPr>
                <w:rFonts w:ascii="Times New Roman" w:hAnsi="Times New Roman" w:eastAsia="楷体_GB2312" w:cs="Times New Roman"/>
                <w:b/>
                <w:szCs w:val="21"/>
              </w:rPr>
              <w:t xml:space="preserve">专栏   </w:t>
            </w:r>
            <w:r>
              <w:rPr>
                <w:rFonts w:hint="eastAsia" w:ascii="Times New Roman" w:hAnsi="Times New Roman" w:eastAsia="楷体_GB2312" w:cs="Times New Roman"/>
                <w:b/>
                <w:szCs w:val="21"/>
              </w:rPr>
              <w:t>EPC</w:t>
            </w:r>
            <w:r>
              <w:rPr>
                <w:rFonts w:ascii="Times New Roman" w:hAnsi="Times New Roman" w:eastAsia="楷体_GB2312" w:cs="Times New Roman"/>
                <w:b/>
                <w:szCs w:val="21"/>
              </w:rPr>
              <w:t>模式介绍</w:t>
            </w:r>
          </w:p>
        </w:tc>
      </w:tr>
      <w:tr w14:paraId="1A67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8371" w:type="dxa"/>
            <w:tcBorders>
              <w:top w:val="single" w:color="auto" w:sz="4" w:space="0"/>
              <w:left w:val="single" w:color="auto" w:sz="4" w:space="0"/>
              <w:bottom w:val="single" w:color="auto" w:sz="4" w:space="0"/>
              <w:right w:val="single" w:color="auto" w:sz="4" w:space="0"/>
            </w:tcBorders>
          </w:tcPr>
          <w:p w14:paraId="02998F5C">
            <w:pPr>
              <w:keepNext w:val="0"/>
              <w:keepLines w:val="0"/>
              <w:pageBreakBefore w:val="0"/>
              <w:widowControl/>
              <w:kinsoku/>
              <w:wordWrap/>
              <w:overflowPunct/>
              <w:topLinePunct w:val="0"/>
              <w:autoSpaceDE/>
              <w:autoSpaceDN/>
              <w:bidi w:val="0"/>
              <w:adjustRightInd/>
              <w:snapToGrid/>
              <w:spacing w:before="156" w:beforeLines="50" w:after="156" w:afterLines="50" w:line="560" w:lineRule="exact"/>
              <w:ind w:left="0" w:leftChars="0" w:firstLine="480" w:firstLineChars="200"/>
              <w:jc w:val="both"/>
              <w:textAlignment w:val="auto"/>
              <w:rPr>
                <w:rFonts w:ascii="Times New Roman" w:hAnsi="Times New Roman" w:eastAsia="楷体_GB2312" w:cs="Times New Roman"/>
                <w:szCs w:val="21"/>
              </w:rPr>
            </w:pPr>
            <w:r>
              <w:rPr>
                <w:rFonts w:hint="eastAsia" w:ascii="Times New Roman" w:hAnsi="Times New Roman" w:eastAsia="楷体_GB2312" w:cs="Times New Roman"/>
                <w:szCs w:val="21"/>
              </w:rPr>
              <w:t>EPC:</w:t>
            </w:r>
            <w:r>
              <w:rPr>
                <w:rFonts w:ascii="Times New Roman" w:hAnsi="Times New Roman" w:eastAsia="楷体_GB2312" w:cs="Times New Roman"/>
                <w:szCs w:val="21"/>
              </w:rPr>
              <w:t>工程(Engineering)、采购（Procurement）、建设（Construction），是国际通用的工程总承包产业的总称。工程：从工程内容总体策划到具体的设计工作，采购：从专业设备到建筑材料的采购，建设：从施工、安装到技术培训。涉及领域有能源（传统电力、清洁能源等），交通（铁路、公路等），建筑。</w:t>
            </w:r>
          </w:p>
          <w:p w14:paraId="69415127">
            <w:pPr>
              <w:keepNext w:val="0"/>
              <w:keepLines w:val="0"/>
              <w:pageBreakBefore w:val="0"/>
              <w:widowControl/>
              <w:kinsoku/>
              <w:wordWrap/>
              <w:overflowPunct/>
              <w:topLinePunct w:val="0"/>
              <w:autoSpaceDE/>
              <w:autoSpaceDN/>
              <w:bidi w:val="0"/>
              <w:adjustRightInd/>
              <w:snapToGrid/>
              <w:spacing w:before="156" w:beforeLines="50" w:after="156" w:afterLines="50" w:line="560" w:lineRule="exact"/>
              <w:ind w:left="0" w:leftChars="0" w:firstLine="480" w:firstLineChars="200"/>
              <w:jc w:val="both"/>
              <w:textAlignment w:val="auto"/>
              <w:rPr>
                <w:rFonts w:hint="eastAsia" w:ascii="Times New Roman" w:hAnsi="Times New Roman" w:eastAsia="楷体_GB2312" w:cs="Times New Roman"/>
                <w:szCs w:val="21"/>
              </w:rPr>
            </w:pPr>
            <w:r>
              <w:rPr>
                <w:rFonts w:hint="eastAsia" w:ascii="Times New Roman" w:hAnsi="Times New Roman" w:eastAsia="楷体_GB2312" w:cs="Times New Roman"/>
                <w:szCs w:val="21"/>
              </w:rPr>
              <w:t>2019年12月23日，为贯彻落实《中共中央国务院关于进一步加强城市规划建设管理工作的若干意见》和《国务院办公厅关于促进建筑业持续健康发展的意见》（国办发〔2017〕19号），</w:t>
            </w:r>
            <w:r>
              <w:fldChar w:fldCharType="begin"/>
            </w:r>
            <w:r>
              <w:instrText xml:space="preserve"> HYPERLINK "https://baike.baidu.com/item/%E4%BD%8F%E6%88%BF%E5%92%8C%E5%9F%8E%E4%B9%A1%E5%BB%BA%E8%AE%BE%E9%83%A8/835272" \t "https://baike.baidu.com/item/EPC/_blank" </w:instrText>
            </w:r>
            <w:r>
              <w:fldChar w:fldCharType="separate"/>
            </w:r>
            <w:r>
              <w:rPr>
                <w:rFonts w:ascii="Times New Roman" w:hAnsi="Times New Roman" w:eastAsia="楷体_GB2312" w:cs="Times New Roman"/>
                <w:szCs w:val="21"/>
              </w:rPr>
              <w:t>住房和城乡建设部</w:t>
            </w:r>
            <w:r>
              <w:rPr>
                <w:rFonts w:ascii="Times New Roman" w:hAnsi="Times New Roman" w:eastAsia="楷体_GB2312" w:cs="Times New Roman"/>
                <w:szCs w:val="21"/>
              </w:rPr>
              <w:fldChar w:fldCharType="end"/>
            </w:r>
            <w:r>
              <w:rPr>
                <w:rFonts w:ascii="Times New Roman" w:hAnsi="Times New Roman" w:eastAsia="楷体_GB2312" w:cs="Times New Roman"/>
                <w:szCs w:val="21"/>
              </w:rPr>
              <w:t>、</w:t>
            </w:r>
            <w:r>
              <w:fldChar w:fldCharType="begin"/>
            </w:r>
            <w:r>
              <w:instrText xml:space="preserve"> HYPERLINK "https://baike.baidu.com/item/%E5%9B%BD%E5%AE%B6%E5%8F%91%E5%B1%95%E5%92%8C%E6%94%B9%E9%9D%A9%E5%A7%94%E5%91%98%E4%BC%9A/1916487" \t "https://baike.baidu.com/item/EPC/_blank" </w:instrText>
            </w:r>
            <w:r>
              <w:fldChar w:fldCharType="separate"/>
            </w:r>
            <w:r>
              <w:rPr>
                <w:rFonts w:ascii="Times New Roman" w:hAnsi="Times New Roman" w:eastAsia="楷体_GB2312" w:cs="Times New Roman"/>
                <w:szCs w:val="21"/>
              </w:rPr>
              <w:t>国家发展和改革委员会</w:t>
            </w:r>
            <w:r>
              <w:rPr>
                <w:rFonts w:ascii="Times New Roman" w:hAnsi="Times New Roman" w:eastAsia="楷体_GB2312" w:cs="Times New Roman"/>
                <w:szCs w:val="21"/>
              </w:rPr>
              <w:fldChar w:fldCharType="end"/>
            </w:r>
            <w:r>
              <w:rPr>
                <w:rFonts w:ascii="Times New Roman" w:hAnsi="Times New Roman" w:eastAsia="楷体_GB2312" w:cs="Times New Roman"/>
                <w:szCs w:val="21"/>
              </w:rPr>
              <w:t>联合印发《房屋建筑和市政基础设施项目工程总承包管理办法》，文件要求工程总承包单位应当设立项目管理机构，设置项目经理，配备相应管理人员，加强设计、采购与施工的协调，完善和优化设计，改进施工方案，实现对工程总承包项目的有效管理控制，工程总承包项目经理应当熟悉工程技术和工程总承包项目管理知识以及相关法律法规、标准规范，并具有较强的组织协调能力和</w:t>
            </w:r>
            <w:r>
              <w:rPr>
                <w:rFonts w:hint="eastAsia" w:ascii="Times New Roman" w:hAnsi="Times New Roman" w:eastAsia="楷体_GB2312" w:cs="Times New Roman"/>
                <w:szCs w:val="21"/>
              </w:rPr>
              <w:t>良好的职业道德。</w:t>
            </w:r>
          </w:p>
          <w:p w14:paraId="2C85D603">
            <w:pPr>
              <w:keepNext w:val="0"/>
              <w:keepLines w:val="0"/>
              <w:pageBreakBefore w:val="0"/>
              <w:widowControl/>
              <w:kinsoku/>
              <w:wordWrap/>
              <w:overflowPunct/>
              <w:topLinePunct w:val="0"/>
              <w:autoSpaceDE/>
              <w:autoSpaceDN/>
              <w:bidi w:val="0"/>
              <w:adjustRightInd/>
              <w:snapToGrid/>
              <w:spacing w:before="156" w:beforeLines="50" w:after="156" w:afterLines="50" w:line="560" w:lineRule="exact"/>
              <w:ind w:left="0" w:leftChars="0" w:firstLine="480" w:firstLineChars="200"/>
              <w:jc w:val="both"/>
              <w:textAlignment w:val="auto"/>
              <w:rPr>
                <w:rFonts w:hint="eastAsia" w:ascii="Times New Roman" w:hAnsi="Times New Roman" w:eastAsia="楷体_GB2312" w:cs="Times New Roman"/>
                <w:szCs w:val="21"/>
              </w:rPr>
            </w:pPr>
            <w:r>
              <w:rPr>
                <w:rFonts w:hint="eastAsia" w:ascii="Times New Roman" w:hAnsi="Times New Roman" w:eastAsia="楷体_GB2312" w:cs="Times New Roman"/>
                <w:szCs w:val="21"/>
              </w:rPr>
              <w:t>较传统承包模式而言，EPC总承包模式具有以下三个方面基本优势：</w:t>
            </w:r>
          </w:p>
          <w:p w14:paraId="4FA3D1D2">
            <w:pPr>
              <w:keepNext w:val="0"/>
              <w:keepLines w:val="0"/>
              <w:pageBreakBefore w:val="0"/>
              <w:widowControl/>
              <w:kinsoku/>
              <w:wordWrap/>
              <w:overflowPunct/>
              <w:topLinePunct w:val="0"/>
              <w:autoSpaceDE/>
              <w:autoSpaceDN/>
              <w:bidi w:val="0"/>
              <w:adjustRightInd/>
              <w:snapToGrid/>
              <w:spacing w:before="156" w:beforeLines="50" w:after="156" w:afterLines="50" w:line="560" w:lineRule="exact"/>
              <w:ind w:left="0" w:leftChars="0" w:firstLine="480" w:firstLineChars="200"/>
              <w:jc w:val="both"/>
              <w:textAlignment w:val="auto"/>
              <w:rPr>
                <w:rFonts w:hint="eastAsia" w:ascii="Times New Roman" w:hAnsi="Times New Roman" w:eastAsia="楷体_GB2312" w:cs="Times New Roman"/>
                <w:szCs w:val="21"/>
              </w:rPr>
            </w:pPr>
            <w:r>
              <w:rPr>
                <w:rFonts w:hint="eastAsia" w:ascii="Times New Roman" w:hAnsi="Times New Roman" w:eastAsia="楷体_GB2312" w:cs="Times New Roman"/>
                <w:szCs w:val="21"/>
              </w:rPr>
              <w:t>(一) 强调和充分发挥设计在整个工程建设过程中的主导作用。对设计在整个工程建设过程中的主导作用的强调和发挥，有利于工程项目建设整体方案的不断优化。</w:t>
            </w:r>
          </w:p>
          <w:p w14:paraId="21D6CB20">
            <w:pPr>
              <w:keepNext w:val="0"/>
              <w:keepLines w:val="0"/>
              <w:pageBreakBefore w:val="0"/>
              <w:widowControl/>
              <w:kinsoku/>
              <w:wordWrap/>
              <w:overflowPunct/>
              <w:topLinePunct w:val="0"/>
              <w:autoSpaceDE/>
              <w:autoSpaceDN/>
              <w:bidi w:val="0"/>
              <w:adjustRightInd/>
              <w:snapToGrid/>
              <w:spacing w:before="156" w:beforeLines="50" w:after="156" w:afterLines="50" w:line="560" w:lineRule="exact"/>
              <w:ind w:left="0" w:leftChars="0" w:firstLine="480" w:firstLineChars="200"/>
              <w:jc w:val="both"/>
              <w:textAlignment w:val="auto"/>
              <w:rPr>
                <w:rFonts w:hint="eastAsia" w:ascii="Times New Roman" w:hAnsi="Times New Roman" w:eastAsia="楷体_GB2312" w:cs="Times New Roman"/>
                <w:szCs w:val="21"/>
              </w:rPr>
            </w:pPr>
            <w:r>
              <w:rPr>
                <w:rFonts w:hint="eastAsia" w:ascii="Times New Roman" w:hAnsi="Times New Roman" w:eastAsia="楷体_GB2312" w:cs="Times New Roman"/>
                <w:szCs w:val="21"/>
              </w:rPr>
              <w:t>(二) 有效克服设计、采购、施工相互制约和相互脱节的矛盾，有利于设计、采购、施工各阶段工作的合理衔接，有效地实现建设项目的进度、成本和质量控制符合建设工程承包合同约定，确保获得较好的投资效益。</w:t>
            </w:r>
          </w:p>
          <w:p w14:paraId="6138A634">
            <w:pPr>
              <w:keepNext w:val="0"/>
              <w:keepLines w:val="0"/>
              <w:pageBreakBefore w:val="0"/>
              <w:widowControl/>
              <w:kinsoku/>
              <w:wordWrap/>
              <w:overflowPunct/>
              <w:topLinePunct w:val="0"/>
              <w:autoSpaceDE/>
              <w:autoSpaceDN/>
              <w:bidi w:val="0"/>
              <w:adjustRightInd/>
              <w:snapToGrid/>
              <w:spacing w:before="156" w:beforeLines="50" w:after="156" w:afterLines="50" w:line="560" w:lineRule="exact"/>
              <w:ind w:left="0" w:leftChars="0" w:firstLine="480" w:firstLineChars="200"/>
              <w:jc w:val="both"/>
              <w:textAlignment w:val="auto"/>
              <w:rPr>
                <w:rFonts w:ascii="Times New Roman" w:hAnsi="Times New Roman" w:eastAsia="楷体_GB2312" w:cs="Times New Roman"/>
                <w:szCs w:val="21"/>
              </w:rPr>
            </w:pPr>
            <w:r>
              <w:rPr>
                <w:rFonts w:hint="eastAsia" w:ascii="Times New Roman" w:hAnsi="Times New Roman" w:eastAsia="楷体_GB2312" w:cs="Times New Roman"/>
                <w:szCs w:val="21"/>
              </w:rPr>
              <w:t>(三) 建设工程质量责任主体明确，有利于追究工程质量责任和确定工程质量责任的承担人。</w:t>
            </w:r>
          </w:p>
        </w:tc>
      </w:tr>
    </w:tbl>
    <w:p w14:paraId="715892E9">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b w:val="0"/>
          <w:bCs/>
          <w:sz w:val="32"/>
          <w:szCs w:val="32"/>
        </w:rPr>
      </w:pPr>
      <w:bookmarkStart w:id="75" w:name="_Toc393726393"/>
      <w:r>
        <w:rPr>
          <w:rFonts w:hint="eastAsia" w:ascii="楷体" w:hAnsi="楷体" w:eastAsia="楷体" w:cs="楷体"/>
          <w:b w:val="0"/>
          <w:bCs/>
          <w:sz w:val="32"/>
          <w:szCs w:val="32"/>
          <w:lang w:val="en-US" w:eastAsia="zh-CN"/>
        </w:rPr>
        <w:t>三</w:t>
      </w:r>
      <w:r>
        <w:rPr>
          <w:rFonts w:hint="eastAsia" w:ascii="楷体" w:hAnsi="楷体" w:eastAsia="楷体" w:cs="楷体"/>
          <w:b w:val="0"/>
          <w:bCs/>
          <w:sz w:val="32"/>
          <w:szCs w:val="32"/>
        </w:rPr>
        <w:t>、加大用地</w:t>
      </w:r>
      <w:bookmarkEnd w:id="75"/>
      <w:r>
        <w:rPr>
          <w:rFonts w:hint="eastAsia" w:ascii="楷体" w:hAnsi="楷体" w:eastAsia="楷体" w:cs="楷体"/>
          <w:b w:val="0"/>
          <w:bCs/>
          <w:sz w:val="32"/>
          <w:szCs w:val="32"/>
        </w:rPr>
        <w:t>支持</w:t>
      </w:r>
    </w:p>
    <w:p w14:paraId="5303553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一是将交通基础设施建设用地纳入土地利用总体规划和城市总体规划中统筹考虑，保障重大项目的用地指标，优先安排服务港口发展、沿海产业发展的重大交通基础设施用地。二是放宽交通枢纽的用地属性限制，针对目前交通枢纽的用地性质存在的争议，进一步明确交通枢纽的用地属性，促进交通枢纽土地综合开发。并积极争取政府土地增值反哺交通发展的政策。</w:t>
      </w:r>
    </w:p>
    <w:p w14:paraId="7BAABBA3">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b w:val="0"/>
          <w:bCs/>
          <w:sz w:val="32"/>
          <w:szCs w:val="32"/>
        </w:rPr>
      </w:pPr>
      <w:r>
        <w:rPr>
          <w:rFonts w:hint="eastAsia" w:ascii="楷体" w:hAnsi="楷体" w:eastAsia="楷体" w:cs="楷体"/>
          <w:b w:val="0"/>
          <w:bCs/>
          <w:sz w:val="32"/>
          <w:szCs w:val="32"/>
          <w:lang w:val="en-US" w:eastAsia="zh-CN"/>
        </w:rPr>
        <w:t>四</w:t>
      </w:r>
      <w:r>
        <w:rPr>
          <w:rFonts w:hint="eastAsia" w:ascii="楷体" w:hAnsi="楷体" w:eastAsia="楷体" w:cs="楷体"/>
          <w:b w:val="0"/>
          <w:bCs/>
          <w:sz w:val="32"/>
          <w:szCs w:val="32"/>
        </w:rPr>
        <w:t>、深化体制改革</w:t>
      </w:r>
      <w:bookmarkEnd w:id="59"/>
    </w:p>
    <w:p w14:paraId="7D540034">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eastAsia="zh-CN"/>
        </w:rPr>
      </w:pPr>
      <w:bookmarkStart w:id="76" w:name="_Toc393726392"/>
      <w:r>
        <w:rPr>
          <w:rFonts w:hint="eastAsia" w:ascii="Times New Roman" w:hAnsi="Times New Roman" w:eastAsia="仿宋_GB2312" w:cs="Times New Roman"/>
          <w:sz w:val="32"/>
          <w:szCs w:val="32"/>
          <w:lang w:val="zh-CN" w:eastAsia="zh-CN"/>
        </w:rPr>
        <w:t>认真学习、正确把握和贯彻落实省市、区级主管部门一系列改革精神和各项举措，全面深入推进交通运输体制机制改革。进一步简政放权，继续取消和下放一批行政审批事项，加强监督、规范运行，要对非许可行政审批事项开展清理；围绕加快推进综合运输体系建设，在完善发展规划、制度等方面加大改革创新力度；要转变执法重点，加强市场主体和市场行为的监督管理；按照省市区统一部署稳妥实施事业单位分类改革。对省市区即将深化的改革，加强研究与对接，提前做好功课，争取工作主动，推动交通运输又好又快发展。</w:t>
      </w:r>
    </w:p>
    <w:bookmarkEnd w:id="76"/>
    <w:p w14:paraId="5B5BFF5C">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b w:val="0"/>
          <w:bCs/>
          <w:sz w:val="32"/>
          <w:szCs w:val="32"/>
        </w:rPr>
      </w:pPr>
      <w:r>
        <w:rPr>
          <w:rFonts w:hint="eastAsia" w:ascii="楷体" w:hAnsi="楷体" w:eastAsia="楷体" w:cs="楷体"/>
          <w:b w:val="0"/>
          <w:bCs/>
          <w:sz w:val="32"/>
          <w:szCs w:val="32"/>
          <w:lang w:val="en-US" w:eastAsia="zh-CN"/>
        </w:rPr>
        <w:t>五</w:t>
      </w:r>
      <w:r>
        <w:rPr>
          <w:rFonts w:hint="eastAsia" w:ascii="楷体" w:hAnsi="楷体" w:eastAsia="楷体" w:cs="楷体"/>
          <w:b w:val="0"/>
          <w:bCs/>
          <w:sz w:val="32"/>
          <w:szCs w:val="32"/>
        </w:rPr>
        <w:t>、加强宣传</w:t>
      </w:r>
    </w:p>
    <w:p w14:paraId="6F5847F9">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继续加强宣传，加深对“经济要发展，交通要先行”的认识，特别要加强对交通运输作为决定连云区经济发展和区域竞争力的关键作用的认识和宣传，把解决交通运输问题作为实现连云区经济和社会发展“十四五”规划、率先基本实现现代化和率先实现小康社会宏伟战略目标的重要基础加以重视。争取公共财政的支持，争取社会的重视。通过大力宣传，努力形成“政府重视、财政支持、交通实施、部门配合”的有利局面。</w:t>
      </w:r>
    </w:p>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14:paraId="3A3556A3">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b w:val="0"/>
          <w:bCs/>
          <w:sz w:val="32"/>
          <w:szCs w:val="32"/>
        </w:rPr>
      </w:pPr>
      <w:r>
        <w:rPr>
          <w:rFonts w:hint="eastAsia" w:ascii="楷体" w:hAnsi="楷体" w:eastAsia="楷体" w:cs="楷体"/>
          <w:b w:val="0"/>
          <w:bCs/>
          <w:sz w:val="32"/>
          <w:szCs w:val="32"/>
          <w:lang w:val="en-US" w:eastAsia="zh-CN"/>
        </w:rPr>
        <w:t>六</w:t>
      </w:r>
      <w:r>
        <w:rPr>
          <w:rFonts w:hint="eastAsia" w:ascii="楷体" w:hAnsi="楷体" w:eastAsia="楷体" w:cs="楷体"/>
          <w:b w:val="0"/>
          <w:bCs/>
          <w:sz w:val="32"/>
          <w:szCs w:val="32"/>
        </w:rPr>
        <w:t>、实施人才工程</w:t>
      </w:r>
    </w:p>
    <w:p w14:paraId="26285F5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zh-CN" w:eastAsia="zh-CN"/>
        </w:rPr>
        <w:sectPr>
          <w:headerReference r:id="rId11" w:type="default"/>
          <w:pgSz w:w="11906" w:h="16838"/>
          <w:pgMar w:top="2098" w:right="1474" w:bottom="1984" w:left="1587" w:header="851" w:footer="992" w:gutter="0"/>
          <w:pgNumType w:fmt="numberInDash"/>
          <w:cols w:space="425" w:num="1"/>
          <w:docGrid w:type="lines" w:linePitch="312" w:charSpace="0"/>
        </w:sectPr>
      </w:pPr>
      <w:r>
        <w:rPr>
          <w:rFonts w:hint="eastAsia" w:ascii="Times New Roman" w:hAnsi="Times New Roman" w:eastAsia="仿宋_GB2312" w:cs="Times New Roman"/>
          <w:sz w:val="32"/>
          <w:szCs w:val="32"/>
          <w:lang w:val="zh-CN" w:eastAsia="zh-CN"/>
        </w:rPr>
        <w:t>继续坚持“人才强交”理念，着力培养“能吃苦、肯奉献、善攻坚、讲团结”的交通队伍，打造连云区一流的核心竞争力。首先，推进学习型队伍建设。健全教育培训机制和学习鼓励机制，创新学习培训的内容和方式方法，加强理论武装、知识更新和时间锻炼，培育复合型、务实性、开拓型干部队伍，以干部队伍能力素质的提升引领推动交通运输事业跨越发展。二是深化人事制度改革，建立与综合交通运输体系相适应的管理体质和规范高效的用人机制。探索创新人才工作体制机制，进一步深化干部人事制度改革，推行实绩考评机制，达到人才培养与中心工作的互融共进。</w:t>
      </w:r>
    </w:p>
    <w:p w14:paraId="76150EEB">
      <w:pPr>
        <w:pageBreakBefore w:val="0"/>
        <w:kinsoku/>
        <w:wordWrap/>
        <w:overflowPunct/>
        <w:topLinePunct w:val="0"/>
        <w:autoSpaceDE/>
        <w:autoSpaceDN/>
        <w:bidi w:val="0"/>
        <w:adjustRightInd/>
        <w:snapToGrid/>
        <w:ind w:left="0" w:leftChars="0"/>
        <w:jc w:val="center"/>
        <w:rPr>
          <w:b/>
          <w:bCs/>
          <w:sz w:val="30"/>
          <w:szCs w:val="30"/>
        </w:rPr>
      </w:pPr>
      <w:r>
        <w:rPr>
          <w:rFonts w:hint="eastAsia"/>
          <w:b/>
          <w:bCs/>
          <w:sz w:val="30"/>
          <w:szCs w:val="30"/>
        </w:rPr>
        <w:t>连云区”十四五“重点项目计划表</w:t>
      </w:r>
    </w:p>
    <w:tbl>
      <w:tblPr>
        <w:tblStyle w:val="16"/>
        <w:tblW w:w="13745" w:type="dxa"/>
        <w:jc w:val="center"/>
        <w:tblLayout w:type="autofit"/>
        <w:tblCellMar>
          <w:top w:w="0" w:type="dxa"/>
          <w:left w:w="108" w:type="dxa"/>
          <w:bottom w:w="0" w:type="dxa"/>
          <w:right w:w="108" w:type="dxa"/>
        </w:tblCellMar>
      </w:tblPr>
      <w:tblGrid>
        <w:gridCol w:w="980"/>
        <w:gridCol w:w="417"/>
        <w:gridCol w:w="1557"/>
        <w:gridCol w:w="2385"/>
        <w:gridCol w:w="1319"/>
        <w:gridCol w:w="2126"/>
        <w:gridCol w:w="1984"/>
        <w:gridCol w:w="1276"/>
        <w:gridCol w:w="1701"/>
      </w:tblGrid>
      <w:tr w14:paraId="5030BB0D">
        <w:tblPrEx>
          <w:tblCellMar>
            <w:top w:w="0" w:type="dxa"/>
            <w:left w:w="108" w:type="dxa"/>
            <w:bottom w:w="0" w:type="dxa"/>
            <w:right w:w="108" w:type="dxa"/>
          </w:tblCellMar>
        </w:tblPrEx>
        <w:trPr>
          <w:trHeight w:val="499" w:hRule="atLeast"/>
          <w:jc w:val="center"/>
        </w:trPr>
        <w:tc>
          <w:tcPr>
            <w:tcW w:w="980" w:type="dxa"/>
            <w:vMerge w:val="restart"/>
            <w:tcBorders>
              <w:top w:val="single" w:color="auto" w:sz="4" w:space="0"/>
              <w:left w:val="single" w:color="auto" w:sz="4" w:space="0"/>
              <w:right w:val="single" w:color="auto" w:sz="4" w:space="0"/>
            </w:tcBorders>
            <w:shd w:val="clear" w:color="000000" w:fill="5B9BD5"/>
            <w:vAlign w:val="center"/>
          </w:tcPr>
          <w:p w14:paraId="2B825FBE">
            <w:pPr>
              <w:pageBreakBefore w:val="0"/>
              <w:kinsoku/>
              <w:wordWrap/>
              <w:overflowPunct/>
              <w:topLinePunct w:val="0"/>
              <w:autoSpaceDE/>
              <w:autoSpaceDN/>
              <w:bidi w:val="0"/>
              <w:adjustRightInd/>
              <w:snapToGrid/>
              <w:ind w:left="0" w:leftChars="0"/>
              <w:jc w:val="center"/>
              <w:rPr>
                <w:rFonts w:hint="eastAsia" w:ascii="Arial" w:hAnsi="Arial" w:eastAsia="等线" w:cs="Arial"/>
                <w:b/>
                <w:bCs/>
                <w:color w:val="FFFFFF"/>
                <w:sz w:val="18"/>
                <w:szCs w:val="18"/>
              </w:rPr>
            </w:pPr>
            <w:r>
              <w:rPr>
                <w:rFonts w:hint="eastAsia" w:ascii="Arial" w:hAnsi="Arial" w:eastAsia="等线" w:cs="Arial"/>
                <w:b/>
                <w:bCs/>
                <w:color w:val="FFFFFF"/>
                <w:sz w:val="18"/>
                <w:szCs w:val="18"/>
              </w:rPr>
              <w:t>主要任务</w:t>
            </w:r>
          </w:p>
        </w:tc>
        <w:tc>
          <w:tcPr>
            <w:tcW w:w="417" w:type="dxa"/>
            <w:vMerge w:val="restart"/>
            <w:tcBorders>
              <w:top w:val="single" w:color="auto" w:sz="4" w:space="0"/>
              <w:left w:val="single" w:color="auto" w:sz="4" w:space="0"/>
              <w:bottom w:val="single" w:color="auto" w:sz="4" w:space="0"/>
              <w:right w:val="single" w:color="auto" w:sz="4" w:space="0"/>
            </w:tcBorders>
            <w:shd w:val="clear" w:color="000000" w:fill="5B9BD5"/>
            <w:vAlign w:val="center"/>
          </w:tcPr>
          <w:p w14:paraId="62F42AE5">
            <w:pPr>
              <w:pageBreakBefore w:val="0"/>
              <w:kinsoku/>
              <w:wordWrap/>
              <w:overflowPunct/>
              <w:topLinePunct w:val="0"/>
              <w:autoSpaceDE/>
              <w:autoSpaceDN/>
              <w:bidi w:val="0"/>
              <w:adjustRightInd/>
              <w:snapToGrid/>
              <w:ind w:left="0" w:leftChars="0"/>
              <w:jc w:val="center"/>
              <w:rPr>
                <w:rFonts w:ascii="Arial" w:hAnsi="Arial" w:eastAsia="等线" w:cs="Arial"/>
                <w:b/>
                <w:bCs/>
                <w:color w:val="FFFFFF"/>
                <w:sz w:val="18"/>
                <w:szCs w:val="18"/>
              </w:rPr>
            </w:pPr>
            <w:r>
              <w:rPr>
                <w:rFonts w:ascii="Arial" w:hAnsi="Arial" w:eastAsia="等线" w:cs="Arial"/>
                <w:b/>
                <w:bCs/>
                <w:color w:val="FFFFFF"/>
                <w:sz w:val="18"/>
                <w:szCs w:val="18"/>
              </w:rPr>
              <w:t>序号</w:t>
            </w:r>
          </w:p>
        </w:tc>
        <w:tc>
          <w:tcPr>
            <w:tcW w:w="1557" w:type="dxa"/>
            <w:vMerge w:val="restart"/>
            <w:tcBorders>
              <w:top w:val="single" w:color="auto" w:sz="4" w:space="0"/>
              <w:left w:val="single" w:color="auto" w:sz="4" w:space="0"/>
              <w:bottom w:val="single" w:color="auto" w:sz="4" w:space="0"/>
              <w:right w:val="single" w:color="auto" w:sz="4" w:space="0"/>
            </w:tcBorders>
            <w:shd w:val="clear" w:color="000000" w:fill="5B9BD5"/>
            <w:vAlign w:val="center"/>
          </w:tcPr>
          <w:p w14:paraId="3A582C8C">
            <w:pPr>
              <w:pageBreakBefore w:val="0"/>
              <w:kinsoku/>
              <w:wordWrap/>
              <w:overflowPunct/>
              <w:topLinePunct w:val="0"/>
              <w:autoSpaceDE/>
              <w:autoSpaceDN/>
              <w:bidi w:val="0"/>
              <w:adjustRightInd/>
              <w:snapToGrid/>
              <w:ind w:left="0" w:leftChars="0"/>
              <w:jc w:val="center"/>
              <w:rPr>
                <w:rFonts w:ascii="Arial" w:hAnsi="Arial" w:eastAsia="等线" w:cs="Arial"/>
                <w:b/>
                <w:bCs/>
                <w:color w:val="FFFFFF"/>
                <w:sz w:val="18"/>
                <w:szCs w:val="18"/>
              </w:rPr>
            </w:pPr>
            <w:r>
              <w:rPr>
                <w:rFonts w:ascii="Arial" w:hAnsi="Arial" w:eastAsia="等线" w:cs="Arial"/>
                <w:b/>
                <w:bCs/>
                <w:color w:val="FFFFFF"/>
                <w:sz w:val="18"/>
                <w:szCs w:val="18"/>
              </w:rPr>
              <w:t>项目名称</w:t>
            </w:r>
          </w:p>
        </w:tc>
        <w:tc>
          <w:tcPr>
            <w:tcW w:w="2385" w:type="dxa"/>
            <w:vMerge w:val="restart"/>
            <w:tcBorders>
              <w:top w:val="single" w:color="auto" w:sz="4" w:space="0"/>
              <w:left w:val="single" w:color="auto" w:sz="4" w:space="0"/>
              <w:bottom w:val="single" w:color="auto" w:sz="4" w:space="0"/>
              <w:right w:val="single" w:color="auto" w:sz="4" w:space="0"/>
            </w:tcBorders>
            <w:shd w:val="clear" w:color="000000" w:fill="5B9BD5"/>
            <w:vAlign w:val="center"/>
          </w:tcPr>
          <w:p w14:paraId="0F154CAF">
            <w:pPr>
              <w:pageBreakBefore w:val="0"/>
              <w:kinsoku/>
              <w:wordWrap/>
              <w:overflowPunct/>
              <w:topLinePunct w:val="0"/>
              <w:autoSpaceDE/>
              <w:autoSpaceDN/>
              <w:bidi w:val="0"/>
              <w:adjustRightInd/>
              <w:snapToGrid/>
              <w:ind w:left="0" w:leftChars="0"/>
              <w:jc w:val="center"/>
              <w:rPr>
                <w:rFonts w:ascii="Arial" w:hAnsi="Arial" w:eastAsia="等线" w:cs="Arial"/>
                <w:b/>
                <w:bCs/>
                <w:color w:val="FFFFFF"/>
                <w:sz w:val="18"/>
                <w:szCs w:val="18"/>
              </w:rPr>
            </w:pPr>
            <w:r>
              <w:rPr>
                <w:rFonts w:ascii="Arial" w:hAnsi="Arial" w:eastAsia="等线" w:cs="Arial"/>
                <w:b/>
                <w:bCs/>
                <w:color w:val="FFFFFF"/>
                <w:sz w:val="18"/>
                <w:szCs w:val="18"/>
              </w:rPr>
              <w:t>起讫点</w:t>
            </w:r>
          </w:p>
        </w:tc>
        <w:tc>
          <w:tcPr>
            <w:tcW w:w="1319" w:type="dxa"/>
            <w:vMerge w:val="restart"/>
            <w:tcBorders>
              <w:top w:val="single" w:color="auto" w:sz="4" w:space="0"/>
              <w:left w:val="single" w:color="auto" w:sz="4" w:space="0"/>
              <w:bottom w:val="single" w:color="auto" w:sz="4" w:space="0"/>
              <w:right w:val="single" w:color="auto" w:sz="4" w:space="0"/>
            </w:tcBorders>
            <w:shd w:val="clear" w:color="000000" w:fill="5B9BD5"/>
            <w:vAlign w:val="center"/>
          </w:tcPr>
          <w:p w14:paraId="559550EE">
            <w:pPr>
              <w:pageBreakBefore w:val="0"/>
              <w:kinsoku/>
              <w:wordWrap/>
              <w:overflowPunct/>
              <w:topLinePunct w:val="0"/>
              <w:autoSpaceDE/>
              <w:autoSpaceDN/>
              <w:bidi w:val="0"/>
              <w:adjustRightInd/>
              <w:snapToGrid/>
              <w:ind w:left="0" w:leftChars="0"/>
              <w:jc w:val="center"/>
              <w:rPr>
                <w:b/>
                <w:bCs/>
                <w:color w:val="FFFFFF"/>
                <w:sz w:val="18"/>
                <w:szCs w:val="18"/>
              </w:rPr>
            </w:pPr>
            <w:r>
              <w:rPr>
                <w:rFonts w:hint="eastAsia"/>
                <w:b/>
                <w:bCs/>
                <w:color w:val="FFFFFF"/>
                <w:sz w:val="18"/>
                <w:szCs w:val="18"/>
              </w:rPr>
              <w:t>建设性质</w:t>
            </w:r>
          </w:p>
        </w:tc>
        <w:tc>
          <w:tcPr>
            <w:tcW w:w="2126" w:type="dxa"/>
            <w:vMerge w:val="restart"/>
            <w:tcBorders>
              <w:top w:val="single" w:color="auto" w:sz="4" w:space="0"/>
              <w:left w:val="single" w:color="auto" w:sz="4" w:space="0"/>
              <w:bottom w:val="single" w:color="auto" w:sz="4" w:space="0"/>
              <w:right w:val="single" w:color="auto" w:sz="4" w:space="0"/>
            </w:tcBorders>
            <w:shd w:val="clear" w:color="000000" w:fill="5B9BD5"/>
            <w:vAlign w:val="center"/>
          </w:tcPr>
          <w:p w14:paraId="429BD642">
            <w:pPr>
              <w:pageBreakBefore w:val="0"/>
              <w:kinsoku/>
              <w:wordWrap/>
              <w:overflowPunct/>
              <w:topLinePunct w:val="0"/>
              <w:autoSpaceDE/>
              <w:autoSpaceDN/>
              <w:bidi w:val="0"/>
              <w:adjustRightInd/>
              <w:snapToGrid/>
              <w:ind w:left="0" w:leftChars="0"/>
              <w:jc w:val="center"/>
              <w:rPr>
                <w:rFonts w:hint="eastAsia"/>
                <w:b/>
                <w:bCs/>
                <w:color w:val="FFFFFF"/>
                <w:sz w:val="18"/>
                <w:szCs w:val="18"/>
              </w:rPr>
            </w:pPr>
            <w:r>
              <w:rPr>
                <w:rFonts w:hint="eastAsia"/>
                <w:b/>
                <w:bCs/>
                <w:color w:val="FFFFFF"/>
                <w:sz w:val="18"/>
                <w:szCs w:val="18"/>
              </w:rPr>
              <w:t>建设规模</w:t>
            </w:r>
          </w:p>
        </w:tc>
        <w:tc>
          <w:tcPr>
            <w:tcW w:w="1984" w:type="dxa"/>
            <w:vMerge w:val="restart"/>
            <w:tcBorders>
              <w:top w:val="single" w:color="auto" w:sz="4" w:space="0"/>
              <w:left w:val="single" w:color="auto" w:sz="4" w:space="0"/>
              <w:bottom w:val="single" w:color="auto" w:sz="4" w:space="0"/>
              <w:right w:val="single" w:color="auto" w:sz="4" w:space="0"/>
            </w:tcBorders>
            <w:shd w:val="clear" w:color="000000" w:fill="5B9BD5"/>
            <w:vAlign w:val="center"/>
          </w:tcPr>
          <w:p w14:paraId="57833D0D">
            <w:pPr>
              <w:pageBreakBefore w:val="0"/>
              <w:kinsoku/>
              <w:wordWrap/>
              <w:overflowPunct/>
              <w:topLinePunct w:val="0"/>
              <w:autoSpaceDE/>
              <w:autoSpaceDN/>
              <w:bidi w:val="0"/>
              <w:adjustRightInd/>
              <w:snapToGrid/>
              <w:ind w:left="0" w:leftChars="0"/>
              <w:jc w:val="center"/>
              <w:rPr>
                <w:rFonts w:hint="eastAsia"/>
                <w:b/>
                <w:bCs/>
                <w:color w:val="FFFFFF"/>
                <w:sz w:val="18"/>
                <w:szCs w:val="18"/>
              </w:rPr>
            </w:pPr>
            <w:r>
              <w:rPr>
                <w:rFonts w:hint="eastAsia"/>
                <w:b/>
                <w:bCs/>
                <w:color w:val="FFFFFF"/>
                <w:sz w:val="18"/>
                <w:szCs w:val="18"/>
              </w:rPr>
              <w:t>建设年限</w:t>
            </w:r>
          </w:p>
        </w:tc>
        <w:tc>
          <w:tcPr>
            <w:tcW w:w="1276" w:type="dxa"/>
            <w:tcBorders>
              <w:top w:val="single" w:color="auto" w:sz="4" w:space="0"/>
              <w:left w:val="nil"/>
              <w:bottom w:val="single" w:color="auto" w:sz="4" w:space="0"/>
              <w:right w:val="single" w:color="auto" w:sz="4" w:space="0"/>
            </w:tcBorders>
            <w:shd w:val="clear" w:color="000000" w:fill="5B9BD5"/>
            <w:vAlign w:val="center"/>
          </w:tcPr>
          <w:p w14:paraId="7C2E737B">
            <w:pPr>
              <w:pageBreakBefore w:val="0"/>
              <w:kinsoku/>
              <w:wordWrap/>
              <w:overflowPunct/>
              <w:topLinePunct w:val="0"/>
              <w:autoSpaceDE/>
              <w:autoSpaceDN/>
              <w:bidi w:val="0"/>
              <w:adjustRightInd/>
              <w:snapToGrid/>
              <w:ind w:left="0" w:leftChars="0"/>
              <w:jc w:val="center"/>
              <w:rPr>
                <w:rFonts w:hint="eastAsia" w:ascii="Arial" w:hAnsi="Arial" w:eastAsia="等线" w:cs="Arial"/>
                <w:b/>
                <w:bCs/>
                <w:color w:val="FFFFFF"/>
                <w:sz w:val="18"/>
                <w:szCs w:val="18"/>
              </w:rPr>
            </w:pPr>
            <w:r>
              <w:rPr>
                <w:rFonts w:ascii="Arial" w:hAnsi="Arial" w:eastAsia="等线" w:cs="Arial"/>
                <w:b/>
                <w:bCs/>
                <w:color w:val="FFFFFF"/>
                <w:sz w:val="18"/>
                <w:szCs w:val="18"/>
              </w:rPr>
              <w:t>估算</w:t>
            </w:r>
            <w:r>
              <w:rPr>
                <w:rFonts w:hint="eastAsia" w:ascii="等线" w:hAnsi="等线" w:eastAsia="等线" w:cs="Arial"/>
                <w:b/>
                <w:bCs/>
                <w:color w:val="FFFFFF"/>
                <w:sz w:val="18"/>
                <w:szCs w:val="18"/>
              </w:rPr>
              <w:t xml:space="preserve"> </w:t>
            </w:r>
            <w:r>
              <w:rPr>
                <w:rFonts w:ascii="Arial" w:hAnsi="Arial" w:eastAsia="等线" w:cs="Arial"/>
                <w:b/>
                <w:bCs/>
                <w:color w:val="FFFFFF"/>
                <w:sz w:val="18"/>
                <w:szCs w:val="18"/>
              </w:rPr>
              <w:t>造价</w:t>
            </w:r>
          </w:p>
        </w:tc>
        <w:tc>
          <w:tcPr>
            <w:tcW w:w="1701" w:type="dxa"/>
            <w:vMerge w:val="restart"/>
            <w:tcBorders>
              <w:top w:val="single" w:color="auto" w:sz="4" w:space="0"/>
              <w:left w:val="single" w:color="auto" w:sz="4" w:space="0"/>
              <w:bottom w:val="single" w:color="000000" w:sz="4" w:space="0"/>
              <w:right w:val="single" w:color="auto" w:sz="4" w:space="0"/>
            </w:tcBorders>
            <w:shd w:val="clear" w:color="000000" w:fill="5B9BD5"/>
            <w:vAlign w:val="center"/>
          </w:tcPr>
          <w:p w14:paraId="4040DED7">
            <w:pPr>
              <w:pageBreakBefore w:val="0"/>
              <w:kinsoku/>
              <w:wordWrap/>
              <w:overflowPunct/>
              <w:topLinePunct w:val="0"/>
              <w:autoSpaceDE/>
              <w:autoSpaceDN/>
              <w:bidi w:val="0"/>
              <w:adjustRightInd/>
              <w:snapToGrid/>
              <w:ind w:left="0" w:leftChars="0"/>
              <w:jc w:val="center"/>
              <w:rPr>
                <w:rFonts w:ascii="Arial" w:hAnsi="Arial" w:eastAsia="等线" w:cs="Arial"/>
                <w:b/>
                <w:bCs/>
                <w:color w:val="FFFFFF"/>
                <w:sz w:val="18"/>
                <w:szCs w:val="18"/>
              </w:rPr>
            </w:pPr>
            <w:r>
              <w:rPr>
                <w:rFonts w:ascii="Arial" w:hAnsi="Arial" w:eastAsia="等线" w:cs="Arial"/>
                <w:b/>
                <w:bCs/>
                <w:color w:val="FFFFFF"/>
                <w:sz w:val="18"/>
                <w:szCs w:val="18"/>
              </w:rPr>
              <w:t>责任单位</w:t>
            </w:r>
          </w:p>
        </w:tc>
      </w:tr>
      <w:tr w14:paraId="43377F52">
        <w:tblPrEx>
          <w:tblCellMar>
            <w:top w:w="0" w:type="dxa"/>
            <w:left w:w="108" w:type="dxa"/>
            <w:bottom w:w="0" w:type="dxa"/>
            <w:right w:w="108" w:type="dxa"/>
          </w:tblCellMar>
        </w:tblPrEx>
        <w:trPr>
          <w:trHeight w:val="495" w:hRule="atLeast"/>
          <w:jc w:val="center"/>
        </w:trPr>
        <w:tc>
          <w:tcPr>
            <w:tcW w:w="980" w:type="dxa"/>
            <w:vMerge w:val="continue"/>
            <w:tcBorders>
              <w:left w:val="single" w:color="auto" w:sz="4" w:space="0"/>
              <w:bottom w:val="single" w:color="auto" w:sz="4" w:space="0"/>
              <w:right w:val="single" w:color="auto" w:sz="4" w:space="0"/>
            </w:tcBorders>
            <w:vAlign w:val="center"/>
          </w:tcPr>
          <w:p w14:paraId="20AD6B9F">
            <w:pPr>
              <w:pageBreakBefore w:val="0"/>
              <w:kinsoku/>
              <w:wordWrap/>
              <w:overflowPunct/>
              <w:topLinePunct w:val="0"/>
              <w:autoSpaceDE/>
              <w:autoSpaceDN/>
              <w:bidi w:val="0"/>
              <w:adjustRightInd/>
              <w:snapToGrid/>
              <w:ind w:left="0" w:leftChars="0"/>
              <w:rPr>
                <w:rFonts w:ascii="Arial" w:hAnsi="Arial" w:eastAsia="等线" w:cs="Arial"/>
                <w:b/>
                <w:bCs/>
                <w:color w:val="FFFFFF"/>
                <w:sz w:val="18"/>
                <w:szCs w:val="18"/>
              </w:rPr>
            </w:pPr>
          </w:p>
        </w:tc>
        <w:tc>
          <w:tcPr>
            <w:tcW w:w="417" w:type="dxa"/>
            <w:vMerge w:val="continue"/>
            <w:tcBorders>
              <w:top w:val="single" w:color="auto" w:sz="4" w:space="0"/>
              <w:left w:val="single" w:color="auto" w:sz="4" w:space="0"/>
              <w:bottom w:val="single" w:color="auto" w:sz="4" w:space="0"/>
              <w:right w:val="single" w:color="auto" w:sz="4" w:space="0"/>
            </w:tcBorders>
            <w:vAlign w:val="center"/>
          </w:tcPr>
          <w:p w14:paraId="69EE0BD9">
            <w:pPr>
              <w:pageBreakBefore w:val="0"/>
              <w:kinsoku/>
              <w:wordWrap/>
              <w:overflowPunct/>
              <w:topLinePunct w:val="0"/>
              <w:autoSpaceDE/>
              <w:autoSpaceDN/>
              <w:bidi w:val="0"/>
              <w:adjustRightInd/>
              <w:snapToGrid/>
              <w:ind w:left="0" w:leftChars="0"/>
              <w:rPr>
                <w:rFonts w:ascii="Arial" w:hAnsi="Arial" w:eastAsia="等线" w:cs="Arial"/>
                <w:b/>
                <w:bCs/>
                <w:color w:val="FFFFFF"/>
                <w:sz w:val="18"/>
                <w:szCs w:val="18"/>
              </w:rPr>
            </w:pPr>
          </w:p>
        </w:tc>
        <w:tc>
          <w:tcPr>
            <w:tcW w:w="1557" w:type="dxa"/>
            <w:vMerge w:val="continue"/>
            <w:tcBorders>
              <w:top w:val="single" w:color="auto" w:sz="4" w:space="0"/>
              <w:left w:val="single" w:color="auto" w:sz="4" w:space="0"/>
              <w:bottom w:val="single" w:color="auto" w:sz="4" w:space="0"/>
              <w:right w:val="single" w:color="auto" w:sz="4" w:space="0"/>
            </w:tcBorders>
            <w:vAlign w:val="center"/>
          </w:tcPr>
          <w:p w14:paraId="1D607B27">
            <w:pPr>
              <w:pageBreakBefore w:val="0"/>
              <w:kinsoku/>
              <w:wordWrap/>
              <w:overflowPunct/>
              <w:topLinePunct w:val="0"/>
              <w:autoSpaceDE/>
              <w:autoSpaceDN/>
              <w:bidi w:val="0"/>
              <w:adjustRightInd/>
              <w:snapToGrid/>
              <w:ind w:left="0" w:leftChars="0"/>
              <w:rPr>
                <w:rFonts w:ascii="Arial" w:hAnsi="Arial" w:eastAsia="等线" w:cs="Arial"/>
                <w:b/>
                <w:bCs/>
                <w:color w:val="FFFFFF"/>
                <w:sz w:val="18"/>
                <w:szCs w:val="18"/>
              </w:rPr>
            </w:pPr>
          </w:p>
        </w:tc>
        <w:tc>
          <w:tcPr>
            <w:tcW w:w="2385" w:type="dxa"/>
            <w:vMerge w:val="continue"/>
            <w:tcBorders>
              <w:top w:val="single" w:color="auto" w:sz="4" w:space="0"/>
              <w:left w:val="single" w:color="auto" w:sz="4" w:space="0"/>
              <w:bottom w:val="single" w:color="auto" w:sz="4" w:space="0"/>
              <w:right w:val="single" w:color="auto" w:sz="4" w:space="0"/>
            </w:tcBorders>
            <w:vAlign w:val="center"/>
          </w:tcPr>
          <w:p w14:paraId="166CCC44">
            <w:pPr>
              <w:pageBreakBefore w:val="0"/>
              <w:kinsoku/>
              <w:wordWrap/>
              <w:overflowPunct/>
              <w:topLinePunct w:val="0"/>
              <w:autoSpaceDE/>
              <w:autoSpaceDN/>
              <w:bidi w:val="0"/>
              <w:adjustRightInd/>
              <w:snapToGrid/>
              <w:ind w:left="0" w:leftChars="0"/>
              <w:rPr>
                <w:rFonts w:ascii="Arial" w:hAnsi="Arial" w:eastAsia="等线" w:cs="Arial"/>
                <w:b/>
                <w:bCs/>
                <w:color w:val="FFFFFF"/>
                <w:sz w:val="18"/>
                <w:szCs w:val="18"/>
              </w:rPr>
            </w:pPr>
          </w:p>
        </w:tc>
        <w:tc>
          <w:tcPr>
            <w:tcW w:w="1319" w:type="dxa"/>
            <w:vMerge w:val="continue"/>
            <w:tcBorders>
              <w:top w:val="single" w:color="auto" w:sz="4" w:space="0"/>
              <w:left w:val="single" w:color="auto" w:sz="4" w:space="0"/>
              <w:bottom w:val="single" w:color="auto" w:sz="4" w:space="0"/>
              <w:right w:val="single" w:color="auto" w:sz="4" w:space="0"/>
            </w:tcBorders>
            <w:vAlign w:val="center"/>
          </w:tcPr>
          <w:p w14:paraId="5DE3D355">
            <w:pPr>
              <w:pageBreakBefore w:val="0"/>
              <w:kinsoku/>
              <w:wordWrap/>
              <w:overflowPunct/>
              <w:topLinePunct w:val="0"/>
              <w:autoSpaceDE/>
              <w:autoSpaceDN/>
              <w:bidi w:val="0"/>
              <w:adjustRightInd/>
              <w:snapToGrid/>
              <w:ind w:left="0" w:leftChars="0"/>
              <w:rPr>
                <w:b/>
                <w:bCs/>
                <w:color w:val="FFFFFF"/>
                <w:sz w:val="18"/>
                <w:szCs w:val="18"/>
              </w:rPr>
            </w:pP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0ACD66E6">
            <w:pPr>
              <w:pageBreakBefore w:val="0"/>
              <w:kinsoku/>
              <w:wordWrap/>
              <w:overflowPunct/>
              <w:topLinePunct w:val="0"/>
              <w:autoSpaceDE/>
              <w:autoSpaceDN/>
              <w:bidi w:val="0"/>
              <w:adjustRightInd/>
              <w:snapToGrid/>
              <w:ind w:left="0" w:leftChars="0"/>
              <w:rPr>
                <w:b/>
                <w:bCs/>
                <w:color w:val="FFFFFF"/>
                <w:sz w:val="18"/>
                <w:szCs w:val="18"/>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73FFF9F7">
            <w:pPr>
              <w:pageBreakBefore w:val="0"/>
              <w:kinsoku/>
              <w:wordWrap/>
              <w:overflowPunct/>
              <w:topLinePunct w:val="0"/>
              <w:autoSpaceDE/>
              <w:autoSpaceDN/>
              <w:bidi w:val="0"/>
              <w:adjustRightInd/>
              <w:snapToGrid/>
              <w:ind w:left="0" w:leftChars="0"/>
              <w:rPr>
                <w:b/>
                <w:bCs/>
                <w:color w:val="FFFFFF"/>
                <w:sz w:val="18"/>
                <w:szCs w:val="18"/>
              </w:rPr>
            </w:pPr>
          </w:p>
        </w:tc>
        <w:tc>
          <w:tcPr>
            <w:tcW w:w="1276" w:type="dxa"/>
            <w:tcBorders>
              <w:top w:val="nil"/>
              <w:left w:val="nil"/>
              <w:bottom w:val="single" w:color="auto" w:sz="4" w:space="0"/>
              <w:right w:val="single" w:color="auto" w:sz="4" w:space="0"/>
            </w:tcBorders>
            <w:shd w:val="clear" w:color="000000" w:fill="5B9BD5"/>
            <w:vAlign w:val="center"/>
          </w:tcPr>
          <w:p w14:paraId="36787BD1">
            <w:pPr>
              <w:pageBreakBefore w:val="0"/>
              <w:kinsoku/>
              <w:wordWrap/>
              <w:overflowPunct/>
              <w:topLinePunct w:val="0"/>
              <w:autoSpaceDE/>
              <w:autoSpaceDN/>
              <w:bidi w:val="0"/>
              <w:adjustRightInd/>
              <w:snapToGrid/>
              <w:ind w:left="0" w:leftChars="0"/>
              <w:jc w:val="center"/>
              <w:rPr>
                <w:rFonts w:ascii="Arial" w:hAnsi="Arial" w:eastAsia="等线" w:cs="Arial"/>
                <w:b/>
                <w:bCs/>
                <w:color w:val="FFFFFF"/>
                <w:sz w:val="18"/>
                <w:szCs w:val="18"/>
              </w:rPr>
            </w:pPr>
            <w:r>
              <w:rPr>
                <w:rFonts w:ascii="Arial" w:hAnsi="Arial" w:eastAsia="等线" w:cs="Arial"/>
                <w:b/>
                <w:bCs/>
                <w:color w:val="FFFFFF"/>
                <w:sz w:val="18"/>
                <w:szCs w:val="18"/>
              </w:rPr>
              <w:t>（亿元）</w:t>
            </w:r>
          </w:p>
        </w:tc>
        <w:tc>
          <w:tcPr>
            <w:tcW w:w="1701" w:type="dxa"/>
            <w:vMerge w:val="continue"/>
            <w:tcBorders>
              <w:top w:val="single" w:color="auto" w:sz="4" w:space="0"/>
              <w:left w:val="single" w:color="auto" w:sz="4" w:space="0"/>
              <w:bottom w:val="single" w:color="000000" w:sz="4" w:space="0"/>
              <w:right w:val="single" w:color="auto" w:sz="4" w:space="0"/>
            </w:tcBorders>
            <w:vAlign w:val="center"/>
          </w:tcPr>
          <w:p w14:paraId="4D7971E0">
            <w:pPr>
              <w:pageBreakBefore w:val="0"/>
              <w:kinsoku/>
              <w:wordWrap/>
              <w:overflowPunct/>
              <w:topLinePunct w:val="0"/>
              <w:autoSpaceDE/>
              <w:autoSpaceDN/>
              <w:bidi w:val="0"/>
              <w:adjustRightInd/>
              <w:snapToGrid/>
              <w:ind w:left="0" w:leftChars="0"/>
              <w:rPr>
                <w:rFonts w:ascii="Arial" w:hAnsi="Arial" w:eastAsia="等线" w:cs="Arial"/>
                <w:b/>
                <w:bCs/>
                <w:color w:val="FFFFFF"/>
                <w:sz w:val="18"/>
                <w:szCs w:val="18"/>
              </w:rPr>
            </w:pPr>
          </w:p>
        </w:tc>
      </w:tr>
      <w:tr w14:paraId="7B94AE22">
        <w:tblPrEx>
          <w:tblCellMar>
            <w:top w:w="0" w:type="dxa"/>
            <w:left w:w="108" w:type="dxa"/>
            <w:bottom w:w="0" w:type="dxa"/>
            <w:right w:w="108" w:type="dxa"/>
          </w:tblCellMar>
        </w:tblPrEx>
        <w:trPr>
          <w:trHeight w:val="499" w:hRule="atLeast"/>
          <w:jc w:val="center"/>
        </w:trPr>
        <w:tc>
          <w:tcPr>
            <w:tcW w:w="980" w:type="dxa"/>
            <w:vMerge w:val="restart"/>
            <w:tcBorders>
              <w:top w:val="nil"/>
              <w:left w:val="single" w:color="auto" w:sz="4" w:space="0"/>
              <w:right w:val="single" w:color="auto" w:sz="4" w:space="0"/>
            </w:tcBorders>
            <w:shd w:val="clear" w:color="000000" w:fill="D2DEEF"/>
            <w:vAlign w:val="center"/>
          </w:tcPr>
          <w:p w14:paraId="6FA5AE96">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r>
              <w:rPr>
                <w:rFonts w:hint="eastAsia" w:ascii="Arial" w:hAnsi="Arial" w:eastAsia="等线" w:cs="Arial"/>
                <w:b/>
                <w:bCs/>
                <w:color w:val="000000"/>
                <w:sz w:val="18"/>
                <w:szCs w:val="18"/>
              </w:rPr>
              <w:t>快速通道</w:t>
            </w:r>
          </w:p>
          <w:p w14:paraId="2B259EE3">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r>
              <w:rPr>
                <w:rFonts w:hint="eastAsia" w:ascii="Arial" w:hAnsi="Arial" w:eastAsia="等线" w:cs="Arial"/>
                <w:b/>
                <w:bCs/>
                <w:color w:val="000000"/>
                <w:sz w:val="18"/>
                <w:szCs w:val="18"/>
              </w:rPr>
              <w:t>建设</w:t>
            </w:r>
          </w:p>
        </w:tc>
        <w:tc>
          <w:tcPr>
            <w:tcW w:w="417" w:type="dxa"/>
            <w:tcBorders>
              <w:top w:val="nil"/>
              <w:left w:val="single" w:color="auto" w:sz="4" w:space="0"/>
              <w:bottom w:val="single" w:color="auto" w:sz="4" w:space="0"/>
              <w:right w:val="single" w:color="auto" w:sz="4" w:space="0"/>
            </w:tcBorders>
            <w:shd w:val="clear" w:color="000000" w:fill="D2DEEF"/>
            <w:vAlign w:val="center"/>
          </w:tcPr>
          <w:p w14:paraId="0BCA58AA">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r>
              <w:rPr>
                <w:rFonts w:ascii="Arial" w:hAnsi="Arial" w:eastAsia="等线" w:cs="Arial"/>
                <w:b/>
                <w:bCs/>
                <w:color w:val="000000"/>
                <w:sz w:val="18"/>
                <w:szCs w:val="18"/>
              </w:rPr>
              <w:t>1</w:t>
            </w:r>
          </w:p>
        </w:tc>
        <w:tc>
          <w:tcPr>
            <w:tcW w:w="1557" w:type="dxa"/>
            <w:tcBorders>
              <w:top w:val="nil"/>
              <w:left w:val="nil"/>
              <w:bottom w:val="single" w:color="auto" w:sz="4" w:space="0"/>
              <w:right w:val="single" w:color="auto" w:sz="4" w:space="0"/>
            </w:tcBorders>
            <w:shd w:val="clear" w:color="000000" w:fill="D2DEEF"/>
            <w:vAlign w:val="center"/>
          </w:tcPr>
          <w:p w14:paraId="697DF494">
            <w:pPr>
              <w:pageBreakBefore w:val="0"/>
              <w:kinsoku/>
              <w:wordWrap/>
              <w:overflowPunct/>
              <w:topLinePunct w:val="0"/>
              <w:autoSpaceDE/>
              <w:autoSpaceDN/>
              <w:bidi w:val="0"/>
              <w:adjustRightInd/>
              <w:snapToGrid/>
              <w:ind w:left="0" w:leftChars="0"/>
              <w:jc w:val="center"/>
              <w:rPr>
                <w:b/>
                <w:bCs/>
                <w:color w:val="000000"/>
                <w:sz w:val="18"/>
                <w:szCs w:val="18"/>
              </w:rPr>
            </w:pPr>
            <w:r>
              <w:rPr>
                <w:rFonts w:hint="eastAsia"/>
                <w:b/>
                <w:bCs/>
                <w:color w:val="000000"/>
                <w:sz w:val="18"/>
                <w:szCs w:val="18"/>
              </w:rPr>
              <w:t>港城大道快速路</w:t>
            </w:r>
          </w:p>
        </w:tc>
        <w:tc>
          <w:tcPr>
            <w:tcW w:w="2385" w:type="dxa"/>
            <w:tcBorders>
              <w:top w:val="nil"/>
              <w:left w:val="nil"/>
              <w:bottom w:val="single" w:color="auto" w:sz="4" w:space="0"/>
              <w:right w:val="single" w:color="auto" w:sz="4" w:space="0"/>
            </w:tcBorders>
            <w:shd w:val="clear" w:color="000000" w:fill="D2DEEF"/>
            <w:vAlign w:val="center"/>
          </w:tcPr>
          <w:p w14:paraId="652A3B72">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凌洲路—新光路</w:t>
            </w:r>
          </w:p>
        </w:tc>
        <w:tc>
          <w:tcPr>
            <w:tcW w:w="1319" w:type="dxa"/>
            <w:tcBorders>
              <w:top w:val="nil"/>
              <w:left w:val="nil"/>
              <w:bottom w:val="single" w:color="auto" w:sz="4" w:space="0"/>
              <w:right w:val="single" w:color="auto" w:sz="4" w:space="0"/>
            </w:tcBorders>
            <w:shd w:val="clear" w:color="000000" w:fill="D2DEEF"/>
            <w:vAlign w:val="center"/>
          </w:tcPr>
          <w:p w14:paraId="58876507">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改扩建</w:t>
            </w:r>
          </w:p>
        </w:tc>
        <w:tc>
          <w:tcPr>
            <w:tcW w:w="2126" w:type="dxa"/>
            <w:tcBorders>
              <w:top w:val="nil"/>
              <w:left w:val="nil"/>
              <w:bottom w:val="single" w:color="auto" w:sz="4" w:space="0"/>
              <w:right w:val="single" w:color="auto" w:sz="4" w:space="0"/>
            </w:tcBorders>
            <w:shd w:val="clear" w:color="000000" w:fill="D2DEEF"/>
            <w:vAlign w:val="center"/>
          </w:tcPr>
          <w:p w14:paraId="73B2015F">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18.8km，快速化</w:t>
            </w:r>
          </w:p>
        </w:tc>
        <w:tc>
          <w:tcPr>
            <w:tcW w:w="1984" w:type="dxa"/>
            <w:tcBorders>
              <w:top w:val="nil"/>
              <w:left w:val="nil"/>
              <w:bottom w:val="single" w:color="auto" w:sz="4" w:space="0"/>
              <w:right w:val="single" w:color="auto" w:sz="4" w:space="0"/>
            </w:tcBorders>
            <w:shd w:val="clear" w:color="000000" w:fill="D2DEEF"/>
            <w:vAlign w:val="center"/>
          </w:tcPr>
          <w:p w14:paraId="710647D0">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2022年上半年开工</w:t>
            </w:r>
          </w:p>
        </w:tc>
        <w:tc>
          <w:tcPr>
            <w:tcW w:w="1276" w:type="dxa"/>
            <w:tcBorders>
              <w:top w:val="nil"/>
              <w:left w:val="nil"/>
              <w:bottom w:val="single" w:color="auto" w:sz="4" w:space="0"/>
              <w:right w:val="single" w:color="auto" w:sz="4" w:space="0"/>
            </w:tcBorders>
            <w:shd w:val="clear" w:color="000000" w:fill="D2DEEF"/>
            <w:vAlign w:val="center"/>
          </w:tcPr>
          <w:p w14:paraId="1A42EDCE">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30.9</w:t>
            </w:r>
          </w:p>
        </w:tc>
        <w:tc>
          <w:tcPr>
            <w:tcW w:w="1701" w:type="dxa"/>
            <w:tcBorders>
              <w:top w:val="nil"/>
              <w:left w:val="nil"/>
              <w:bottom w:val="single" w:color="auto" w:sz="4" w:space="0"/>
              <w:right w:val="single" w:color="auto" w:sz="4" w:space="0"/>
            </w:tcBorders>
            <w:shd w:val="clear" w:color="000000" w:fill="D2DEEF"/>
            <w:vAlign w:val="center"/>
          </w:tcPr>
          <w:p w14:paraId="74CBDA06">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7D6BB4B7">
        <w:tblPrEx>
          <w:tblCellMar>
            <w:top w:w="0" w:type="dxa"/>
            <w:left w:w="108" w:type="dxa"/>
            <w:bottom w:w="0" w:type="dxa"/>
            <w:right w:w="108" w:type="dxa"/>
          </w:tblCellMar>
        </w:tblPrEx>
        <w:trPr>
          <w:trHeight w:val="499" w:hRule="atLeast"/>
          <w:jc w:val="center"/>
        </w:trPr>
        <w:tc>
          <w:tcPr>
            <w:tcW w:w="980" w:type="dxa"/>
            <w:vMerge w:val="continue"/>
            <w:tcBorders>
              <w:left w:val="single" w:color="auto" w:sz="4" w:space="0"/>
              <w:right w:val="single" w:color="auto" w:sz="4" w:space="0"/>
            </w:tcBorders>
            <w:shd w:val="clear" w:color="000000" w:fill="D2DEEF"/>
            <w:vAlign w:val="center"/>
          </w:tcPr>
          <w:p w14:paraId="4A67D567">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p>
        </w:tc>
        <w:tc>
          <w:tcPr>
            <w:tcW w:w="417" w:type="dxa"/>
            <w:vMerge w:val="restart"/>
            <w:tcBorders>
              <w:top w:val="nil"/>
              <w:left w:val="single" w:color="auto" w:sz="4" w:space="0"/>
              <w:bottom w:val="single" w:color="auto" w:sz="4" w:space="0"/>
              <w:right w:val="single" w:color="auto" w:sz="4" w:space="0"/>
            </w:tcBorders>
            <w:shd w:val="clear" w:color="000000" w:fill="D2DEEF"/>
            <w:vAlign w:val="center"/>
          </w:tcPr>
          <w:p w14:paraId="0F5C534C">
            <w:pPr>
              <w:pageBreakBefore w:val="0"/>
              <w:kinsoku/>
              <w:wordWrap/>
              <w:overflowPunct/>
              <w:topLinePunct w:val="0"/>
              <w:autoSpaceDE/>
              <w:autoSpaceDN/>
              <w:bidi w:val="0"/>
              <w:adjustRightInd/>
              <w:snapToGrid/>
              <w:ind w:left="0" w:leftChars="0"/>
              <w:jc w:val="center"/>
              <w:rPr>
                <w:rFonts w:hint="eastAsia" w:ascii="Arial" w:hAnsi="Arial" w:eastAsia="等线" w:cs="Arial"/>
                <w:b/>
                <w:bCs/>
                <w:color w:val="000000"/>
                <w:sz w:val="18"/>
                <w:szCs w:val="18"/>
              </w:rPr>
            </w:pPr>
            <w:r>
              <w:rPr>
                <w:rFonts w:ascii="Arial" w:hAnsi="Arial" w:eastAsia="等线" w:cs="Arial"/>
                <w:b/>
                <w:bCs/>
                <w:color w:val="000000"/>
                <w:sz w:val="18"/>
                <w:szCs w:val="18"/>
              </w:rPr>
              <w:t>2</w:t>
            </w:r>
          </w:p>
        </w:tc>
        <w:tc>
          <w:tcPr>
            <w:tcW w:w="1557" w:type="dxa"/>
            <w:vMerge w:val="restart"/>
            <w:tcBorders>
              <w:top w:val="nil"/>
              <w:left w:val="single" w:color="auto" w:sz="4" w:space="0"/>
              <w:bottom w:val="single" w:color="auto" w:sz="4" w:space="0"/>
              <w:right w:val="single" w:color="auto" w:sz="4" w:space="0"/>
            </w:tcBorders>
            <w:shd w:val="clear" w:color="000000" w:fill="D2DEEF"/>
            <w:vAlign w:val="center"/>
          </w:tcPr>
          <w:p w14:paraId="6631E62B">
            <w:pPr>
              <w:pageBreakBefore w:val="0"/>
              <w:kinsoku/>
              <w:wordWrap/>
              <w:overflowPunct/>
              <w:topLinePunct w:val="0"/>
              <w:autoSpaceDE/>
              <w:autoSpaceDN/>
              <w:bidi w:val="0"/>
              <w:adjustRightInd/>
              <w:snapToGrid/>
              <w:ind w:left="0" w:leftChars="0"/>
              <w:jc w:val="center"/>
              <w:rPr>
                <w:b/>
                <w:bCs/>
                <w:color w:val="000000"/>
                <w:sz w:val="18"/>
                <w:szCs w:val="18"/>
              </w:rPr>
            </w:pPr>
            <w:r>
              <w:rPr>
                <w:rFonts w:hint="eastAsia"/>
                <w:b/>
                <w:bCs/>
                <w:color w:val="000000"/>
                <w:sz w:val="18"/>
                <w:szCs w:val="18"/>
              </w:rPr>
              <w:t>临洪大道快速路</w:t>
            </w:r>
          </w:p>
        </w:tc>
        <w:tc>
          <w:tcPr>
            <w:tcW w:w="2385" w:type="dxa"/>
            <w:tcBorders>
              <w:top w:val="nil"/>
              <w:left w:val="nil"/>
              <w:bottom w:val="single" w:color="auto" w:sz="4" w:space="0"/>
              <w:right w:val="single" w:color="auto" w:sz="4" w:space="0"/>
            </w:tcBorders>
            <w:shd w:val="clear" w:color="000000" w:fill="D2DEEF"/>
            <w:vAlign w:val="center"/>
          </w:tcPr>
          <w:p w14:paraId="78FE734F">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G204—G310</w:t>
            </w:r>
          </w:p>
        </w:tc>
        <w:tc>
          <w:tcPr>
            <w:tcW w:w="1319" w:type="dxa"/>
            <w:tcBorders>
              <w:top w:val="nil"/>
              <w:left w:val="nil"/>
              <w:bottom w:val="single" w:color="auto" w:sz="4" w:space="0"/>
              <w:right w:val="single" w:color="auto" w:sz="4" w:space="0"/>
            </w:tcBorders>
            <w:shd w:val="clear" w:color="000000" w:fill="D2DEEF"/>
            <w:vAlign w:val="center"/>
          </w:tcPr>
          <w:p w14:paraId="38EEE25C">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新建</w:t>
            </w:r>
          </w:p>
        </w:tc>
        <w:tc>
          <w:tcPr>
            <w:tcW w:w="2126" w:type="dxa"/>
            <w:tcBorders>
              <w:top w:val="nil"/>
              <w:left w:val="nil"/>
              <w:bottom w:val="single" w:color="auto" w:sz="4" w:space="0"/>
              <w:right w:val="single" w:color="auto" w:sz="4" w:space="0"/>
            </w:tcBorders>
            <w:shd w:val="clear" w:color="000000" w:fill="D2DEEF"/>
            <w:vAlign w:val="center"/>
          </w:tcPr>
          <w:p w14:paraId="25F8782E">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11.6km，快速路</w:t>
            </w:r>
          </w:p>
        </w:tc>
        <w:tc>
          <w:tcPr>
            <w:tcW w:w="1984" w:type="dxa"/>
            <w:vMerge w:val="restart"/>
            <w:tcBorders>
              <w:top w:val="nil"/>
              <w:left w:val="single" w:color="auto" w:sz="4" w:space="0"/>
              <w:bottom w:val="single" w:color="auto" w:sz="4" w:space="0"/>
              <w:right w:val="single" w:color="auto" w:sz="4" w:space="0"/>
            </w:tcBorders>
            <w:shd w:val="clear" w:color="000000" w:fill="D2DEEF"/>
            <w:vAlign w:val="center"/>
          </w:tcPr>
          <w:p w14:paraId="6F88FBF0">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2022年上半年开工</w:t>
            </w:r>
          </w:p>
        </w:tc>
        <w:tc>
          <w:tcPr>
            <w:tcW w:w="1276" w:type="dxa"/>
            <w:tcBorders>
              <w:top w:val="nil"/>
              <w:left w:val="nil"/>
              <w:bottom w:val="single" w:color="auto" w:sz="4" w:space="0"/>
              <w:right w:val="single" w:color="auto" w:sz="4" w:space="0"/>
            </w:tcBorders>
            <w:shd w:val="clear" w:color="000000" w:fill="D2DEEF"/>
            <w:vAlign w:val="center"/>
          </w:tcPr>
          <w:p w14:paraId="52ABF206">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42.4</w:t>
            </w:r>
          </w:p>
        </w:tc>
        <w:tc>
          <w:tcPr>
            <w:tcW w:w="1701" w:type="dxa"/>
            <w:tcBorders>
              <w:top w:val="nil"/>
              <w:left w:val="nil"/>
              <w:bottom w:val="single" w:color="auto" w:sz="4" w:space="0"/>
              <w:right w:val="single" w:color="auto" w:sz="4" w:space="0"/>
            </w:tcBorders>
            <w:shd w:val="clear" w:color="000000" w:fill="D2DEEF"/>
            <w:vAlign w:val="center"/>
          </w:tcPr>
          <w:p w14:paraId="19C56E28">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1A5E60F4">
        <w:tblPrEx>
          <w:tblCellMar>
            <w:top w:w="0" w:type="dxa"/>
            <w:left w:w="108" w:type="dxa"/>
            <w:bottom w:w="0" w:type="dxa"/>
            <w:right w:w="108" w:type="dxa"/>
          </w:tblCellMar>
        </w:tblPrEx>
        <w:trPr>
          <w:trHeight w:val="499" w:hRule="atLeast"/>
          <w:jc w:val="center"/>
        </w:trPr>
        <w:tc>
          <w:tcPr>
            <w:tcW w:w="980" w:type="dxa"/>
            <w:vMerge w:val="continue"/>
            <w:tcBorders>
              <w:left w:val="single" w:color="auto" w:sz="4" w:space="0"/>
              <w:right w:val="single" w:color="auto" w:sz="4" w:space="0"/>
            </w:tcBorders>
            <w:vAlign w:val="center"/>
          </w:tcPr>
          <w:p w14:paraId="02AA3233">
            <w:pPr>
              <w:pageBreakBefore w:val="0"/>
              <w:kinsoku/>
              <w:wordWrap/>
              <w:overflowPunct/>
              <w:topLinePunct w:val="0"/>
              <w:autoSpaceDE/>
              <w:autoSpaceDN/>
              <w:bidi w:val="0"/>
              <w:adjustRightInd/>
              <w:snapToGrid/>
              <w:ind w:left="0" w:leftChars="0"/>
              <w:rPr>
                <w:rFonts w:ascii="Arial" w:hAnsi="Arial" w:eastAsia="等线" w:cs="Arial"/>
                <w:b/>
                <w:bCs/>
                <w:color w:val="000000"/>
                <w:sz w:val="18"/>
                <w:szCs w:val="18"/>
              </w:rPr>
            </w:pPr>
          </w:p>
        </w:tc>
        <w:tc>
          <w:tcPr>
            <w:tcW w:w="417" w:type="dxa"/>
            <w:vMerge w:val="continue"/>
            <w:tcBorders>
              <w:top w:val="nil"/>
              <w:left w:val="single" w:color="auto" w:sz="4" w:space="0"/>
              <w:bottom w:val="single" w:color="auto" w:sz="4" w:space="0"/>
              <w:right w:val="single" w:color="auto" w:sz="4" w:space="0"/>
            </w:tcBorders>
            <w:vAlign w:val="center"/>
          </w:tcPr>
          <w:p w14:paraId="425BD872">
            <w:pPr>
              <w:pageBreakBefore w:val="0"/>
              <w:kinsoku/>
              <w:wordWrap/>
              <w:overflowPunct/>
              <w:topLinePunct w:val="0"/>
              <w:autoSpaceDE/>
              <w:autoSpaceDN/>
              <w:bidi w:val="0"/>
              <w:adjustRightInd/>
              <w:snapToGrid/>
              <w:ind w:left="0" w:leftChars="0"/>
              <w:rPr>
                <w:rFonts w:ascii="Arial" w:hAnsi="Arial" w:eastAsia="等线" w:cs="Arial"/>
                <w:b/>
                <w:bCs/>
                <w:color w:val="000000"/>
                <w:sz w:val="18"/>
                <w:szCs w:val="18"/>
              </w:rPr>
            </w:pPr>
          </w:p>
        </w:tc>
        <w:tc>
          <w:tcPr>
            <w:tcW w:w="1557" w:type="dxa"/>
            <w:vMerge w:val="continue"/>
            <w:tcBorders>
              <w:top w:val="nil"/>
              <w:left w:val="single" w:color="auto" w:sz="4" w:space="0"/>
              <w:bottom w:val="single" w:color="auto" w:sz="4" w:space="0"/>
              <w:right w:val="single" w:color="auto" w:sz="4" w:space="0"/>
            </w:tcBorders>
            <w:vAlign w:val="center"/>
          </w:tcPr>
          <w:p w14:paraId="03D28D01">
            <w:pPr>
              <w:pageBreakBefore w:val="0"/>
              <w:kinsoku/>
              <w:wordWrap/>
              <w:overflowPunct/>
              <w:topLinePunct w:val="0"/>
              <w:autoSpaceDE/>
              <w:autoSpaceDN/>
              <w:bidi w:val="0"/>
              <w:adjustRightInd/>
              <w:snapToGrid/>
              <w:ind w:left="0" w:leftChars="0"/>
              <w:rPr>
                <w:b/>
                <w:bCs/>
                <w:color w:val="000000"/>
                <w:sz w:val="18"/>
                <w:szCs w:val="18"/>
              </w:rPr>
            </w:pPr>
          </w:p>
        </w:tc>
        <w:tc>
          <w:tcPr>
            <w:tcW w:w="2385" w:type="dxa"/>
            <w:tcBorders>
              <w:top w:val="nil"/>
              <w:left w:val="nil"/>
              <w:bottom w:val="single" w:color="auto" w:sz="4" w:space="0"/>
              <w:right w:val="single" w:color="auto" w:sz="4" w:space="0"/>
            </w:tcBorders>
            <w:shd w:val="clear" w:color="000000" w:fill="D2DEEF"/>
            <w:vAlign w:val="center"/>
          </w:tcPr>
          <w:p w14:paraId="64D8EE10">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 xml:space="preserve">G310—G228 </w:t>
            </w:r>
          </w:p>
        </w:tc>
        <w:tc>
          <w:tcPr>
            <w:tcW w:w="1319" w:type="dxa"/>
            <w:tcBorders>
              <w:top w:val="nil"/>
              <w:left w:val="nil"/>
              <w:bottom w:val="single" w:color="auto" w:sz="4" w:space="0"/>
              <w:right w:val="single" w:color="auto" w:sz="4" w:space="0"/>
            </w:tcBorders>
            <w:shd w:val="clear" w:color="000000" w:fill="D2DEEF"/>
            <w:vAlign w:val="center"/>
          </w:tcPr>
          <w:p w14:paraId="0A482F9D">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改扩建</w:t>
            </w:r>
          </w:p>
        </w:tc>
        <w:tc>
          <w:tcPr>
            <w:tcW w:w="2126" w:type="dxa"/>
            <w:tcBorders>
              <w:top w:val="nil"/>
              <w:left w:val="nil"/>
              <w:bottom w:val="single" w:color="auto" w:sz="4" w:space="0"/>
              <w:right w:val="single" w:color="auto" w:sz="4" w:space="0"/>
            </w:tcBorders>
            <w:shd w:val="clear" w:color="000000" w:fill="D2DEEF"/>
            <w:vAlign w:val="center"/>
          </w:tcPr>
          <w:p w14:paraId="65EF9708">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10.5km，快速路</w:t>
            </w:r>
          </w:p>
        </w:tc>
        <w:tc>
          <w:tcPr>
            <w:tcW w:w="1984" w:type="dxa"/>
            <w:vMerge w:val="continue"/>
            <w:tcBorders>
              <w:top w:val="nil"/>
              <w:left w:val="single" w:color="auto" w:sz="4" w:space="0"/>
              <w:bottom w:val="single" w:color="auto" w:sz="4" w:space="0"/>
              <w:right w:val="single" w:color="auto" w:sz="4" w:space="0"/>
            </w:tcBorders>
            <w:vAlign w:val="center"/>
          </w:tcPr>
          <w:p w14:paraId="2DCE67AB">
            <w:pPr>
              <w:pageBreakBefore w:val="0"/>
              <w:kinsoku/>
              <w:wordWrap/>
              <w:overflowPunct/>
              <w:topLinePunct w:val="0"/>
              <w:autoSpaceDE/>
              <w:autoSpaceDN/>
              <w:bidi w:val="0"/>
              <w:adjustRightInd/>
              <w:snapToGrid/>
              <w:ind w:left="0" w:leftChars="0"/>
              <w:rPr>
                <w:b/>
                <w:bCs/>
                <w:color w:val="000000"/>
                <w:sz w:val="18"/>
                <w:szCs w:val="18"/>
              </w:rPr>
            </w:pPr>
          </w:p>
        </w:tc>
        <w:tc>
          <w:tcPr>
            <w:tcW w:w="1276" w:type="dxa"/>
            <w:tcBorders>
              <w:top w:val="nil"/>
              <w:left w:val="nil"/>
              <w:bottom w:val="single" w:color="auto" w:sz="4" w:space="0"/>
              <w:right w:val="single" w:color="auto" w:sz="4" w:space="0"/>
            </w:tcBorders>
            <w:shd w:val="clear" w:color="000000" w:fill="D2DEEF"/>
            <w:vAlign w:val="center"/>
          </w:tcPr>
          <w:p w14:paraId="307D786C">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5.5</w:t>
            </w:r>
          </w:p>
        </w:tc>
        <w:tc>
          <w:tcPr>
            <w:tcW w:w="1701" w:type="dxa"/>
            <w:tcBorders>
              <w:top w:val="nil"/>
              <w:left w:val="nil"/>
              <w:bottom w:val="single" w:color="auto" w:sz="4" w:space="0"/>
              <w:right w:val="single" w:color="auto" w:sz="4" w:space="0"/>
            </w:tcBorders>
            <w:shd w:val="clear" w:color="000000" w:fill="D2DEEF"/>
            <w:vAlign w:val="center"/>
          </w:tcPr>
          <w:p w14:paraId="457CC7E1">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39E77D17">
        <w:tblPrEx>
          <w:tblCellMar>
            <w:top w:w="0" w:type="dxa"/>
            <w:left w:w="108" w:type="dxa"/>
            <w:bottom w:w="0" w:type="dxa"/>
            <w:right w:w="108" w:type="dxa"/>
          </w:tblCellMar>
        </w:tblPrEx>
        <w:trPr>
          <w:trHeight w:val="499" w:hRule="atLeast"/>
          <w:jc w:val="center"/>
        </w:trPr>
        <w:tc>
          <w:tcPr>
            <w:tcW w:w="980" w:type="dxa"/>
            <w:vMerge w:val="continue"/>
            <w:tcBorders>
              <w:left w:val="single" w:color="auto" w:sz="4" w:space="0"/>
              <w:right w:val="single" w:color="auto" w:sz="4" w:space="0"/>
            </w:tcBorders>
            <w:shd w:val="clear" w:color="000000" w:fill="D2DEEF"/>
            <w:vAlign w:val="center"/>
          </w:tcPr>
          <w:p w14:paraId="0AEA3D5B">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p>
        </w:tc>
        <w:tc>
          <w:tcPr>
            <w:tcW w:w="417" w:type="dxa"/>
            <w:vMerge w:val="restart"/>
            <w:tcBorders>
              <w:top w:val="nil"/>
              <w:left w:val="single" w:color="auto" w:sz="4" w:space="0"/>
              <w:bottom w:val="single" w:color="auto" w:sz="4" w:space="0"/>
              <w:right w:val="single" w:color="auto" w:sz="4" w:space="0"/>
            </w:tcBorders>
            <w:shd w:val="clear" w:color="000000" w:fill="D2DEEF"/>
            <w:vAlign w:val="center"/>
          </w:tcPr>
          <w:p w14:paraId="64970858">
            <w:pPr>
              <w:pageBreakBefore w:val="0"/>
              <w:kinsoku/>
              <w:wordWrap/>
              <w:overflowPunct/>
              <w:topLinePunct w:val="0"/>
              <w:autoSpaceDE/>
              <w:autoSpaceDN/>
              <w:bidi w:val="0"/>
              <w:adjustRightInd/>
              <w:snapToGrid/>
              <w:ind w:left="0" w:leftChars="0"/>
              <w:jc w:val="center"/>
              <w:rPr>
                <w:rFonts w:hint="eastAsia" w:ascii="Arial" w:hAnsi="Arial" w:eastAsia="等线" w:cs="Arial"/>
                <w:b/>
                <w:bCs/>
                <w:color w:val="000000"/>
                <w:sz w:val="18"/>
                <w:szCs w:val="18"/>
              </w:rPr>
            </w:pPr>
            <w:r>
              <w:rPr>
                <w:rFonts w:ascii="Arial" w:hAnsi="Arial" w:eastAsia="等线" w:cs="Arial"/>
                <w:b/>
                <w:bCs/>
                <w:color w:val="000000"/>
                <w:sz w:val="18"/>
                <w:szCs w:val="18"/>
              </w:rPr>
              <w:t>3</w:t>
            </w:r>
          </w:p>
        </w:tc>
        <w:tc>
          <w:tcPr>
            <w:tcW w:w="1557" w:type="dxa"/>
            <w:vMerge w:val="restart"/>
            <w:tcBorders>
              <w:top w:val="nil"/>
              <w:left w:val="single" w:color="auto" w:sz="4" w:space="0"/>
              <w:bottom w:val="single" w:color="auto" w:sz="4" w:space="0"/>
              <w:right w:val="single" w:color="auto" w:sz="4" w:space="0"/>
            </w:tcBorders>
            <w:shd w:val="clear" w:color="000000" w:fill="D2DEEF"/>
            <w:vAlign w:val="center"/>
          </w:tcPr>
          <w:p w14:paraId="0949C198">
            <w:pPr>
              <w:pageBreakBefore w:val="0"/>
              <w:kinsoku/>
              <w:wordWrap/>
              <w:overflowPunct/>
              <w:topLinePunct w:val="0"/>
              <w:autoSpaceDE/>
              <w:autoSpaceDN/>
              <w:bidi w:val="0"/>
              <w:adjustRightInd/>
              <w:snapToGrid/>
              <w:ind w:left="0" w:leftChars="0"/>
              <w:jc w:val="center"/>
              <w:rPr>
                <w:b/>
                <w:bCs/>
                <w:color w:val="000000"/>
                <w:sz w:val="18"/>
                <w:szCs w:val="18"/>
              </w:rPr>
            </w:pPr>
            <w:r>
              <w:rPr>
                <w:rFonts w:hint="eastAsia"/>
                <w:b/>
                <w:bCs/>
                <w:color w:val="000000"/>
                <w:sz w:val="18"/>
                <w:szCs w:val="18"/>
              </w:rPr>
              <w:t>花果山大道快速化改造及北延</w:t>
            </w:r>
          </w:p>
        </w:tc>
        <w:tc>
          <w:tcPr>
            <w:tcW w:w="2385" w:type="dxa"/>
            <w:tcBorders>
              <w:top w:val="nil"/>
              <w:left w:val="nil"/>
              <w:bottom w:val="single" w:color="auto" w:sz="4" w:space="0"/>
              <w:right w:val="single" w:color="auto" w:sz="4" w:space="0"/>
            </w:tcBorders>
            <w:shd w:val="clear" w:color="000000" w:fill="D2DEEF"/>
            <w:vAlign w:val="center"/>
          </w:tcPr>
          <w:p w14:paraId="60FB3B6D">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海滨大道—港城大道</w:t>
            </w:r>
          </w:p>
        </w:tc>
        <w:tc>
          <w:tcPr>
            <w:tcW w:w="1319" w:type="dxa"/>
            <w:tcBorders>
              <w:top w:val="nil"/>
              <w:left w:val="nil"/>
              <w:bottom w:val="single" w:color="auto" w:sz="4" w:space="0"/>
              <w:right w:val="single" w:color="auto" w:sz="4" w:space="0"/>
            </w:tcBorders>
            <w:shd w:val="clear" w:color="000000" w:fill="D2DEEF"/>
            <w:vAlign w:val="center"/>
          </w:tcPr>
          <w:p w14:paraId="55823656">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新建、改扩建</w:t>
            </w:r>
          </w:p>
        </w:tc>
        <w:tc>
          <w:tcPr>
            <w:tcW w:w="2126" w:type="dxa"/>
            <w:tcBorders>
              <w:top w:val="nil"/>
              <w:left w:val="nil"/>
              <w:bottom w:val="single" w:color="auto" w:sz="4" w:space="0"/>
              <w:right w:val="single" w:color="auto" w:sz="4" w:space="0"/>
            </w:tcBorders>
            <w:shd w:val="clear" w:color="000000" w:fill="D2DEEF"/>
            <w:vAlign w:val="center"/>
          </w:tcPr>
          <w:p w14:paraId="337283D6">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14.1km，快速化</w:t>
            </w:r>
          </w:p>
        </w:tc>
        <w:tc>
          <w:tcPr>
            <w:tcW w:w="1984" w:type="dxa"/>
            <w:vMerge w:val="restart"/>
            <w:tcBorders>
              <w:top w:val="nil"/>
              <w:left w:val="single" w:color="auto" w:sz="4" w:space="0"/>
              <w:bottom w:val="single" w:color="auto" w:sz="4" w:space="0"/>
              <w:right w:val="single" w:color="auto" w:sz="4" w:space="0"/>
            </w:tcBorders>
            <w:shd w:val="clear" w:color="000000" w:fill="D2DEEF"/>
            <w:vAlign w:val="center"/>
          </w:tcPr>
          <w:p w14:paraId="57FEF811">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2022年上半年开工</w:t>
            </w:r>
          </w:p>
        </w:tc>
        <w:tc>
          <w:tcPr>
            <w:tcW w:w="1276" w:type="dxa"/>
            <w:tcBorders>
              <w:top w:val="nil"/>
              <w:left w:val="nil"/>
              <w:bottom w:val="single" w:color="auto" w:sz="4" w:space="0"/>
              <w:right w:val="single" w:color="auto" w:sz="4" w:space="0"/>
            </w:tcBorders>
            <w:shd w:val="clear" w:color="000000" w:fill="D2DEEF"/>
            <w:vAlign w:val="center"/>
          </w:tcPr>
          <w:p w14:paraId="32E39814">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20.4</w:t>
            </w:r>
          </w:p>
        </w:tc>
        <w:tc>
          <w:tcPr>
            <w:tcW w:w="1701" w:type="dxa"/>
            <w:tcBorders>
              <w:top w:val="nil"/>
              <w:left w:val="nil"/>
              <w:bottom w:val="single" w:color="auto" w:sz="4" w:space="0"/>
              <w:right w:val="single" w:color="auto" w:sz="4" w:space="0"/>
            </w:tcBorders>
            <w:shd w:val="clear" w:color="000000" w:fill="D2DEEF"/>
            <w:vAlign w:val="center"/>
          </w:tcPr>
          <w:p w14:paraId="7ED5B42D">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4EFDDB44">
        <w:tblPrEx>
          <w:tblCellMar>
            <w:top w:w="0" w:type="dxa"/>
            <w:left w:w="108" w:type="dxa"/>
            <w:bottom w:w="0" w:type="dxa"/>
            <w:right w:w="108" w:type="dxa"/>
          </w:tblCellMar>
        </w:tblPrEx>
        <w:trPr>
          <w:trHeight w:val="499" w:hRule="atLeast"/>
          <w:jc w:val="center"/>
        </w:trPr>
        <w:tc>
          <w:tcPr>
            <w:tcW w:w="980" w:type="dxa"/>
            <w:vMerge w:val="continue"/>
            <w:tcBorders>
              <w:left w:val="single" w:color="auto" w:sz="4" w:space="0"/>
              <w:right w:val="single" w:color="auto" w:sz="4" w:space="0"/>
            </w:tcBorders>
            <w:vAlign w:val="center"/>
          </w:tcPr>
          <w:p w14:paraId="360F6E32">
            <w:pPr>
              <w:pageBreakBefore w:val="0"/>
              <w:kinsoku/>
              <w:wordWrap/>
              <w:overflowPunct/>
              <w:topLinePunct w:val="0"/>
              <w:autoSpaceDE/>
              <w:autoSpaceDN/>
              <w:bidi w:val="0"/>
              <w:adjustRightInd/>
              <w:snapToGrid/>
              <w:ind w:left="0" w:leftChars="0"/>
              <w:rPr>
                <w:rFonts w:ascii="Arial" w:hAnsi="Arial" w:eastAsia="等线" w:cs="Arial"/>
                <w:b/>
                <w:bCs/>
                <w:color w:val="000000"/>
                <w:sz w:val="18"/>
                <w:szCs w:val="18"/>
              </w:rPr>
            </w:pPr>
          </w:p>
        </w:tc>
        <w:tc>
          <w:tcPr>
            <w:tcW w:w="417" w:type="dxa"/>
            <w:vMerge w:val="continue"/>
            <w:tcBorders>
              <w:top w:val="nil"/>
              <w:left w:val="single" w:color="auto" w:sz="4" w:space="0"/>
              <w:bottom w:val="single" w:color="auto" w:sz="4" w:space="0"/>
              <w:right w:val="single" w:color="auto" w:sz="4" w:space="0"/>
            </w:tcBorders>
            <w:vAlign w:val="center"/>
          </w:tcPr>
          <w:p w14:paraId="0FB9B357">
            <w:pPr>
              <w:pageBreakBefore w:val="0"/>
              <w:kinsoku/>
              <w:wordWrap/>
              <w:overflowPunct/>
              <w:topLinePunct w:val="0"/>
              <w:autoSpaceDE/>
              <w:autoSpaceDN/>
              <w:bidi w:val="0"/>
              <w:adjustRightInd/>
              <w:snapToGrid/>
              <w:ind w:left="0" w:leftChars="0"/>
              <w:rPr>
                <w:rFonts w:ascii="Arial" w:hAnsi="Arial" w:eastAsia="等线" w:cs="Arial"/>
                <w:b/>
                <w:bCs/>
                <w:color w:val="000000"/>
                <w:sz w:val="18"/>
                <w:szCs w:val="18"/>
              </w:rPr>
            </w:pPr>
          </w:p>
        </w:tc>
        <w:tc>
          <w:tcPr>
            <w:tcW w:w="1557" w:type="dxa"/>
            <w:vMerge w:val="continue"/>
            <w:tcBorders>
              <w:top w:val="nil"/>
              <w:left w:val="single" w:color="auto" w:sz="4" w:space="0"/>
              <w:bottom w:val="single" w:color="auto" w:sz="4" w:space="0"/>
              <w:right w:val="single" w:color="auto" w:sz="4" w:space="0"/>
            </w:tcBorders>
            <w:vAlign w:val="center"/>
          </w:tcPr>
          <w:p w14:paraId="665074A5">
            <w:pPr>
              <w:pageBreakBefore w:val="0"/>
              <w:kinsoku/>
              <w:wordWrap/>
              <w:overflowPunct/>
              <w:topLinePunct w:val="0"/>
              <w:autoSpaceDE/>
              <w:autoSpaceDN/>
              <w:bidi w:val="0"/>
              <w:adjustRightInd/>
              <w:snapToGrid/>
              <w:ind w:left="0" w:leftChars="0"/>
              <w:rPr>
                <w:b/>
                <w:bCs/>
                <w:color w:val="000000"/>
                <w:sz w:val="18"/>
                <w:szCs w:val="18"/>
              </w:rPr>
            </w:pPr>
          </w:p>
        </w:tc>
        <w:tc>
          <w:tcPr>
            <w:tcW w:w="2385" w:type="dxa"/>
            <w:tcBorders>
              <w:top w:val="nil"/>
              <w:left w:val="nil"/>
              <w:bottom w:val="single" w:color="auto" w:sz="4" w:space="0"/>
              <w:right w:val="single" w:color="auto" w:sz="4" w:space="0"/>
            </w:tcBorders>
            <w:shd w:val="clear" w:color="000000" w:fill="D2DEEF"/>
            <w:vAlign w:val="center"/>
          </w:tcPr>
          <w:p w14:paraId="1A718768">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港城大道—苍梧路</w:t>
            </w:r>
          </w:p>
        </w:tc>
        <w:tc>
          <w:tcPr>
            <w:tcW w:w="1319" w:type="dxa"/>
            <w:tcBorders>
              <w:top w:val="nil"/>
              <w:left w:val="nil"/>
              <w:bottom w:val="single" w:color="auto" w:sz="4" w:space="0"/>
              <w:right w:val="single" w:color="auto" w:sz="4" w:space="0"/>
            </w:tcBorders>
            <w:shd w:val="clear" w:color="000000" w:fill="D2DEEF"/>
            <w:vAlign w:val="center"/>
          </w:tcPr>
          <w:p w14:paraId="29DACF98">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改扩建</w:t>
            </w:r>
          </w:p>
        </w:tc>
        <w:tc>
          <w:tcPr>
            <w:tcW w:w="2126" w:type="dxa"/>
            <w:tcBorders>
              <w:top w:val="nil"/>
              <w:left w:val="nil"/>
              <w:bottom w:val="single" w:color="auto" w:sz="4" w:space="0"/>
              <w:right w:val="single" w:color="auto" w:sz="4" w:space="0"/>
            </w:tcBorders>
            <w:shd w:val="clear" w:color="000000" w:fill="D2DEEF"/>
            <w:vAlign w:val="center"/>
          </w:tcPr>
          <w:p w14:paraId="4A84773C">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7.2km，快速化</w:t>
            </w:r>
          </w:p>
        </w:tc>
        <w:tc>
          <w:tcPr>
            <w:tcW w:w="1984" w:type="dxa"/>
            <w:vMerge w:val="continue"/>
            <w:tcBorders>
              <w:top w:val="nil"/>
              <w:left w:val="single" w:color="auto" w:sz="4" w:space="0"/>
              <w:bottom w:val="single" w:color="auto" w:sz="4" w:space="0"/>
              <w:right w:val="single" w:color="auto" w:sz="4" w:space="0"/>
            </w:tcBorders>
            <w:vAlign w:val="center"/>
          </w:tcPr>
          <w:p w14:paraId="44D07603">
            <w:pPr>
              <w:pageBreakBefore w:val="0"/>
              <w:kinsoku/>
              <w:wordWrap/>
              <w:overflowPunct/>
              <w:topLinePunct w:val="0"/>
              <w:autoSpaceDE/>
              <w:autoSpaceDN/>
              <w:bidi w:val="0"/>
              <w:adjustRightInd/>
              <w:snapToGrid/>
              <w:ind w:left="0" w:leftChars="0"/>
              <w:rPr>
                <w:b/>
                <w:bCs/>
                <w:color w:val="000000"/>
                <w:sz w:val="18"/>
                <w:szCs w:val="18"/>
              </w:rPr>
            </w:pPr>
          </w:p>
        </w:tc>
        <w:tc>
          <w:tcPr>
            <w:tcW w:w="1276" w:type="dxa"/>
            <w:tcBorders>
              <w:top w:val="nil"/>
              <w:left w:val="nil"/>
              <w:bottom w:val="single" w:color="auto" w:sz="4" w:space="0"/>
              <w:right w:val="single" w:color="auto" w:sz="4" w:space="0"/>
            </w:tcBorders>
            <w:shd w:val="clear" w:color="000000" w:fill="D2DEEF"/>
            <w:vAlign w:val="center"/>
          </w:tcPr>
          <w:p w14:paraId="675D231C">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14.9</w:t>
            </w:r>
          </w:p>
        </w:tc>
        <w:tc>
          <w:tcPr>
            <w:tcW w:w="1701" w:type="dxa"/>
            <w:tcBorders>
              <w:top w:val="nil"/>
              <w:left w:val="nil"/>
              <w:bottom w:val="single" w:color="auto" w:sz="4" w:space="0"/>
              <w:right w:val="single" w:color="auto" w:sz="4" w:space="0"/>
            </w:tcBorders>
            <w:shd w:val="clear" w:color="000000" w:fill="D2DEEF"/>
            <w:vAlign w:val="center"/>
          </w:tcPr>
          <w:p w14:paraId="15523DB9">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38F56F96">
        <w:tblPrEx>
          <w:tblCellMar>
            <w:top w:w="0" w:type="dxa"/>
            <w:left w:w="108" w:type="dxa"/>
            <w:bottom w:w="0" w:type="dxa"/>
            <w:right w:w="108" w:type="dxa"/>
          </w:tblCellMar>
        </w:tblPrEx>
        <w:trPr>
          <w:trHeight w:val="499" w:hRule="atLeast"/>
          <w:jc w:val="center"/>
        </w:trPr>
        <w:tc>
          <w:tcPr>
            <w:tcW w:w="980" w:type="dxa"/>
            <w:vMerge w:val="continue"/>
            <w:tcBorders>
              <w:left w:val="single" w:color="auto" w:sz="4" w:space="0"/>
              <w:right w:val="single" w:color="auto" w:sz="4" w:space="0"/>
            </w:tcBorders>
            <w:shd w:val="clear" w:color="000000" w:fill="D2DEEF"/>
            <w:vAlign w:val="center"/>
          </w:tcPr>
          <w:p w14:paraId="65977573">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p>
        </w:tc>
        <w:tc>
          <w:tcPr>
            <w:tcW w:w="417" w:type="dxa"/>
            <w:tcBorders>
              <w:top w:val="nil"/>
              <w:left w:val="single" w:color="auto" w:sz="4" w:space="0"/>
              <w:bottom w:val="single" w:color="auto" w:sz="4" w:space="0"/>
              <w:right w:val="single" w:color="auto" w:sz="4" w:space="0"/>
            </w:tcBorders>
            <w:shd w:val="clear" w:color="000000" w:fill="D2DEEF"/>
            <w:vAlign w:val="center"/>
          </w:tcPr>
          <w:p w14:paraId="00DDA0E2">
            <w:pPr>
              <w:pageBreakBefore w:val="0"/>
              <w:kinsoku/>
              <w:wordWrap/>
              <w:overflowPunct/>
              <w:topLinePunct w:val="0"/>
              <w:autoSpaceDE/>
              <w:autoSpaceDN/>
              <w:bidi w:val="0"/>
              <w:adjustRightInd/>
              <w:snapToGrid/>
              <w:ind w:left="0" w:leftChars="0"/>
              <w:jc w:val="center"/>
              <w:rPr>
                <w:rFonts w:hint="eastAsia" w:ascii="Arial" w:hAnsi="Arial" w:eastAsia="等线" w:cs="Arial"/>
                <w:b/>
                <w:bCs/>
                <w:color w:val="000000"/>
                <w:sz w:val="18"/>
                <w:szCs w:val="18"/>
              </w:rPr>
            </w:pPr>
            <w:r>
              <w:rPr>
                <w:rFonts w:ascii="Arial" w:hAnsi="Arial" w:eastAsia="等线" w:cs="Arial"/>
                <w:b/>
                <w:bCs/>
                <w:color w:val="000000"/>
                <w:sz w:val="18"/>
                <w:szCs w:val="18"/>
              </w:rPr>
              <w:t>4</w:t>
            </w:r>
          </w:p>
        </w:tc>
        <w:tc>
          <w:tcPr>
            <w:tcW w:w="1557" w:type="dxa"/>
            <w:tcBorders>
              <w:top w:val="nil"/>
              <w:left w:val="nil"/>
              <w:bottom w:val="single" w:color="auto" w:sz="4" w:space="0"/>
              <w:right w:val="single" w:color="auto" w:sz="4" w:space="0"/>
            </w:tcBorders>
            <w:shd w:val="clear" w:color="000000" w:fill="D2DEEF"/>
            <w:vAlign w:val="center"/>
          </w:tcPr>
          <w:p w14:paraId="5A7A846C">
            <w:pPr>
              <w:pageBreakBefore w:val="0"/>
              <w:kinsoku/>
              <w:wordWrap/>
              <w:overflowPunct/>
              <w:topLinePunct w:val="0"/>
              <w:autoSpaceDE/>
              <w:autoSpaceDN/>
              <w:bidi w:val="0"/>
              <w:adjustRightInd/>
              <w:snapToGrid/>
              <w:ind w:left="0" w:leftChars="0"/>
              <w:jc w:val="center"/>
              <w:rPr>
                <w:b/>
                <w:bCs/>
                <w:color w:val="000000"/>
                <w:sz w:val="18"/>
                <w:szCs w:val="18"/>
              </w:rPr>
            </w:pPr>
            <w:r>
              <w:rPr>
                <w:rFonts w:hint="eastAsia"/>
                <w:b/>
                <w:bCs/>
                <w:color w:val="000000"/>
                <w:sz w:val="18"/>
                <w:szCs w:val="18"/>
              </w:rPr>
              <w:t>大港路快速路</w:t>
            </w:r>
          </w:p>
        </w:tc>
        <w:tc>
          <w:tcPr>
            <w:tcW w:w="2385" w:type="dxa"/>
            <w:tcBorders>
              <w:top w:val="nil"/>
              <w:left w:val="nil"/>
              <w:bottom w:val="single" w:color="auto" w:sz="4" w:space="0"/>
              <w:right w:val="single" w:color="auto" w:sz="4" w:space="0"/>
            </w:tcBorders>
            <w:shd w:val="clear" w:color="000000" w:fill="D2DEEF"/>
            <w:vAlign w:val="center"/>
          </w:tcPr>
          <w:p w14:paraId="4452DB73">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海滨大道—宋庄互通</w:t>
            </w:r>
          </w:p>
        </w:tc>
        <w:tc>
          <w:tcPr>
            <w:tcW w:w="1319" w:type="dxa"/>
            <w:tcBorders>
              <w:top w:val="nil"/>
              <w:left w:val="nil"/>
              <w:bottom w:val="single" w:color="auto" w:sz="4" w:space="0"/>
              <w:right w:val="single" w:color="auto" w:sz="4" w:space="0"/>
            </w:tcBorders>
            <w:shd w:val="clear" w:color="000000" w:fill="D2DEEF"/>
            <w:vAlign w:val="center"/>
          </w:tcPr>
          <w:p w14:paraId="1C34E838">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改扩建</w:t>
            </w:r>
          </w:p>
        </w:tc>
        <w:tc>
          <w:tcPr>
            <w:tcW w:w="2126" w:type="dxa"/>
            <w:tcBorders>
              <w:top w:val="nil"/>
              <w:left w:val="nil"/>
              <w:bottom w:val="single" w:color="auto" w:sz="4" w:space="0"/>
              <w:right w:val="single" w:color="auto" w:sz="4" w:space="0"/>
            </w:tcBorders>
            <w:shd w:val="clear" w:color="000000" w:fill="D2DEEF"/>
            <w:vAlign w:val="center"/>
          </w:tcPr>
          <w:p w14:paraId="10446870">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21km，快速路</w:t>
            </w:r>
          </w:p>
        </w:tc>
        <w:tc>
          <w:tcPr>
            <w:tcW w:w="1984" w:type="dxa"/>
            <w:tcBorders>
              <w:top w:val="nil"/>
              <w:left w:val="nil"/>
              <w:bottom w:val="single" w:color="auto" w:sz="4" w:space="0"/>
              <w:right w:val="single" w:color="auto" w:sz="4" w:space="0"/>
            </w:tcBorders>
            <w:shd w:val="clear" w:color="000000" w:fill="D2DEEF"/>
            <w:vAlign w:val="center"/>
          </w:tcPr>
          <w:p w14:paraId="065C42E5">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2022年下半年开工</w:t>
            </w:r>
          </w:p>
        </w:tc>
        <w:tc>
          <w:tcPr>
            <w:tcW w:w="1276" w:type="dxa"/>
            <w:tcBorders>
              <w:top w:val="nil"/>
              <w:left w:val="nil"/>
              <w:bottom w:val="single" w:color="auto" w:sz="4" w:space="0"/>
              <w:right w:val="single" w:color="auto" w:sz="4" w:space="0"/>
            </w:tcBorders>
            <w:shd w:val="clear" w:color="000000" w:fill="D2DEEF"/>
            <w:vAlign w:val="center"/>
          </w:tcPr>
          <w:p w14:paraId="77F5110D">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58.9</w:t>
            </w:r>
          </w:p>
        </w:tc>
        <w:tc>
          <w:tcPr>
            <w:tcW w:w="1701" w:type="dxa"/>
            <w:tcBorders>
              <w:top w:val="nil"/>
              <w:left w:val="nil"/>
              <w:bottom w:val="single" w:color="auto" w:sz="4" w:space="0"/>
              <w:right w:val="single" w:color="auto" w:sz="4" w:space="0"/>
            </w:tcBorders>
            <w:shd w:val="clear" w:color="000000" w:fill="D2DEEF"/>
            <w:vAlign w:val="center"/>
          </w:tcPr>
          <w:p w14:paraId="00B62CEC">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2A8F8979">
        <w:tblPrEx>
          <w:tblCellMar>
            <w:top w:w="0" w:type="dxa"/>
            <w:left w:w="108" w:type="dxa"/>
            <w:bottom w:w="0" w:type="dxa"/>
            <w:right w:w="108" w:type="dxa"/>
          </w:tblCellMar>
        </w:tblPrEx>
        <w:trPr>
          <w:trHeight w:val="499" w:hRule="atLeast"/>
          <w:jc w:val="center"/>
        </w:trPr>
        <w:tc>
          <w:tcPr>
            <w:tcW w:w="980" w:type="dxa"/>
            <w:vMerge w:val="continue"/>
            <w:tcBorders>
              <w:left w:val="single" w:color="auto" w:sz="4" w:space="0"/>
              <w:right w:val="single" w:color="auto" w:sz="4" w:space="0"/>
            </w:tcBorders>
            <w:shd w:val="clear" w:color="000000" w:fill="D2DEEF"/>
            <w:vAlign w:val="center"/>
          </w:tcPr>
          <w:p w14:paraId="41919260">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p>
        </w:tc>
        <w:tc>
          <w:tcPr>
            <w:tcW w:w="417" w:type="dxa"/>
            <w:vMerge w:val="restart"/>
            <w:tcBorders>
              <w:top w:val="nil"/>
              <w:left w:val="single" w:color="auto" w:sz="4" w:space="0"/>
              <w:bottom w:val="single" w:color="auto" w:sz="4" w:space="0"/>
              <w:right w:val="single" w:color="auto" w:sz="4" w:space="0"/>
            </w:tcBorders>
            <w:shd w:val="clear" w:color="000000" w:fill="D2DEEF"/>
            <w:vAlign w:val="center"/>
          </w:tcPr>
          <w:p w14:paraId="0CDB8BB7">
            <w:pPr>
              <w:pageBreakBefore w:val="0"/>
              <w:kinsoku/>
              <w:wordWrap/>
              <w:overflowPunct/>
              <w:topLinePunct w:val="0"/>
              <w:autoSpaceDE/>
              <w:autoSpaceDN/>
              <w:bidi w:val="0"/>
              <w:adjustRightInd/>
              <w:snapToGrid/>
              <w:ind w:left="0" w:leftChars="0"/>
              <w:jc w:val="center"/>
              <w:rPr>
                <w:rFonts w:hint="eastAsia" w:ascii="Arial" w:hAnsi="Arial" w:eastAsia="等线" w:cs="Arial"/>
                <w:b/>
                <w:bCs/>
                <w:color w:val="000000"/>
                <w:sz w:val="18"/>
                <w:szCs w:val="18"/>
              </w:rPr>
            </w:pPr>
            <w:r>
              <w:rPr>
                <w:rFonts w:ascii="Arial" w:hAnsi="Arial" w:eastAsia="等线" w:cs="Arial"/>
                <w:b/>
                <w:bCs/>
                <w:color w:val="000000"/>
                <w:sz w:val="18"/>
                <w:szCs w:val="18"/>
              </w:rPr>
              <w:t>5</w:t>
            </w:r>
          </w:p>
        </w:tc>
        <w:tc>
          <w:tcPr>
            <w:tcW w:w="1557" w:type="dxa"/>
            <w:vMerge w:val="restart"/>
            <w:tcBorders>
              <w:top w:val="nil"/>
              <w:left w:val="single" w:color="auto" w:sz="4" w:space="0"/>
              <w:bottom w:val="single" w:color="auto" w:sz="4" w:space="0"/>
              <w:right w:val="single" w:color="auto" w:sz="4" w:space="0"/>
            </w:tcBorders>
            <w:shd w:val="clear" w:color="000000" w:fill="D2DEEF"/>
            <w:vAlign w:val="center"/>
          </w:tcPr>
          <w:p w14:paraId="04149809">
            <w:pPr>
              <w:pageBreakBefore w:val="0"/>
              <w:kinsoku/>
              <w:wordWrap/>
              <w:overflowPunct/>
              <w:topLinePunct w:val="0"/>
              <w:autoSpaceDE/>
              <w:autoSpaceDN/>
              <w:bidi w:val="0"/>
              <w:adjustRightInd/>
              <w:snapToGrid/>
              <w:ind w:left="0" w:leftChars="0"/>
              <w:jc w:val="center"/>
              <w:rPr>
                <w:b/>
                <w:bCs/>
                <w:color w:val="000000"/>
                <w:sz w:val="18"/>
                <w:szCs w:val="18"/>
              </w:rPr>
            </w:pPr>
            <w:r>
              <w:rPr>
                <w:rFonts w:hint="eastAsia"/>
                <w:b/>
                <w:bCs/>
                <w:color w:val="000000"/>
                <w:sz w:val="18"/>
                <w:szCs w:val="18"/>
              </w:rPr>
              <w:t>G228快速化改造及新光路北延</w:t>
            </w:r>
          </w:p>
        </w:tc>
        <w:tc>
          <w:tcPr>
            <w:tcW w:w="2385" w:type="dxa"/>
            <w:tcBorders>
              <w:top w:val="nil"/>
              <w:left w:val="nil"/>
              <w:bottom w:val="single" w:color="auto" w:sz="4" w:space="0"/>
              <w:right w:val="single" w:color="auto" w:sz="4" w:space="0"/>
            </w:tcBorders>
            <w:shd w:val="clear" w:color="000000" w:fill="D2DEEF"/>
            <w:vAlign w:val="center"/>
          </w:tcPr>
          <w:p w14:paraId="006CF72F">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海滨大道—大港路</w:t>
            </w:r>
          </w:p>
        </w:tc>
        <w:tc>
          <w:tcPr>
            <w:tcW w:w="1319" w:type="dxa"/>
            <w:tcBorders>
              <w:top w:val="nil"/>
              <w:left w:val="nil"/>
              <w:bottom w:val="single" w:color="auto" w:sz="4" w:space="0"/>
              <w:right w:val="single" w:color="auto" w:sz="4" w:space="0"/>
            </w:tcBorders>
            <w:shd w:val="clear" w:color="000000" w:fill="D2DEEF"/>
            <w:vAlign w:val="center"/>
          </w:tcPr>
          <w:p w14:paraId="7E7C633E">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新建、改扩建</w:t>
            </w:r>
          </w:p>
        </w:tc>
        <w:tc>
          <w:tcPr>
            <w:tcW w:w="2126" w:type="dxa"/>
            <w:tcBorders>
              <w:top w:val="nil"/>
              <w:left w:val="nil"/>
              <w:bottom w:val="single" w:color="auto" w:sz="4" w:space="0"/>
              <w:right w:val="single" w:color="auto" w:sz="4" w:space="0"/>
            </w:tcBorders>
            <w:shd w:val="clear" w:color="000000" w:fill="D2DEEF"/>
            <w:vAlign w:val="center"/>
          </w:tcPr>
          <w:p w14:paraId="59AA6BFE">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3.719km，快速化</w:t>
            </w:r>
          </w:p>
        </w:tc>
        <w:tc>
          <w:tcPr>
            <w:tcW w:w="1984" w:type="dxa"/>
            <w:vMerge w:val="restart"/>
            <w:tcBorders>
              <w:top w:val="nil"/>
              <w:left w:val="single" w:color="auto" w:sz="4" w:space="0"/>
              <w:bottom w:val="single" w:color="auto" w:sz="4" w:space="0"/>
              <w:right w:val="single" w:color="auto" w:sz="4" w:space="0"/>
            </w:tcBorders>
            <w:shd w:val="clear" w:color="000000" w:fill="D2DEEF"/>
            <w:vAlign w:val="center"/>
          </w:tcPr>
          <w:p w14:paraId="41D2C08E">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2022-2024</w:t>
            </w:r>
          </w:p>
        </w:tc>
        <w:tc>
          <w:tcPr>
            <w:tcW w:w="1276" w:type="dxa"/>
            <w:tcBorders>
              <w:top w:val="nil"/>
              <w:left w:val="nil"/>
              <w:bottom w:val="single" w:color="auto" w:sz="4" w:space="0"/>
              <w:right w:val="single" w:color="auto" w:sz="4" w:space="0"/>
            </w:tcBorders>
            <w:shd w:val="clear" w:color="000000" w:fill="D2DEEF"/>
            <w:vAlign w:val="center"/>
          </w:tcPr>
          <w:p w14:paraId="434C96AA">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2.2</w:t>
            </w:r>
          </w:p>
        </w:tc>
        <w:tc>
          <w:tcPr>
            <w:tcW w:w="1701" w:type="dxa"/>
            <w:tcBorders>
              <w:top w:val="nil"/>
              <w:left w:val="nil"/>
              <w:bottom w:val="single" w:color="auto" w:sz="4" w:space="0"/>
              <w:right w:val="single" w:color="auto" w:sz="4" w:space="0"/>
            </w:tcBorders>
            <w:shd w:val="clear" w:color="000000" w:fill="D2DEEF"/>
            <w:vAlign w:val="center"/>
          </w:tcPr>
          <w:p w14:paraId="37DEE17B">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18822B1F">
        <w:tblPrEx>
          <w:tblCellMar>
            <w:top w:w="0" w:type="dxa"/>
            <w:left w:w="108" w:type="dxa"/>
            <w:bottom w:w="0" w:type="dxa"/>
            <w:right w:w="108" w:type="dxa"/>
          </w:tblCellMar>
        </w:tblPrEx>
        <w:trPr>
          <w:trHeight w:val="499" w:hRule="atLeast"/>
          <w:jc w:val="center"/>
        </w:trPr>
        <w:tc>
          <w:tcPr>
            <w:tcW w:w="980" w:type="dxa"/>
            <w:vMerge w:val="continue"/>
            <w:tcBorders>
              <w:left w:val="single" w:color="auto" w:sz="4" w:space="0"/>
              <w:right w:val="single" w:color="auto" w:sz="4" w:space="0"/>
            </w:tcBorders>
            <w:vAlign w:val="center"/>
          </w:tcPr>
          <w:p w14:paraId="21899E77">
            <w:pPr>
              <w:pageBreakBefore w:val="0"/>
              <w:kinsoku/>
              <w:wordWrap/>
              <w:overflowPunct/>
              <w:topLinePunct w:val="0"/>
              <w:autoSpaceDE/>
              <w:autoSpaceDN/>
              <w:bidi w:val="0"/>
              <w:adjustRightInd/>
              <w:snapToGrid/>
              <w:ind w:left="0" w:leftChars="0"/>
              <w:rPr>
                <w:rFonts w:ascii="Arial" w:hAnsi="Arial" w:eastAsia="等线" w:cs="Arial"/>
                <w:b/>
                <w:bCs/>
                <w:color w:val="000000"/>
                <w:sz w:val="18"/>
                <w:szCs w:val="18"/>
              </w:rPr>
            </w:pPr>
          </w:p>
        </w:tc>
        <w:tc>
          <w:tcPr>
            <w:tcW w:w="417" w:type="dxa"/>
            <w:vMerge w:val="continue"/>
            <w:tcBorders>
              <w:top w:val="nil"/>
              <w:left w:val="single" w:color="auto" w:sz="4" w:space="0"/>
              <w:bottom w:val="single" w:color="auto" w:sz="4" w:space="0"/>
              <w:right w:val="single" w:color="auto" w:sz="4" w:space="0"/>
            </w:tcBorders>
            <w:vAlign w:val="center"/>
          </w:tcPr>
          <w:p w14:paraId="21F926E3">
            <w:pPr>
              <w:pageBreakBefore w:val="0"/>
              <w:kinsoku/>
              <w:wordWrap/>
              <w:overflowPunct/>
              <w:topLinePunct w:val="0"/>
              <w:autoSpaceDE/>
              <w:autoSpaceDN/>
              <w:bidi w:val="0"/>
              <w:adjustRightInd/>
              <w:snapToGrid/>
              <w:ind w:left="0" w:leftChars="0"/>
              <w:rPr>
                <w:rFonts w:ascii="Arial" w:hAnsi="Arial" w:eastAsia="等线" w:cs="Arial"/>
                <w:b/>
                <w:bCs/>
                <w:color w:val="000000"/>
                <w:sz w:val="18"/>
                <w:szCs w:val="18"/>
              </w:rPr>
            </w:pPr>
          </w:p>
        </w:tc>
        <w:tc>
          <w:tcPr>
            <w:tcW w:w="1557" w:type="dxa"/>
            <w:vMerge w:val="continue"/>
            <w:tcBorders>
              <w:top w:val="nil"/>
              <w:left w:val="single" w:color="auto" w:sz="4" w:space="0"/>
              <w:bottom w:val="single" w:color="auto" w:sz="4" w:space="0"/>
              <w:right w:val="single" w:color="auto" w:sz="4" w:space="0"/>
            </w:tcBorders>
            <w:vAlign w:val="center"/>
          </w:tcPr>
          <w:p w14:paraId="43EC4EF1">
            <w:pPr>
              <w:pageBreakBefore w:val="0"/>
              <w:kinsoku/>
              <w:wordWrap/>
              <w:overflowPunct/>
              <w:topLinePunct w:val="0"/>
              <w:autoSpaceDE/>
              <w:autoSpaceDN/>
              <w:bidi w:val="0"/>
              <w:adjustRightInd/>
              <w:snapToGrid/>
              <w:ind w:left="0" w:leftChars="0"/>
              <w:rPr>
                <w:b/>
                <w:bCs/>
                <w:color w:val="000000"/>
                <w:sz w:val="18"/>
                <w:szCs w:val="18"/>
              </w:rPr>
            </w:pPr>
          </w:p>
        </w:tc>
        <w:tc>
          <w:tcPr>
            <w:tcW w:w="2385" w:type="dxa"/>
            <w:tcBorders>
              <w:top w:val="nil"/>
              <w:left w:val="nil"/>
              <w:bottom w:val="single" w:color="auto" w:sz="4" w:space="0"/>
              <w:right w:val="single" w:color="auto" w:sz="4" w:space="0"/>
            </w:tcBorders>
            <w:shd w:val="clear" w:color="000000" w:fill="D2DEEF"/>
            <w:vAlign w:val="center"/>
          </w:tcPr>
          <w:p w14:paraId="2E67FDC0">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大港路—徐新路</w:t>
            </w:r>
          </w:p>
        </w:tc>
        <w:tc>
          <w:tcPr>
            <w:tcW w:w="1319" w:type="dxa"/>
            <w:tcBorders>
              <w:top w:val="nil"/>
              <w:left w:val="nil"/>
              <w:bottom w:val="single" w:color="auto" w:sz="4" w:space="0"/>
              <w:right w:val="single" w:color="auto" w:sz="4" w:space="0"/>
            </w:tcBorders>
            <w:shd w:val="clear" w:color="000000" w:fill="D2DEEF"/>
            <w:vAlign w:val="center"/>
          </w:tcPr>
          <w:p w14:paraId="6154E0CC">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改扩建</w:t>
            </w:r>
          </w:p>
        </w:tc>
        <w:tc>
          <w:tcPr>
            <w:tcW w:w="2126" w:type="dxa"/>
            <w:tcBorders>
              <w:top w:val="nil"/>
              <w:left w:val="nil"/>
              <w:bottom w:val="single" w:color="auto" w:sz="4" w:space="0"/>
              <w:right w:val="single" w:color="auto" w:sz="4" w:space="0"/>
            </w:tcBorders>
            <w:shd w:val="clear" w:color="000000" w:fill="D2DEEF"/>
            <w:vAlign w:val="center"/>
          </w:tcPr>
          <w:p w14:paraId="062AF70E">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21.565km，快速路</w:t>
            </w:r>
          </w:p>
        </w:tc>
        <w:tc>
          <w:tcPr>
            <w:tcW w:w="1984" w:type="dxa"/>
            <w:vMerge w:val="continue"/>
            <w:tcBorders>
              <w:top w:val="nil"/>
              <w:left w:val="single" w:color="auto" w:sz="4" w:space="0"/>
              <w:bottom w:val="single" w:color="auto" w:sz="4" w:space="0"/>
              <w:right w:val="single" w:color="auto" w:sz="4" w:space="0"/>
            </w:tcBorders>
            <w:vAlign w:val="center"/>
          </w:tcPr>
          <w:p w14:paraId="4C3D8481">
            <w:pPr>
              <w:pageBreakBefore w:val="0"/>
              <w:kinsoku/>
              <w:wordWrap/>
              <w:overflowPunct/>
              <w:topLinePunct w:val="0"/>
              <w:autoSpaceDE/>
              <w:autoSpaceDN/>
              <w:bidi w:val="0"/>
              <w:adjustRightInd/>
              <w:snapToGrid/>
              <w:ind w:left="0" w:leftChars="0"/>
              <w:rPr>
                <w:b/>
                <w:bCs/>
                <w:color w:val="000000"/>
                <w:sz w:val="18"/>
                <w:szCs w:val="18"/>
              </w:rPr>
            </w:pPr>
          </w:p>
        </w:tc>
        <w:tc>
          <w:tcPr>
            <w:tcW w:w="1276" w:type="dxa"/>
            <w:tcBorders>
              <w:top w:val="nil"/>
              <w:left w:val="nil"/>
              <w:bottom w:val="single" w:color="auto" w:sz="4" w:space="0"/>
              <w:right w:val="single" w:color="auto" w:sz="4" w:space="0"/>
            </w:tcBorders>
            <w:shd w:val="clear" w:color="000000" w:fill="D2DEEF"/>
            <w:vAlign w:val="center"/>
          </w:tcPr>
          <w:p w14:paraId="0BE013AE">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28.9</w:t>
            </w:r>
          </w:p>
        </w:tc>
        <w:tc>
          <w:tcPr>
            <w:tcW w:w="1701" w:type="dxa"/>
            <w:tcBorders>
              <w:top w:val="nil"/>
              <w:left w:val="nil"/>
              <w:bottom w:val="single" w:color="auto" w:sz="4" w:space="0"/>
              <w:right w:val="single" w:color="auto" w:sz="4" w:space="0"/>
            </w:tcBorders>
            <w:shd w:val="clear" w:color="000000" w:fill="D2DEEF"/>
            <w:vAlign w:val="center"/>
          </w:tcPr>
          <w:p w14:paraId="0127BFB3">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1FF07090">
        <w:tblPrEx>
          <w:tblCellMar>
            <w:top w:w="0" w:type="dxa"/>
            <w:left w:w="108" w:type="dxa"/>
            <w:bottom w:w="0" w:type="dxa"/>
            <w:right w:w="108" w:type="dxa"/>
          </w:tblCellMar>
        </w:tblPrEx>
        <w:trPr>
          <w:trHeight w:val="499" w:hRule="atLeast"/>
          <w:jc w:val="center"/>
        </w:trPr>
        <w:tc>
          <w:tcPr>
            <w:tcW w:w="980" w:type="dxa"/>
            <w:vMerge w:val="continue"/>
            <w:tcBorders>
              <w:left w:val="single" w:color="auto" w:sz="4" w:space="0"/>
              <w:right w:val="single" w:color="auto" w:sz="4" w:space="0"/>
            </w:tcBorders>
            <w:shd w:val="clear" w:color="000000" w:fill="D2DEEF"/>
            <w:vAlign w:val="center"/>
          </w:tcPr>
          <w:p w14:paraId="6A793658">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p>
        </w:tc>
        <w:tc>
          <w:tcPr>
            <w:tcW w:w="417" w:type="dxa"/>
            <w:vMerge w:val="restart"/>
            <w:tcBorders>
              <w:top w:val="nil"/>
              <w:left w:val="single" w:color="auto" w:sz="4" w:space="0"/>
              <w:bottom w:val="single" w:color="000000" w:sz="4" w:space="0"/>
              <w:right w:val="single" w:color="auto" w:sz="4" w:space="0"/>
            </w:tcBorders>
            <w:shd w:val="clear" w:color="000000" w:fill="D2DEEF"/>
            <w:vAlign w:val="center"/>
          </w:tcPr>
          <w:p w14:paraId="4B014F8B">
            <w:pPr>
              <w:pageBreakBefore w:val="0"/>
              <w:kinsoku/>
              <w:wordWrap/>
              <w:overflowPunct/>
              <w:topLinePunct w:val="0"/>
              <w:autoSpaceDE/>
              <w:autoSpaceDN/>
              <w:bidi w:val="0"/>
              <w:adjustRightInd/>
              <w:snapToGrid/>
              <w:ind w:left="0" w:leftChars="0"/>
              <w:jc w:val="center"/>
              <w:rPr>
                <w:rFonts w:hint="eastAsia" w:ascii="Arial" w:hAnsi="Arial" w:eastAsia="等线" w:cs="Arial"/>
                <w:b/>
                <w:bCs/>
                <w:color w:val="000000"/>
                <w:sz w:val="18"/>
                <w:szCs w:val="18"/>
              </w:rPr>
            </w:pPr>
            <w:r>
              <w:rPr>
                <w:rFonts w:ascii="Arial" w:hAnsi="Arial" w:eastAsia="等线" w:cs="Arial"/>
                <w:b/>
                <w:bCs/>
                <w:color w:val="000000"/>
                <w:sz w:val="18"/>
                <w:szCs w:val="18"/>
              </w:rPr>
              <w:t>6</w:t>
            </w:r>
          </w:p>
        </w:tc>
        <w:tc>
          <w:tcPr>
            <w:tcW w:w="1557" w:type="dxa"/>
            <w:vMerge w:val="restart"/>
            <w:tcBorders>
              <w:top w:val="nil"/>
              <w:left w:val="single" w:color="auto" w:sz="4" w:space="0"/>
              <w:bottom w:val="single" w:color="auto" w:sz="4" w:space="0"/>
              <w:right w:val="single" w:color="auto" w:sz="4" w:space="0"/>
            </w:tcBorders>
            <w:shd w:val="clear" w:color="000000" w:fill="D2DEEF"/>
            <w:vAlign w:val="center"/>
          </w:tcPr>
          <w:p w14:paraId="57C91540">
            <w:pPr>
              <w:pageBreakBefore w:val="0"/>
              <w:kinsoku/>
              <w:wordWrap/>
              <w:overflowPunct/>
              <w:topLinePunct w:val="0"/>
              <w:autoSpaceDE/>
              <w:autoSpaceDN/>
              <w:bidi w:val="0"/>
              <w:adjustRightInd/>
              <w:snapToGrid/>
              <w:ind w:left="0" w:leftChars="0"/>
              <w:jc w:val="center"/>
              <w:rPr>
                <w:b/>
                <w:bCs/>
                <w:color w:val="000000"/>
                <w:sz w:val="18"/>
                <w:szCs w:val="18"/>
              </w:rPr>
            </w:pPr>
            <w:r>
              <w:rPr>
                <w:rFonts w:hint="eastAsia"/>
                <w:b/>
                <w:bCs/>
                <w:color w:val="000000"/>
                <w:sz w:val="18"/>
                <w:szCs w:val="18"/>
              </w:rPr>
              <w:t>金海大道快速化</w:t>
            </w:r>
          </w:p>
        </w:tc>
        <w:tc>
          <w:tcPr>
            <w:tcW w:w="2385" w:type="dxa"/>
            <w:tcBorders>
              <w:top w:val="nil"/>
              <w:left w:val="nil"/>
              <w:bottom w:val="single" w:color="auto" w:sz="4" w:space="0"/>
              <w:right w:val="single" w:color="auto" w:sz="4" w:space="0"/>
            </w:tcBorders>
            <w:shd w:val="clear" w:color="000000" w:fill="D2DEEF"/>
            <w:vAlign w:val="center"/>
          </w:tcPr>
          <w:p w14:paraId="53323983">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新光路—鹰游山路</w:t>
            </w:r>
          </w:p>
        </w:tc>
        <w:tc>
          <w:tcPr>
            <w:tcW w:w="1319" w:type="dxa"/>
            <w:tcBorders>
              <w:top w:val="nil"/>
              <w:left w:val="nil"/>
              <w:bottom w:val="single" w:color="auto" w:sz="4" w:space="0"/>
              <w:right w:val="single" w:color="auto" w:sz="4" w:space="0"/>
            </w:tcBorders>
            <w:shd w:val="clear" w:color="000000" w:fill="D2DEEF"/>
            <w:vAlign w:val="center"/>
          </w:tcPr>
          <w:p w14:paraId="3C32CD85">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改扩建</w:t>
            </w:r>
          </w:p>
        </w:tc>
        <w:tc>
          <w:tcPr>
            <w:tcW w:w="2126" w:type="dxa"/>
            <w:tcBorders>
              <w:top w:val="nil"/>
              <w:left w:val="nil"/>
              <w:bottom w:val="single" w:color="auto" w:sz="4" w:space="0"/>
              <w:right w:val="single" w:color="auto" w:sz="4" w:space="0"/>
            </w:tcBorders>
            <w:shd w:val="clear" w:color="000000" w:fill="D2DEEF"/>
            <w:vAlign w:val="center"/>
          </w:tcPr>
          <w:p w14:paraId="543ABC2B">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1.12km，快速化</w:t>
            </w:r>
          </w:p>
        </w:tc>
        <w:tc>
          <w:tcPr>
            <w:tcW w:w="1984" w:type="dxa"/>
            <w:vMerge w:val="restart"/>
            <w:tcBorders>
              <w:top w:val="nil"/>
              <w:left w:val="single" w:color="auto" w:sz="4" w:space="0"/>
              <w:bottom w:val="single" w:color="auto" w:sz="4" w:space="0"/>
              <w:right w:val="single" w:color="auto" w:sz="4" w:space="0"/>
            </w:tcBorders>
            <w:shd w:val="clear" w:color="000000" w:fill="D2DEEF"/>
            <w:vAlign w:val="center"/>
          </w:tcPr>
          <w:p w14:paraId="0805B3FB">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2021－2025年</w:t>
            </w:r>
          </w:p>
        </w:tc>
        <w:tc>
          <w:tcPr>
            <w:tcW w:w="1276" w:type="dxa"/>
            <w:tcBorders>
              <w:top w:val="nil"/>
              <w:left w:val="nil"/>
              <w:bottom w:val="single" w:color="auto" w:sz="4" w:space="0"/>
              <w:right w:val="single" w:color="auto" w:sz="4" w:space="0"/>
            </w:tcBorders>
            <w:shd w:val="clear" w:color="000000" w:fill="D2DEEF"/>
            <w:vAlign w:val="center"/>
          </w:tcPr>
          <w:p w14:paraId="34047C0D">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w:t>
            </w:r>
          </w:p>
        </w:tc>
        <w:tc>
          <w:tcPr>
            <w:tcW w:w="1701" w:type="dxa"/>
            <w:tcBorders>
              <w:top w:val="nil"/>
              <w:left w:val="nil"/>
              <w:bottom w:val="single" w:color="auto" w:sz="4" w:space="0"/>
              <w:right w:val="single" w:color="auto" w:sz="4" w:space="0"/>
            </w:tcBorders>
            <w:shd w:val="clear" w:color="000000" w:fill="D2DEEF"/>
            <w:vAlign w:val="center"/>
          </w:tcPr>
          <w:p w14:paraId="794A5988">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67386B13">
        <w:tblPrEx>
          <w:tblCellMar>
            <w:top w:w="0" w:type="dxa"/>
            <w:left w:w="108" w:type="dxa"/>
            <w:bottom w:w="0" w:type="dxa"/>
            <w:right w:w="108" w:type="dxa"/>
          </w:tblCellMar>
        </w:tblPrEx>
        <w:trPr>
          <w:trHeight w:val="499" w:hRule="atLeast"/>
          <w:jc w:val="center"/>
        </w:trPr>
        <w:tc>
          <w:tcPr>
            <w:tcW w:w="980" w:type="dxa"/>
            <w:vMerge w:val="continue"/>
            <w:tcBorders>
              <w:left w:val="single" w:color="auto" w:sz="4" w:space="0"/>
              <w:right w:val="single" w:color="auto" w:sz="4" w:space="0"/>
            </w:tcBorders>
            <w:vAlign w:val="center"/>
          </w:tcPr>
          <w:p w14:paraId="2E46F7D9">
            <w:pPr>
              <w:pageBreakBefore w:val="0"/>
              <w:kinsoku/>
              <w:wordWrap/>
              <w:overflowPunct/>
              <w:topLinePunct w:val="0"/>
              <w:autoSpaceDE/>
              <w:autoSpaceDN/>
              <w:bidi w:val="0"/>
              <w:adjustRightInd/>
              <w:snapToGrid/>
              <w:ind w:left="0" w:leftChars="0"/>
              <w:rPr>
                <w:rFonts w:ascii="Arial" w:hAnsi="Arial" w:eastAsia="等线" w:cs="Arial"/>
                <w:b/>
                <w:bCs/>
                <w:color w:val="000000"/>
                <w:sz w:val="18"/>
                <w:szCs w:val="18"/>
              </w:rPr>
            </w:pPr>
          </w:p>
        </w:tc>
        <w:tc>
          <w:tcPr>
            <w:tcW w:w="417" w:type="dxa"/>
            <w:vMerge w:val="continue"/>
            <w:tcBorders>
              <w:top w:val="nil"/>
              <w:left w:val="single" w:color="auto" w:sz="4" w:space="0"/>
              <w:bottom w:val="single" w:color="000000" w:sz="4" w:space="0"/>
              <w:right w:val="single" w:color="auto" w:sz="4" w:space="0"/>
            </w:tcBorders>
            <w:vAlign w:val="center"/>
          </w:tcPr>
          <w:p w14:paraId="33C9DB6C">
            <w:pPr>
              <w:pageBreakBefore w:val="0"/>
              <w:kinsoku/>
              <w:wordWrap/>
              <w:overflowPunct/>
              <w:topLinePunct w:val="0"/>
              <w:autoSpaceDE/>
              <w:autoSpaceDN/>
              <w:bidi w:val="0"/>
              <w:adjustRightInd/>
              <w:snapToGrid/>
              <w:ind w:left="0" w:leftChars="0"/>
              <w:rPr>
                <w:rFonts w:ascii="Arial" w:hAnsi="Arial" w:eastAsia="等线" w:cs="Arial"/>
                <w:b/>
                <w:bCs/>
                <w:color w:val="000000"/>
                <w:sz w:val="18"/>
                <w:szCs w:val="18"/>
              </w:rPr>
            </w:pPr>
          </w:p>
        </w:tc>
        <w:tc>
          <w:tcPr>
            <w:tcW w:w="1557" w:type="dxa"/>
            <w:vMerge w:val="continue"/>
            <w:tcBorders>
              <w:top w:val="nil"/>
              <w:left w:val="single" w:color="auto" w:sz="4" w:space="0"/>
              <w:bottom w:val="single" w:color="auto" w:sz="4" w:space="0"/>
              <w:right w:val="single" w:color="auto" w:sz="4" w:space="0"/>
            </w:tcBorders>
            <w:vAlign w:val="center"/>
          </w:tcPr>
          <w:p w14:paraId="23AE5F00">
            <w:pPr>
              <w:pageBreakBefore w:val="0"/>
              <w:kinsoku/>
              <w:wordWrap/>
              <w:overflowPunct/>
              <w:topLinePunct w:val="0"/>
              <w:autoSpaceDE/>
              <w:autoSpaceDN/>
              <w:bidi w:val="0"/>
              <w:adjustRightInd/>
              <w:snapToGrid/>
              <w:ind w:left="0" w:leftChars="0"/>
              <w:rPr>
                <w:b/>
                <w:bCs/>
                <w:color w:val="000000"/>
                <w:sz w:val="18"/>
                <w:szCs w:val="18"/>
              </w:rPr>
            </w:pPr>
          </w:p>
        </w:tc>
        <w:tc>
          <w:tcPr>
            <w:tcW w:w="2385" w:type="dxa"/>
            <w:tcBorders>
              <w:top w:val="nil"/>
              <w:left w:val="nil"/>
              <w:bottom w:val="single" w:color="auto" w:sz="4" w:space="0"/>
              <w:right w:val="single" w:color="auto" w:sz="4" w:space="0"/>
            </w:tcBorders>
            <w:shd w:val="clear" w:color="000000" w:fill="D2DEEF"/>
            <w:vAlign w:val="center"/>
          </w:tcPr>
          <w:p w14:paraId="363AAF5F">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鹰游山路—临洪大道北延</w:t>
            </w:r>
          </w:p>
        </w:tc>
        <w:tc>
          <w:tcPr>
            <w:tcW w:w="1319" w:type="dxa"/>
            <w:tcBorders>
              <w:top w:val="nil"/>
              <w:left w:val="nil"/>
              <w:bottom w:val="single" w:color="auto" w:sz="4" w:space="0"/>
              <w:right w:val="single" w:color="auto" w:sz="4" w:space="0"/>
            </w:tcBorders>
            <w:shd w:val="clear" w:color="000000" w:fill="D2DEEF"/>
            <w:vAlign w:val="center"/>
          </w:tcPr>
          <w:p w14:paraId="427D854C">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新建</w:t>
            </w:r>
          </w:p>
        </w:tc>
        <w:tc>
          <w:tcPr>
            <w:tcW w:w="2126" w:type="dxa"/>
            <w:tcBorders>
              <w:top w:val="nil"/>
              <w:left w:val="nil"/>
              <w:bottom w:val="single" w:color="auto" w:sz="4" w:space="0"/>
              <w:right w:val="single" w:color="auto" w:sz="4" w:space="0"/>
            </w:tcBorders>
            <w:shd w:val="clear" w:color="000000" w:fill="D2DEEF"/>
            <w:vAlign w:val="center"/>
          </w:tcPr>
          <w:p w14:paraId="74B1340B">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5.39km，快速化</w:t>
            </w:r>
          </w:p>
        </w:tc>
        <w:tc>
          <w:tcPr>
            <w:tcW w:w="1984" w:type="dxa"/>
            <w:vMerge w:val="continue"/>
            <w:tcBorders>
              <w:top w:val="nil"/>
              <w:left w:val="single" w:color="auto" w:sz="4" w:space="0"/>
              <w:bottom w:val="single" w:color="auto" w:sz="4" w:space="0"/>
              <w:right w:val="single" w:color="auto" w:sz="4" w:space="0"/>
            </w:tcBorders>
            <w:vAlign w:val="center"/>
          </w:tcPr>
          <w:p w14:paraId="4287BB0F">
            <w:pPr>
              <w:pageBreakBefore w:val="0"/>
              <w:kinsoku/>
              <w:wordWrap/>
              <w:overflowPunct/>
              <w:topLinePunct w:val="0"/>
              <w:autoSpaceDE/>
              <w:autoSpaceDN/>
              <w:bidi w:val="0"/>
              <w:adjustRightInd/>
              <w:snapToGrid/>
              <w:ind w:left="0" w:leftChars="0"/>
              <w:rPr>
                <w:b/>
                <w:bCs/>
                <w:color w:val="000000"/>
                <w:sz w:val="18"/>
                <w:szCs w:val="18"/>
              </w:rPr>
            </w:pPr>
          </w:p>
        </w:tc>
        <w:tc>
          <w:tcPr>
            <w:tcW w:w="1276" w:type="dxa"/>
            <w:tcBorders>
              <w:top w:val="nil"/>
              <w:left w:val="nil"/>
              <w:bottom w:val="single" w:color="auto" w:sz="4" w:space="0"/>
              <w:right w:val="single" w:color="auto" w:sz="4" w:space="0"/>
            </w:tcBorders>
            <w:shd w:val="clear" w:color="000000" w:fill="D2DEEF"/>
            <w:vAlign w:val="center"/>
          </w:tcPr>
          <w:p w14:paraId="48A67685">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4.1</w:t>
            </w:r>
          </w:p>
        </w:tc>
        <w:tc>
          <w:tcPr>
            <w:tcW w:w="1701" w:type="dxa"/>
            <w:tcBorders>
              <w:top w:val="nil"/>
              <w:left w:val="nil"/>
              <w:bottom w:val="single" w:color="auto" w:sz="4" w:space="0"/>
              <w:right w:val="single" w:color="auto" w:sz="4" w:space="0"/>
            </w:tcBorders>
            <w:shd w:val="clear" w:color="000000" w:fill="D2DEEF"/>
            <w:vAlign w:val="center"/>
          </w:tcPr>
          <w:p w14:paraId="0BE3CCDB">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0BD17CD9">
        <w:tblPrEx>
          <w:tblCellMar>
            <w:top w:w="0" w:type="dxa"/>
            <w:left w:w="108" w:type="dxa"/>
            <w:bottom w:w="0" w:type="dxa"/>
            <w:right w:w="108" w:type="dxa"/>
          </w:tblCellMar>
        </w:tblPrEx>
        <w:trPr>
          <w:trHeight w:val="840" w:hRule="atLeast"/>
          <w:jc w:val="center"/>
        </w:trPr>
        <w:tc>
          <w:tcPr>
            <w:tcW w:w="980" w:type="dxa"/>
            <w:vMerge w:val="continue"/>
            <w:tcBorders>
              <w:left w:val="single" w:color="auto" w:sz="4" w:space="0"/>
              <w:right w:val="single" w:color="auto" w:sz="4" w:space="0"/>
            </w:tcBorders>
            <w:shd w:val="clear" w:color="000000" w:fill="D2DEEF"/>
            <w:vAlign w:val="center"/>
          </w:tcPr>
          <w:p w14:paraId="197E354D">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p>
        </w:tc>
        <w:tc>
          <w:tcPr>
            <w:tcW w:w="417" w:type="dxa"/>
            <w:tcBorders>
              <w:top w:val="nil"/>
              <w:left w:val="single" w:color="auto" w:sz="4" w:space="0"/>
              <w:bottom w:val="single" w:color="auto" w:sz="4" w:space="0"/>
              <w:right w:val="single" w:color="auto" w:sz="4" w:space="0"/>
            </w:tcBorders>
            <w:shd w:val="clear" w:color="000000" w:fill="D2DEEF"/>
            <w:vAlign w:val="center"/>
          </w:tcPr>
          <w:p w14:paraId="562BA643">
            <w:pPr>
              <w:pageBreakBefore w:val="0"/>
              <w:kinsoku/>
              <w:wordWrap/>
              <w:overflowPunct/>
              <w:topLinePunct w:val="0"/>
              <w:autoSpaceDE/>
              <w:autoSpaceDN/>
              <w:bidi w:val="0"/>
              <w:adjustRightInd/>
              <w:snapToGrid/>
              <w:ind w:left="0" w:leftChars="0"/>
              <w:jc w:val="center"/>
              <w:rPr>
                <w:rFonts w:hint="eastAsia" w:ascii="Arial" w:hAnsi="Arial" w:eastAsia="等线" w:cs="Arial"/>
                <w:b/>
                <w:bCs/>
                <w:color w:val="000000"/>
                <w:sz w:val="18"/>
                <w:szCs w:val="18"/>
              </w:rPr>
            </w:pPr>
            <w:r>
              <w:rPr>
                <w:rFonts w:ascii="Arial" w:hAnsi="Arial" w:eastAsia="等线" w:cs="Arial"/>
                <w:b/>
                <w:bCs/>
                <w:color w:val="000000"/>
                <w:sz w:val="18"/>
                <w:szCs w:val="18"/>
              </w:rPr>
              <w:t>7</w:t>
            </w:r>
          </w:p>
        </w:tc>
        <w:tc>
          <w:tcPr>
            <w:tcW w:w="1557" w:type="dxa"/>
            <w:tcBorders>
              <w:top w:val="nil"/>
              <w:left w:val="nil"/>
              <w:bottom w:val="single" w:color="auto" w:sz="4" w:space="0"/>
              <w:right w:val="single" w:color="auto" w:sz="4" w:space="0"/>
            </w:tcBorders>
            <w:shd w:val="clear" w:color="000000" w:fill="D2DEEF"/>
            <w:vAlign w:val="center"/>
          </w:tcPr>
          <w:p w14:paraId="544416DC">
            <w:pPr>
              <w:pageBreakBefore w:val="0"/>
              <w:kinsoku/>
              <w:wordWrap/>
              <w:overflowPunct/>
              <w:topLinePunct w:val="0"/>
              <w:autoSpaceDE/>
              <w:autoSpaceDN/>
              <w:bidi w:val="0"/>
              <w:adjustRightInd/>
              <w:snapToGrid/>
              <w:ind w:left="0" w:leftChars="0"/>
              <w:jc w:val="center"/>
              <w:rPr>
                <w:b/>
                <w:bCs/>
                <w:color w:val="000000"/>
                <w:sz w:val="18"/>
                <w:szCs w:val="18"/>
              </w:rPr>
            </w:pPr>
            <w:r>
              <w:rPr>
                <w:rFonts w:hint="eastAsia"/>
                <w:b/>
                <w:bCs/>
                <w:color w:val="000000"/>
                <w:sz w:val="18"/>
                <w:szCs w:val="18"/>
              </w:rPr>
              <w:t>汇晶路快速路建设</w:t>
            </w:r>
          </w:p>
        </w:tc>
        <w:tc>
          <w:tcPr>
            <w:tcW w:w="2385" w:type="dxa"/>
            <w:tcBorders>
              <w:top w:val="nil"/>
              <w:left w:val="nil"/>
              <w:bottom w:val="single" w:color="auto" w:sz="4" w:space="0"/>
              <w:right w:val="single" w:color="auto" w:sz="4" w:space="0"/>
            </w:tcBorders>
            <w:shd w:val="clear" w:color="000000" w:fill="D2DEEF"/>
            <w:vAlign w:val="center"/>
          </w:tcPr>
          <w:p w14:paraId="33F193E3">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海滨大道—港城大道</w:t>
            </w:r>
          </w:p>
        </w:tc>
        <w:tc>
          <w:tcPr>
            <w:tcW w:w="1319" w:type="dxa"/>
            <w:tcBorders>
              <w:top w:val="nil"/>
              <w:left w:val="nil"/>
              <w:bottom w:val="single" w:color="auto" w:sz="4" w:space="0"/>
              <w:right w:val="single" w:color="auto" w:sz="4" w:space="0"/>
            </w:tcBorders>
            <w:shd w:val="clear" w:color="000000" w:fill="D2DEEF"/>
            <w:vAlign w:val="center"/>
          </w:tcPr>
          <w:p w14:paraId="34E361CA">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新建、改扩建</w:t>
            </w:r>
          </w:p>
        </w:tc>
        <w:tc>
          <w:tcPr>
            <w:tcW w:w="2126" w:type="dxa"/>
            <w:tcBorders>
              <w:top w:val="nil"/>
              <w:left w:val="nil"/>
              <w:bottom w:val="single" w:color="auto" w:sz="4" w:space="0"/>
              <w:right w:val="single" w:color="auto" w:sz="4" w:space="0"/>
            </w:tcBorders>
            <w:shd w:val="clear" w:color="000000" w:fill="D2DEEF"/>
            <w:vAlign w:val="center"/>
          </w:tcPr>
          <w:p w14:paraId="615F873F">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11.1km，快速路</w:t>
            </w:r>
          </w:p>
        </w:tc>
        <w:tc>
          <w:tcPr>
            <w:tcW w:w="1984" w:type="dxa"/>
            <w:tcBorders>
              <w:top w:val="nil"/>
              <w:left w:val="nil"/>
              <w:bottom w:val="single" w:color="auto" w:sz="4" w:space="0"/>
              <w:right w:val="single" w:color="auto" w:sz="4" w:space="0"/>
            </w:tcBorders>
            <w:shd w:val="clear" w:color="000000" w:fill="D2DEEF"/>
            <w:vAlign w:val="center"/>
          </w:tcPr>
          <w:p w14:paraId="374E59AB">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“十四五”全面启动研究规划</w:t>
            </w:r>
          </w:p>
        </w:tc>
        <w:tc>
          <w:tcPr>
            <w:tcW w:w="1276" w:type="dxa"/>
            <w:tcBorders>
              <w:top w:val="nil"/>
              <w:left w:val="nil"/>
              <w:bottom w:val="single" w:color="auto" w:sz="4" w:space="0"/>
              <w:right w:val="single" w:color="auto" w:sz="4" w:space="0"/>
            </w:tcBorders>
            <w:shd w:val="clear" w:color="000000" w:fill="D2DEEF"/>
            <w:vAlign w:val="center"/>
          </w:tcPr>
          <w:p w14:paraId="544BA0D8">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w:t>
            </w:r>
          </w:p>
        </w:tc>
        <w:tc>
          <w:tcPr>
            <w:tcW w:w="1701" w:type="dxa"/>
            <w:tcBorders>
              <w:top w:val="nil"/>
              <w:left w:val="nil"/>
              <w:bottom w:val="single" w:color="auto" w:sz="4" w:space="0"/>
              <w:right w:val="single" w:color="auto" w:sz="4" w:space="0"/>
            </w:tcBorders>
            <w:shd w:val="clear" w:color="000000" w:fill="D2DEEF"/>
            <w:vAlign w:val="center"/>
          </w:tcPr>
          <w:p w14:paraId="6A5B6443">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7D264EE8">
        <w:tblPrEx>
          <w:tblCellMar>
            <w:top w:w="0" w:type="dxa"/>
            <w:left w:w="108" w:type="dxa"/>
            <w:bottom w:w="0" w:type="dxa"/>
            <w:right w:w="108" w:type="dxa"/>
          </w:tblCellMar>
        </w:tblPrEx>
        <w:trPr>
          <w:trHeight w:val="780" w:hRule="atLeast"/>
          <w:jc w:val="center"/>
        </w:trPr>
        <w:tc>
          <w:tcPr>
            <w:tcW w:w="980" w:type="dxa"/>
            <w:vMerge w:val="continue"/>
            <w:tcBorders>
              <w:left w:val="single" w:color="auto" w:sz="4" w:space="0"/>
              <w:bottom w:val="single" w:color="auto" w:sz="4" w:space="0"/>
              <w:right w:val="single" w:color="auto" w:sz="4" w:space="0"/>
            </w:tcBorders>
            <w:shd w:val="clear" w:color="000000" w:fill="D2DEEF"/>
            <w:vAlign w:val="center"/>
          </w:tcPr>
          <w:p w14:paraId="68E143E3">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p>
        </w:tc>
        <w:tc>
          <w:tcPr>
            <w:tcW w:w="417" w:type="dxa"/>
            <w:tcBorders>
              <w:top w:val="nil"/>
              <w:left w:val="single" w:color="auto" w:sz="4" w:space="0"/>
              <w:bottom w:val="single" w:color="auto" w:sz="4" w:space="0"/>
              <w:right w:val="single" w:color="auto" w:sz="4" w:space="0"/>
            </w:tcBorders>
            <w:shd w:val="clear" w:color="000000" w:fill="D2DEEF"/>
            <w:vAlign w:val="center"/>
          </w:tcPr>
          <w:p w14:paraId="5C0DCFE5">
            <w:pPr>
              <w:pageBreakBefore w:val="0"/>
              <w:kinsoku/>
              <w:wordWrap/>
              <w:overflowPunct/>
              <w:topLinePunct w:val="0"/>
              <w:autoSpaceDE/>
              <w:autoSpaceDN/>
              <w:bidi w:val="0"/>
              <w:adjustRightInd/>
              <w:snapToGrid/>
              <w:ind w:left="0" w:leftChars="0"/>
              <w:jc w:val="center"/>
              <w:rPr>
                <w:rFonts w:hint="eastAsia" w:ascii="Arial" w:hAnsi="Arial" w:eastAsia="等线" w:cs="Arial"/>
                <w:b/>
                <w:bCs/>
                <w:color w:val="000000"/>
                <w:sz w:val="18"/>
                <w:szCs w:val="18"/>
              </w:rPr>
            </w:pPr>
            <w:r>
              <w:rPr>
                <w:rFonts w:ascii="Arial" w:hAnsi="Arial" w:eastAsia="等线" w:cs="Arial"/>
                <w:b/>
                <w:bCs/>
                <w:color w:val="000000"/>
                <w:sz w:val="18"/>
                <w:szCs w:val="18"/>
              </w:rPr>
              <w:t>8</w:t>
            </w:r>
          </w:p>
        </w:tc>
        <w:tc>
          <w:tcPr>
            <w:tcW w:w="1557" w:type="dxa"/>
            <w:tcBorders>
              <w:top w:val="nil"/>
              <w:left w:val="nil"/>
              <w:bottom w:val="single" w:color="auto" w:sz="4" w:space="0"/>
              <w:right w:val="single" w:color="auto" w:sz="4" w:space="0"/>
            </w:tcBorders>
            <w:shd w:val="clear" w:color="000000" w:fill="D2DEEF"/>
            <w:vAlign w:val="center"/>
          </w:tcPr>
          <w:p w14:paraId="5F061DAD">
            <w:pPr>
              <w:pageBreakBefore w:val="0"/>
              <w:kinsoku/>
              <w:wordWrap/>
              <w:overflowPunct/>
              <w:topLinePunct w:val="0"/>
              <w:autoSpaceDE/>
              <w:autoSpaceDN/>
              <w:bidi w:val="0"/>
              <w:adjustRightInd/>
              <w:snapToGrid/>
              <w:ind w:left="0" w:leftChars="0"/>
              <w:jc w:val="center"/>
              <w:rPr>
                <w:b/>
                <w:bCs/>
                <w:color w:val="000000"/>
                <w:sz w:val="18"/>
                <w:szCs w:val="18"/>
              </w:rPr>
            </w:pPr>
            <w:r>
              <w:rPr>
                <w:rFonts w:hint="eastAsia"/>
                <w:b/>
                <w:bCs/>
                <w:color w:val="000000"/>
                <w:sz w:val="18"/>
                <w:szCs w:val="18"/>
              </w:rPr>
              <w:t>连霍高速城市快速路改造</w:t>
            </w:r>
          </w:p>
        </w:tc>
        <w:tc>
          <w:tcPr>
            <w:tcW w:w="2385" w:type="dxa"/>
            <w:tcBorders>
              <w:top w:val="nil"/>
              <w:left w:val="nil"/>
              <w:bottom w:val="single" w:color="auto" w:sz="4" w:space="0"/>
              <w:right w:val="single" w:color="auto" w:sz="4" w:space="0"/>
            </w:tcBorders>
            <w:shd w:val="clear" w:color="000000" w:fill="D2DEEF"/>
            <w:vAlign w:val="center"/>
          </w:tcPr>
          <w:p w14:paraId="34484A8A">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连霍高速零公里—云台互通</w:t>
            </w:r>
          </w:p>
        </w:tc>
        <w:tc>
          <w:tcPr>
            <w:tcW w:w="1319" w:type="dxa"/>
            <w:tcBorders>
              <w:top w:val="nil"/>
              <w:left w:val="nil"/>
              <w:bottom w:val="single" w:color="auto" w:sz="4" w:space="0"/>
              <w:right w:val="single" w:color="auto" w:sz="4" w:space="0"/>
            </w:tcBorders>
            <w:shd w:val="clear" w:color="000000" w:fill="D2DEEF"/>
            <w:vAlign w:val="center"/>
          </w:tcPr>
          <w:p w14:paraId="15F5F483">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改扩建</w:t>
            </w:r>
          </w:p>
        </w:tc>
        <w:tc>
          <w:tcPr>
            <w:tcW w:w="2126" w:type="dxa"/>
            <w:tcBorders>
              <w:top w:val="nil"/>
              <w:left w:val="nil"/>
              <w:bottom w:val="single" w:color="auto" w:sz="4" w:space="0"/>
              <w:right w:val="single" w:color="auto" w:sz="4" w:space="0"/>
            </w:tcBorders>
            <w:shd w:val="clear" w:color="000000" w:fill="D2DEEF"/>
            <w:vAlign w:val="center"/>
          </w:tcPr>
          <w:p w14:paraId="4A769E52">
            <w:pPr>
              <w:pageBreakBefore w:val="0"/>
              <w:kinsoku/>
              <w:wordWrap/>
              <w:overflowPunct/>
              <w:topLinePunct w:val="0"/>
              <w:autoSpaceDE/>
              <w:autoSpaceDN/>
              <w:bidi w:val="0"/>
              <w:adjustRightInd/>
              <w:snapToGrid/>
              <w:ind w:left="0" w:leftChars="0"/>
              <w:jc w:val="center"/>
              <w:rPr>
                <w:rFonts w:hint="eastAsia"/>
                <w:b/>
                <w:bCs/>
                <w:color w:val="000000"/>
                <w:sz w:val="18"/>
                <w:szCs w:val="18"/>
              </w:rPr>
            </w:pPr>
          </w:p>
        </w:tc>
        <w:tc>
          <w:tcPr>
            <w:tcW w:w="1984" w:type="dxa"/>
            <w:tcBorders>
              <w:top w:val="nil"/>
              <w:left w:val="nil"/>
              <w:bottom w:val="single" w:color="auto" w:sz="4" w:space="0"/>
              <w:right w:val="single" w:color="auto" w:sz="4" w:space="0"/>
            </w:tcBorders>
            <w:shd w:val="clear" w:color="000000" w:fill="D2DEEF"/>
            <w:vAlign w:val="center"/>
          </w:tcPr>
          <w:p w14:paraId="75C12224">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“十四五”全面启动研究规划</w:t>
            </w:r>
          </w:p>
        </w:tc>
        <w:tc>
          <w:tcPr>
            <w:tcW w:w="1276" w:type="dxa"/>
            <w:tcBorders>
              <w:top w:val="nil"/>
              <w:left w:val="nil"/>
              <w:bottom w:val="single" w:color="auto" w:sz="4" w:space="0"/>
              <w:right w:val="single" w:color="auto" w:sz="4" w:space="0"/>
            </w:tcBorders>
            <w:shd w:val="clear" w:color="000000" w:fill="D2DEEF"/>
            <w:vAlign w:val="center"/>
          </w:tcPr>
          <w:p w14:paraId="6CE09BAE">
            <w:pPr>
              <w:pageBreakBefore w:val="0"/>
              <w:kinsoku/>
              <w:wordWrap/>
              <w:overflowPunct/>
              <w:topLinePunct w:val="0"/>
              <w:autoSpaceDE/>
              <w:autoSpaceDN/>
              <w:bidi w:val="0"/>
              <w:adjustRightInd/>
              <w:snapToGrid/>
              <w:ind w:left="0" w:leftChars="0"/>
              <w:jc w:val="center"/>
              <w:rPr>
                <w:rFonts w:hint="eastAsia" w:eastAsia="宋体"/>
                <w:b/>
                <w:bCs/>
                <w:color w:val="000000"/>
                <w:sz w:val="18"/>
                <w:szCs w:val="18"/>
                <w:lang w:eastAsia="zh-CN"/>
              </w:rPr>
            </w:pPr>
            <w:r>
              <w:rPr>
                <w:rFonts w:hint="eastAsia"/>
                <w:b/>
                <w:bCs/>
                <w:color w:val="000000"/>
                <w:sz w:val="18"/>
                <w:szCs w:val="18"/>
              </w:rPr>
              <w:t>1.1+0.05/年</w:t>
            </w:r>
          </w:p>
          <w:p w14:paraId="14B17156">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政府补贴</w:t>
            </w:r>
          </w:p>
        </w:tc>
        <w:tc>
          <w:tcPr>
            <w:tcW w:w="1701" w:type="dxa"/>
            <w:tcBorders>
              <w:top w:val="nil"/>
              <w:left w:val="nil"/>
              <w:bottom w:val="single" w:color="auto" w:sz="4" w:space="0"/>
              <w:right w:val="single" w:color="auto" w:sz="4" w:space="0"/>
            </w:tcBorders>
            <w:shd w:val="clear" w:color="000000" w:fill="D2DEEF"/>
            <w:vAlign w:val="center"/>
          </w:tcPr>
          <w:p w14:paraId="6B13FF7A">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137F1428">
        <w:tblPrEx>
          <w:tblCellMar>
            <w:top w:w="0" w:type="dxa"/>
            <w:left w:w="108" w:type="dxa"/>
            <w:bottom w:w="0" w:type="dxa"/>
            <w:right w:w="108" w:type="dxa"/>
          </w:tblCellMar>
        </w:tblPrEx>
        <w:trPr>
          <w:trHeight w:val="765" w:hRule="atLeast"/>
          <w:jc w:val="center"/>
        </w:trPr>
        <w:tc>
          <w:tcPr>
            <w:tcW w:w="980" w:type="dxa"/>
            <w:vMerge w:val="restart"/>
            <w:tcBorders>
              <w:top w:val="nil"/>
              <w:left w:val="single" w:color="auto" w:sz="4" w:space="0"/>
              <w:right w:val="single" w:color="auto" w:sz="4" w:space="0"/>
            </w:tcBorders>
            <w:shd w:val="clear" w:color="000000" w:fill="D2DEEF"/>
            <w:vAlign w:val="center"/>
          </w:tcPr>
          <w:p w14:paraId="3E6260AB">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r>
              <w:rPr>
                <w:rFonts w:hint="eastAsia" w:ascii="Arial" w:hAnsi="Arial" w:eastAsia="等线" w:cs="Arial"/>
                <w:b/>
                <w:bCs/>
                <w:color w:val="000000"/>
                <w:sz w:val="18"/>
                <w:szCs w:val="18"/>
              </w:rPr>
              <w:t>集疏运体系建设</w:t>
            </w:r>
          </w:p>
        </w:tc>
        <w:tc>
          <w:tcPr>
            <w:tcW w:w="417" w:type="dxa"/>
            <w:tcBorders>
              <w:top w:val="nil"/>
              <w:left w:val="single" w:color="auto" w:sz="4" w:space="0"/>
              <w:bottom w:val="single" w:color="auto" w:sz="4" w:space="0"/>
              <w:right w:val="single" w:color="auto" w:sz="4" w:space="0"/>
            </w:tcBorders>
            <w:shd w:val="clear" w:color="000000" w:fill="D2DEEF"/>
            <w:vAlign w:val="center"/>
          </w:tcPr>
          <w:p w14:paraId="177E5B6A">
            <w:pPr>
              <w:pageBreakBefore w:val="0"/>
              <w:kinsoku/>
              <w:wordWrap/>
              <w:overflowPunct/>
              <w:topLinePunct w:val="0"/>
              <w:autoSpaceDE/>
              <w:autoSpaceDN/>
              <w:bidi w:val="0"/>
              <w:adjustRightInd/>
              <w:snapToGrid/>
              <w:ind w:left="0" w:leftChars="0"/>
              <w:jc w:val="center"/>
              <w:rPr>
                <w:rFonts w:hint="eastAsia" w:ascii="Arial" w:hAnsi="Arial" w:eastAsia="等线" w:cs="Arial"/>
                <w:b/>
                <w:bCs/>
                <w:color w:val="000000"/>
                <w:sz w:val="18"/>
                <w:szCs w:val="18"/>
              </w:rPr>
            </w:pPr>
            <w:r>
              <w:rPr>
                <w:rFonts w:ascii="Arial" w:hAnsi="Arial" w:eastAsia="等线" w:cs="Arial"/>
                <w:b/>
                <w:bCs/>
                <w:color w:val="000000"/>
                <w:sz w:val="18"/>
                <w:szCs w:val="18"/>
              </w:rPr>
              <w:t>9</w:t>
            </w:r>
          </w:p>
        </w:tc>
        <w:tc>
          <w:tcPr>
            <w:tcW w:w="1557" w:type="dxa"/>
            <w:tcBorders>
              <w:top w:val="nil"/>
              <w:left w:val="nil"/>
              <w:bottom w:val="single" w:color="auto" w:sz="4" w:space="0"/>
              <w:right w:val="single" w:color="auto" w:sz="4" w:space="0"/>
            </w:tcBorders>
            <w:shd w:val="clear" w:color="000000" w:fill="D2DEEF"/>
            <w:vAlign w:val="center"/>
          </w:tcPr>
          <w:p w14:paraId="79D2FB3B">
            <w:pPr>
              <w:pageBreakBefore w:val="0"/>
              <w:kinsoku/>
              <w:wordWrap/>
              <w:overflowPunct/>
              <w:topLinePunct w:val="0"/>
              <w:autoSpaceDE/>
              <w:autoSpaceDN/>
              <w:bidi w:val="0"/>
              <w:adjustRightInd/>
              <w:snapToGrid/>
              <w:ind w:left="0" w:leftChars="0"/>
              <w:jc w:val="center"/>
              <w:rPr>
                <w:b/>
                <w:bCs/>
                <w:color w:val="000000"/>
                <w:sz w:val="18"/>
                <w:szCs w:val="18"/>
              </w:rPr>
            </w:pPr>
            <w:r>
              <w:rPr>
                <w:rFonts w:hint="eastAsia"/>
                <w:b/>
                <w:bCs/>
                <w:color w:val="000000"/>
                <w:sz w:val="18"/>
                <w:szCs w:val="18"/>
              </w:rPr>
              <w:t>铁路货运南绕线</w:t>
            </w:r>
          </w:p>
        </w:tc>
        <w:tc>
          <w:tcPr>
            <w:tcW w:w="2385" w:type="dxa"/>
            <w:tcBorders>
              <w:top w:val="nil"/>
              <w:left w:val="nil"/>
              <w:bottom w:val="single" w:color="auto" w:sz="4" w:space="0"/>
              <w:right w:val="single" w:color="auto" w:sz="4" w:space="0"/>
            </w:tcBorders>
            <w:shd w:val="clear" w:color="000000" w:fill="D2DEEF"/>
            <w:vAlign w:val="center"/>
          </w:tcPr>
          <w:p w14:paraId="056F5D78">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连云港港—海州站</w:t>
            </w:r>
          </w:p>
        </w:tc>
        <w:tc>
          <w:tcPr>
            <w:tcW w:w="1319" w:type="dxa"/>
            <w:tcBorders>
              <w:top w:val="nil"/>
              <w:left w:val="nil"/>
              <w:bottom w:val="single" w:color="auto" w:sz="4" w:space="0"/>
              <w:right w:val="single" w:color="auto" w:sz="4" w:space="0"/>
            </w:tcBorders>
            <w:shd w:val="clear" w:color="000000" w:fill="D2DEEF"/>
            <w:vAlign w:val="center"/>
          </w:tcPr>
          <w:p w14:paraId="441FD60E">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新建</w:t>
            </w:r>
          </w:p>
        </w:tc>
        <w:tc>
          <w:tcPr>
            <w:tcW w:w="2126" w:type="dxa"/>
            <w:tcBorders>
              <w:top w:val="nil"/>
              <w:left w:val="nil"/>
              <w:bottom w:val="single" w:color="auto" w:sz="4" w:space="0"/>
              <w:right w:val="single" w:color="auto" w:sz="4" w:space="0"/>
            </w:tcBorders>
            <w:shd w:val="clear" w:color="000000" w:fill="D2DEEF"/>
            <w:vAlign w:val="center"/>
          </w:tcPr>
          <w:p w14:paraId="671D58CB">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59.8km，120km/h</w:t>
            </w:r>
          </w:p>
        </w:tc>
        <w:tc>
          <w:tcPr>
            <w:tcW w:w="1984" w:type="dxa"/>
            <w:tcBorders>
              <w:top w:val="nil"/>
              <w:left w:val="nil"/>
              <w:bottom w:val="single" w:color="auto" w:sz="4" w:space="0"/>
              <w:right w:val="single" w:color="auto" w:sz="4" w:space="0"/>
            </w:tcBorders>
            <w:shd w:val="clear" w:color="000000" w:fill="D2DEEF"/>
            <w:vAlign w:val="center"/>
          </w:tcPr>
          <w:p w14:paraId="0C07E0F9">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“十四五”全面启动研究规划</w:t>
            </w:r>
          </w:p>
        </w:tc>
        <w:tc>
          <w:tcPr>
            <w:tcW w:w="1276" w:type="dxa"/>
            <w:tcBorders>
              <w:top w:val="nil"/>
              <w:left w:val="nil"/>
              <w:bottom w:val="single" w:color="auto" w:sz="4" w:space="0"/>
              <w:right w:val="single" w:color="auto" w:sz="4" w:space="0"/>
            </w:tcBorders>
            <w:shd w:val="clear" w:color="000000" w:fill="D2DEEF"/>
            <w:vAlign w:val="center"/>
          </w:tcPr>
          <w:p w14:paraId="42D977DF">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63.58</w:t>
            </w:r>
          </w:p>
        </w:tc>
        <w:tc>
          <w:tcPr>
            <w:tcW w:w="1701" w:type="dxa"/>
            <w:tcBorders>
              <w:top w:val="nil"/>
              <w:left w:val="nil"/>
              <w:bottom w:val="single" w:color="auto" w:sz="4" w:space="0"/>
              <w:right w:val="single" w:color="auto" w:sz="4" w:space="0"/>
            </w:tcBorders>
            <w:shd w:val="clear" w:color="000000" w:fill="D2DEEF"/>
            <w:vAlign w:val="center"/>
          </w:tcPr>
          <w:p w14:paraId="62D4C8FC">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1A0BD71B">
        <w:tblPrEx>
          <w:tblCellMar>
            <w:top w:w="0" w:type="dxa"/>
            <w:left w:w="108" w:type="dxa"/>
            <w:bottom w:w="0" w:type="dxa"/>
            <w:right w:w="108" w:type="dxa"/>
          </w:tblCellMar>
        </w:tblPrEx>
        <w:trPr>
          <w:trHeight w:val="765" w:hRule="atLeast"/>
          <w:jc w:val="center"/>
        </w:trPr>
        <w:tc>
          <w:tcPr>
            <w:tcW w:w="980" w:type="dxa"/>
            <w:vMerge w:val="continue"/>
            <w:tcBorders>
              <w:left w:val="single" w:color="auto" w:sz="4" w:space="0"/>
              <w:bottom w:val="single" w:color="auto" w:sz="4" w:space="0"/>
              <w:right w:val="single" w:color="auto" w:sz="4" w:space="0"/>
            </w:tcBorders>
            <w:shd w:val="clear" w:color="000000" w:fill="D2DEEF"/>
            <w:vAlign w:val="center"/>
          </w:tcPr>
          <w:p w14:paraId="5E74B996">
            <w:pPr>
              <w:pageBreakBefore w:val="0"/>
              <w:kinsoku/>
              <w:wordWrap/>
              <w:overflowPunct/>
              <w:topLinePunct w:val="0"/>
              <w:autoSpaceDE/>
              <w:autoSpaceDN/>
              <w:bidi w:val="0"/>
              <w:adjustRightInd/>
              <w:snapToGrid/>
              <w:ind w:left="0" w:leftChars="0"/>
              <w:jc w:val="center"/>
              <w:rPr>
                <w:rFonts w:hint="eastAsia" w:ascii="Arial" w:hAnsi="Arial" w:eastAsia="等线" w:cs="Arial"/>
                <w:b/>
                <w:bCs/>
                <w:color w:val="000000"/>
                <w:sz w:val="18"/>
                <w:szCs w:val="18"/>
              </w:rPr>
            </w:pPr>
          </w:p>
        </w:tc>
        <w:tc>
          <w:tcPr>
            <w:tcW w:w="417" w:type="dxa"/>
            <w:tcBorders>
              <w:top w:val="nil"/>
              <w:left w:val="single" w:color="auto" w:sz="4" w:space="0"/>
              <w:bottom w:val="single" w:color="auto" w:sz="4" w:space="0"/>
              <w:right w:val="single" w:color="auto" w:sz="4" w:space="0"/>
            </w:tcBorders>
            <w:shd w:val="clear" w:color="000000" w:fill="D2DEEF"/>
            <w:vAlign w:val="center"/>
          </w:tcPr>
          <w:p w14:paraId="3A90D46C">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r>
              <w:rPr>
                <w:rFonts w:hint="eastAsia" w:ascii="Arial" w:hAnsi="Arial" w:eastAsia="等线" w:cs="Arial"/>
                <w:b/>
                <w:bCs/>
                <w:color w:val="000000"/>
                <w:sz w:val="18"/>
                <w:szCs w:val="18"/>
              </w:rPr>
              <w:t>1</w:t>
            </w:r>
            <w:r>
              <w:rPr>
                <w:rFonts w:ascii="Arial" w:hAnsi="Arial" w:eastAsia="等线" w:cs="Arial"/>
                <w:b/>
                <w:bCs/>
                <w:color w:val="000000"/>
                <w:sz w:val="18"/>
                <w:szCs w:val="18"/>
              </w:rPr>
              <w:t>0</w:t>
            </w:r>
          </w:p>
        </w:tc>
        <w:tc>
          <w:tcPr>
            <w:tcW w:w="1557" w:type="dxa"/>
            <w:tcBorders>
              <w:top w:val="nil"/>
              <w:left w:val="nil"/>
              <w:bottom w:val="single" w:color="auto" w:sz="4" w:space="0"/>
              <w:right w:val="single" w:color="auto" w:sz="4" w:space="0"/>
            </w:tcBorders>
            <w:shd w:val="clear" w:color="000000" w:fill="D2DEEF"/>
            <w:vAlign w:val="center"/>
          </w:tcPr>
          <w:p w14:paraId="1641635C">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沿海高铁</w:t>
            </w:r>
          </w:p>
        </w:tc>
        <w:tc>
          <w:tcPr>
            <w:tcW w:w="2385" w:type="dxa"/>
            <w:tcBorders>
              <w:top w:val="nil"/>
              <w:left w:val="nil"/>
              <w:bottom w:val="single" w:color="auto" w:sz="4" w:space="0"/>
              <w:right w:val="single" w:color="auto" w:sz="4" w:space="0"/>
            </w:tcBorders>
            <w:shd w:val="clear" w:color="000000" w:fill="D2DEEF"/>
            <w:vAlign w:val="center"/>
          </w:tcPr>
          <w:p w14:paraId="4484922F">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连云港—盐城</w:t>
            </w:r>
          </w:p>
        </w:tc>
        <w:tc>
          <w:tcPr>
            <w:tcW w:w="1319" w:type="dxa"/>
            <w:tcBorders>
              <w:top w:val="nil"/>
              <w:left w:val="nil"/>
              <w:bottom w:val="single" w:color="auto" w:sz="4" w:space="0"/>
              <w:right w:val="single" w:color="auto" w:sz="4" w:space="0"/>
            </w:tcBorders>
            <w:shd w:val="clear" w:color="000000" w:fill="D2DEEF"/>
            <w:vAlign w:val="center"/>
          </w:tcPr>
          <w:p w14:paraId="605A0891">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新建</w:t>
            </w:r>
          </w:p>
        </w:tc>
        <w:tc>
          <w:tcPr>
            <w:tcW w:w="2126" w:type="dxa"/>
            <w:tcBorders>
              <w:top w:val="nil"/>
              <w:left w:val="nil"/>
              <w:bottom w:val="single" w:color="auto" w:sz="4" w:space="0"/>
              <w:right w:val="single" w:color="auto" w:sz="4" w:space="0"/>
            </w:tcBorders>
            <w:shd w:val="clear" w:color="000000" w:fill="D2DEEF"/>
            <w:vAlign w:val="center"/>
          </w:tcPr>
          <w:p w14:paraId="32D6C00C">
            <w:pPr>
              <w:pageBreakBefore w:val="0"/>
              <w:kinsoku/>
              <w:wordWrap/>
              <w:overflowPunct/>
              <w:topLinePunct w:val="0"/>
              <w:autoSpaceDE/>
              <w:autoSpaceDN/>
              <w:bidi w:val="0"/>
              <w:adjustRightInd/>
              <w:snapToGrid/>
              <w:ind w:left="0" w:leftChars="0"/>
              <w:jc w:val="center"/>
              <w:rPr>
                <w:rFonts w:hint="eastAsia"/>
                <w:b/>
                <w:bCs/>
                <w:color w:val="000000"/>
                <w:sz w:val="18"/>
                <w:szCs w:val="18"/>
              </w:rPr>
            </w:pPr>
          </w:p>
        </w:tc>
        <w:tc>
          <w:tcPr>
            <w:tcW w:w="1984" w:type="dxa"/>
            <w:tcBorders>
              <w:top w:val="nil"/>
              <w:left w:val="nil"/>
              <w:bottom w:val="single" w:color="auto" w:sz="4" w:space="0"/>
              <w:right w:val="single" w:color="auto" w:sz="4" w:space="0"/>
            </w:tcBorders>
            <w:shd w:val="clear" w:color="000000" w:fill="D2DEEF"/>
            <w:vAlign w:val="center"/>
          </w:tcPr>
          <w:p w14:paraId="59354EC2">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“十四五”全面启动研究规划</w:t>
            </w:r>
          </w:p>
        </w:tc>
        <w:tc>
          <w:tcPr>
            <w:tcW w:w="1276" w:type="dxa"/>
            <w:tcBorders>
              <w:top w:val="nil"/>
              <w:left w:val="nil"/>
              <w:bottom w:val="single" w:color="auto" w:sz="4" w:space="0"/>
              <w:right w:val="single" w:color="auto" w:sz="4" w:space="0"/>
            </w:tcBorders>
            <w:shd w:val="clear" w:color="000000" w:fill="D2DEEF"/>
            <w:vAlign w:val="center"/>
          </w:tcPr>
          <w:p w14:paraId="56F865C3">
            <w:pPr>
              <w:pageBreakBefore w:val="0"/>
              <w:kinsoku/>
              <w:wordWrap/>
              <w:overflowPunct/>
              <w:topLinePunct w:val="0"/>
              <w:autoSpaceDE/>
              <w:autoSpaceDN/>
              <w:bidi w:val="0"/>
              <w:adjustRightInd/>
              <w:snapToGrid/>
              <w:ind w:left="0" w:leftChars="0"/>
              <w:jc w:val="center"/>
              <w:rPr>
                <w:rFonts w:hint="eastAsia"/>
                <w:b/>
                <w:bCs/>
                <w:color w:val="000000"/>
                <w:sz w:val="18"/>
                <w:szCs w:val="18"/>
              </w:rPr>
            </w:pPr>
          </w:p>
        </w:tc>
        <w:tc>
          <w:tcPr>
            <w:tcW w:w="1701" w:type="dxa"/>
            <w:tcBorders>
              <w:top w:val="nil"/>
              <w:left w:val="nil"/>
              <w:bottom w:val="single" w:color="auto" w:sz="4" w:space="0"/>
              <w:right w:val="single" w:color="auto" w:sz="4" w:space="0"/>
            </w:tcBorders>
            <w:shd w:val="clear" w:color="000000" w:fill="D2DEEF"/>
            <w:vAlign w:val="center"/>
          </w:tcPr>
          <w:p w14:paraId="5531B27E">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411B14CE">
        <w:tblPrEx>
          <w:tblCellMar>
            <w:top w:w="0" w:type="dxa"/>
            <w:left w:w="108" w:type="dxa"/>
            <w:bottom w:w="0" w:type="dxa"/>
            <w:right w:w="108" w:type="dxa"/>
          </w:tblCellMar>
        </w:tblPrEx>
        <w:trPr>
          <w:trHeight w:val="915" w:hRule="atLeast"/>
          <w:jc w:val="center"/>
        </w:trPr>
        <w:tc>
          <w:tcPr>
            <w:tcW w:w="980" w:type="dxa"/>
            <w:tcBorders>
              <w:top w:val="nil"/>
              <w:left w:val="single" w:color="auto" w:sz="4" w:space="0"/>
              <w:bottom w:val="single" w:color="auto" w:sz="4" w:space="0"/>
              <w:right w:val="single" w:color="auto" w:sz="4" w:space="0"/>
            </w:tcBorders>
            <w:shd w:val="clear" w:color="000000" w:fill="D2DEEF"/>
            <w:vAlign w:val="center"/>
          </w:tcPr>
          <w:p w14:paraId="59EFD4C2">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r>
              <w:rPr>
                <w:rFonts w:hint="eastAsia" w:ascii="Arial" w:hAnsi="Arial" w:eastAsia="等线" w:cs="Arial"/>
                <w:b/>
                <w:bCs/>
                <w:color w:val="000000"/>
                <w:sz w:val="18"/>
                <w:szCs w:val="18"/>
              </w:rPr>
              <w:t>农村公路</w:t>
            </w:r>
          </w:p>
          <w:p w14:paraId="4D10B866">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r>
              <w:rPr>
                <w:rFonts w:hint="eastAsia" w:ascii="Arial" w:hAnsi="Arial" w:eastAsia="等线" w:cs="Arial"/>
                <w:b/>
                <w:bCs/>
                <w:color w:val="000000"/>
                <w:sz w:val="18"/>
                <w:szCs w:val="18"/>
              </w:rPr>
              <w:t>建设</w:t>
            </w:r>
          </w:p>
        </w:tc>
        <w:tc>
          <w:tcPr>
            <w:tcW w:w="417" w:type="dxa"/>
            <w:tcBorders>
              <w:top w:val="nil"/>
              <w:left w:val="single" w:color="auto" w:sz="4" w:space="0"/>
              <w:bottom w:val="single" w:color="auto" w:sz="4" w:space="0"/>
              <w:right w:val="single" w:color="auto" w:sz="4" w:space="0"/>
            </w:tcBorders>
            <w:shd w:val="clear" w:color="000000" w:fill="D2DEEF"/>
            <w:vAlign w:val="center"/>
          </w:tcPr>
          <w:p w14:paraId="02CAD05F">
            <w:pPr>
              <w:pageBreakBefore w:val="0"/>
              <w:kinsoku/>
              <w:wordWrap/>
              <w:overflowPunct/>
              <w:topLinePunct w:val="0"/>
              <w:autoSpaceDE/>
              <w:autoSpaceDN/>
              <w:bidi w:val="0"/>
              <w:adjustRightInd/>
              <w:snapToGrid/>
              <w:ind w:left="0" w:leftChars="0"/>
              <w:jc w:val="center"/>
              <w:rPr>
                <w:rFonts w:hint="eastAsia" w:ascii="Arial" w:hAnsi="Arial" w:eastAsia="等线" w:cs="Arial"/>
                <w:b/>
                <w:bCs/>
                <w:color w:val="000000"/>
                <w:sz w:val="18"/>
                <w:szCs w:val="18"/>
              </w:rPr>
            </w:pPr>
            <w:r>
              <w:rPr>
                <w:rFonts w:ascii="Arial" w:hAnsi="Arial" w:eastAsia="等线" w:cs="Arial"/>
                <w:b/>
                <w:bCs/>
                <w:color w:val="000000"/>
                <w:sz w:val="18"/>
                <w:szCs w:val="18"/>
              </w:rPr>
              <w:t>11</w:t>
            </w:r>
          </w:p>
        </w:tc>
        <w:tc>
          <w:tcPr>
            <w:tcW w:w="1557" w:type="dxa"/>
            <w:tcBorders>
              <w:top w:val="nil"/>
              <w:left w:val="nil"/>
              <w:bottom w:val="single" w:color="auto" w:sz="4" w:space="0"/>
              <w:right w:val="single" w:color="auto" w:sz="4" w:space="0"/>
            </w:tcBorders>
            <w:shd w:val="clear" w:color="000000" w:fill="D2DEEF"/>
            <w:vAlign w:val="center"/>
          </w:tcPr>
          <w:p w14:paraId="677919F1">
            <w:pPr>
              <w:pageBreakBefore w:val="0"/>
              <w:kinsoku/>
              <w:wordWrap/>
              <w:overflowPunct/>
              <w:topLinePunct w:val="0"/>
              <w:autoSpaceDE/>
              <w:autoSpaceDN/>
              <w:bidi w:val="0"/>
              <w:adjustRightInd/>
              <w:snapToGrid/>
              <w:ind w:left="0" w:leftChars="0"/>
              <w:jc w:val="center"/>
              <w:rPr>
                <w:b/>
                <w:bCs/>
                <w:color w:val="000000"/>
                <w:sz w:val="18"/>
                <w:szCs w:val="18"/>
              </w:rPr>
            </w:pPr>
            <w:r>
              <w:rPr>
                <w:rFonts w:hint="eastAsia"/>
                <w:b/>
                <w:bCs/>
                <w:color w:val="000000"/>
                <w:sz w:val="18"/>
                <w:szCs w:val="18"/>
              </w:rPr>
              <w:t>农村公路提档升级</w:t>
            </w:r>
          </w:p>
        </w:tc>
        <w:tc>
          <w:tcPr>
            <w:tcW w:w="2385" w:type="dxa"/>
            <w:tcBorders>
              <w:top w:val="nil"/>
              <w:left w:val="nil"/>
              <w:bottom w:val="single" w:color="auto" w:sz="4" w:space="0"/>
              <w:right w:val="single" w:color="auto" w:sz="4" w:space="0"/>
            </w:tcBorders>
            <w:shd w:val="clear" w:color="000000" w:fill="D2DEEF"/>
            <w:vAlign w:val="center"/>
          </w:tcPr>
          <w:p w14:paraId="61A5ED57">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w:t>
            </w:r>
          </w:p>
        </w:tc>
        <w:tc>
          <w:tcPr>
            <w:tcW w:w="1319" w:type="dxa"/>
            <w:tcBorders>
              <w:top w:val="nil"/>
              <w:left w:val="nil"/>
              <w:bottom w:val="single" w:color="auto" w:sz="4" w:space="0"/>
              <w:right w:val="single" w:color="auto" w:sz="4" w:space="0"/>
            </w:tcBorders>
            <w:shd w:val="clear" w:color="000000" w:fill="D2DEEF"/>
            <w:vAlign w:val="center"/>
          </w:tcPr>
          <w:p w14:paraId="6B9FA452">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新建、改扩建</w:t>
            </w:r>
          </w:p>
        </w:tc>
        <w:tc>
          <w:tcPr>
            <w:tcW w:w="2126" w:type="dxa"/>
            <w:tcBorders>
              <w:top w:val="nil"/>
              <w:left w:val="nil"/>
              <w:bottom w:val="single" w:color="auto" w:sz="4" w:space="0"/>
              <w:right w:val="single" w:color="auto" w:sz="4" w:space="0"/>
            </w:tcBorders>
            <w:shd w:val="clear" w:color="000000" w:fill="D2DEEF"/>
            <w:vAlign w:val="center"/>
          </w:tcPr>
          <w:p w14:paraId="05166013">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68.6km</w:t>
            </w:r>
          </w:p>
        </w:tc>
        <w:tc>
          <w:tcPr>
            <w:tcW w:w="1984" w:type="dxa"/>
            <w:tcBorders>
              <w:top w:val="nil"/>
              <w:left w:val="nil"/>
              <w:bottom w:val="single" w:color="auto" w:sz="4" w:space="0"/>
              <w:right w:val="single" w:color="auto" w:sz="4" w:space="0"/>
            </w:tcBorders>
            <w:shd w:val="clear" w:color="000000" w:fill="D2DEEF"/>
            <w:vAlign w:val="center"/>
          </w:tcPr>
          <w:p w14:paraId="75D0A178">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2021－2025年</w:t>
            </w:r>
          </w:p>
        </w:tc>
        <w:tc>
          <w:tcPr>
            <w:tcW w:w="1276" w:type="dxa"/>
            <w:tcBorders>
              <w:top w:val="nil"/>
              <w:left w:val="nil"/>
              <w:bottom w:val="single" w:color="auto" w:sz="4" w:space="0"/>
              <w:right w:val="single" w:color="auto" w:sz="4" w:space="0"/>
            </w:tcBorders>
            <w:shd w:val="clear" w:color="000000" w:fill="D2DEEF"/>
            <w:vAlign w:val="center"/>
          </w:tcPr>
          <w:p w14:paraId="5F771378">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w:t>
            </w:r>
          </w:p>
        </w:tc>
        <w:tc>
          <w:tcPr>
            <w:tcW w:w="1701" w:type="dxa"/>
            <w:tcBorders>
              <w:top w:val="nil"/>
              <w:left w:val="nil"/>
              <w:bottom w:val="single" w:color="auto" w:sz="4" w:space="0"/>
              <w:right w:val="single" w:color="auto" w:sz="4" w:space="0"/>
            </w:tcBorders>
            <w:shd w:val="clear" w:color="000000" w:fill="D2DEEF"/>
            <w:vAlign w:val="center"/>
          </w:tcPr>
          <w:p w14:paraId="055B78BD">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连云区</w:t>
            </w:r>
          </w:p>
        </w:tc>
      </w:tr>
      <w:tr w14:paraId="2B7C0557">
        <w:tblPrEx>
          <w:tblCellMar>
            <w:top w:w="0" w:type="dxa"/>
            <w:left w:w="108" w:type="dxa"/>
            <w:bottom w:w="0" w:type="dxa"/>
            <w:right w:w="108" w:type="dxa"/>
          </w:tblCellMar>
        </w:tblPrEx>
        <w:trPr>
          <w:trHeight w:val="810" w:hRule="atLeast"/>
          <w:jc w:val="center"/>
        </w:trPr>
        <w:tc>
          <w:tcPr>
            <w:tcW w:w="980" w:type="dxa"/>
            <w:vMerge w:val="restart"/>
            <w:tcBorders>
              <w:top w:val="nil"/>
              <w:left w:val="single" w:color="auto" w:sz="4" w:space="0"/>
              <w:right w:val="single" w:color="auto" w:sz="4" w:space="0"/>
            </w:tcBorders>
            <w:shd w:val="clear" w:color="000000" w:fill="D2DEEF"/>
            <w:vAlign w:val="center"/>
          </w:tcPr>
          <w:p w14:paraId="184A06CF">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r>
              <w:rPr>
                <w:rFonts w:hint="eastAsia" w:ascii="Arial" w:hAnsi="Arial" w:eastAsia="等线" w:cs="Arial"/>
                <w:b/>
                <w:bCs/>
                <w:color w:val="000000"/>
                <w:sz w:val="18"/>
                <w:szCs w:val="18"/>
              </w:rPr>
              <w:t>公共出行</w:t>
            </w:r>
          </w:p>
          <w:p w14:paraId="38A8419D">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r>
              <w:rPr>
                <w:rFonts w:hint="eastAsia" w:ascii="Arial" w:hAnsi="Arial" w:eastAsia="等线" w:cs="Arial"/>
                <w:b/>
                <w:bCs/>
                <w:color w:val="000000"/>
                <w:sz w:val="18"/>
                <w:szCs w:val="18"/>
              </w:rPr>
              <w:t>服务体系</w:t>
            </w:r>
          </w:p>
          <w:p w14:paraId="71585E1F">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r>
              <w:rPr>
                <w:rFonts w:hint="eastAsia" w:ascii="Arial" w:hAnsi="Arial" w:eastAsia="等线" w:cs="Arial"/>
                <w:b/>
                <w:bCs/>
                <w:color w:val="000000"/>
                <w:sz w:val="18"/>
                <w:szCs w:val="18"/>
              </w:rPr>
              <w:t>建设</w:t>
            </w:r>
          </w:p>
        </w:tc>
        <w:tc>
          <w:tcPr>
            <w:tcW w:w="417" w:type="dxa"/>
            <w:tcBorders>
              <w:top w:val="nil"/>
              <w:left w:val="single" w:color="auto" w:sz="4" w:space="0"/>
              <w:bottom w:val="single" w:color="auto" w:sz="4" w:space="0"/>
              <w:right w:val="single" w:color="auto" w:sz="4" w:space="0"/>
            </w:tcBorders>
            <w:shd w:val="clear" w:color="000000" w:fill="D2DEEF"/>
            <w:vAlign w:val="center"/>
          </w:tcPr>
          <w:p w14:paraId="27896F7B">
            <w:pPr>
              <w:pageBreakBefore w:val="0"/>
              <w:kinsoku/>
              <w:wordWrap/>
              <w:overflowPunct/>
              <w:topLinePunct w:val="0"/>
              <w:autoSpaceDE/>
              <w:autoSpaceDN/>
              <w:bidi w:val="0"/>
              <w:adjustRightInd/>
              <w:snapToGrid/>
              <w:ind w:left="0" w:leftChars="0"/>
              <w:jc w:val="center"/>
              <w:rPr>
                <w:rFonts w:hint="eastAsia" w:ascii="Arial" w:hAnsi="Arial" w:eastAsia="等线" w:cs="Arial"/>
                <w:b/>
                <w:bCs/>
                <w:color w:val="000000"/>
                <w:sz w:val="18"/>
                <w:szCs w:val="18"/>
              </w:rPr>
            </w:pPr>
            <w:r>
              <w:rPr>
                <w:rFonts w:ascii="Arial" w:hAnsi="Arial" w:eastAsia="等线" w:cs="Arial"/>
                <w:b/>
                <w:bCs/>
                <w:color w:val="000000"/>
                <w:sz w:val="18"/>
                <w:szCs w:val="18"/>
              </w:rPr>
              <w:t>12</w:t>
            </w:r>
          </w:p>
        </w:tc>
        <w:tc>
          <w:tcPr>
            <w:tcW w:w="1557" w:type="dxa"/>
            <w:tcBorders>
              <w:top w:val="nil"/>
              <w:left w:val="nil"/>
              <w:bottom w:val="single" w:color="auto" w:sz="4" w:space="0"/>
              <w:right w:val="single" w:color="auto" w:sz="4" w:space="0"/>
            </w:tcBorders>
            <w:shd w:val="clear" w:color="000000" w:fill="D2DEEF"/>
            <w:vAlign w:val="center"/>
          </w:tcPr>
          <w:p w14:paraId="783776CD">
            <w:pPr>
              <w:pageBreakBefore w:val="0"/>
              <w:kinsoku/>
              <w:wordWrap/>
              <w:overflowPunct/>
              <w:topLinePunct w:val="0"/>
              <w:autoSpaceDE/>
              <w:autoSpaceDN/>
              <w:bidi w:val="0"/>
              <w:adjustRightInd/>
              <w:snapToGrid/>
              <w:ind w:left="0" w:leftChars="0"/>
              <w:jc w:val="center"/>
              <w:rPr>
                <w:b/>
                <w:bCs/>
                <w:color w:val="000000"/>
                <w:sz w:val="18"/>
                <w:szCs w:val="18"/>
              </w:rPr>
            </w:pPr>
            <w:r>
              <w:rPr>
                <w:rFonts w:hint="eastAsia"/>
                <w:b/>
                <w:bCs/>
                <w:color w:val="000000"/>
                <w:sz w:val="18"/>
                <w:szCs w:val="18"/>
              </w:rPr>
              <w:t>连云港东站开行高铁动车</w:t>
            </w:r>
          </w:p>
        </w:tc>
        <w:tc>
          <w:tcPr>
            <w:tcW w:w="2385" w:type="dxa"/>
            <w:tcBorders>
              <w:top w:val="nil"/>
              <w:left w:val="nil"/>
              <w:bottom w:val="single" w:color="auto" w:sz="4" w:space="0"/>
              <w:right w:val="single" w:color="auto" w:sz="4" w:space="0"/>
            </w:tcBorders>
            <w:shd w:val="clear" w:color="000000" w:fill="D2DEEF"/>
            <w:vAlign w:val="center"/>
          </w:tcPr>
          <w:p w14:paraId="75AAB4E4">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连云港站—连云港东站</w:t>
            </w:r>
          </w:p>
        </w:tc>
        <w:tc>
          <w:tcPr>
            <w:tcW w:w="1319" w:type="dxa"/>
            <w:tcBorders>
              <w:top w:val="nil"/>
              <w:left w:val="nil"/>
              <w:bottom w:val="single" w:color="auto" w:sz="4" w:space="0"/>
              <w:right w:val="single" w:color="auto" w:sz="4" w:space="0"/>
            </w:tcBorders>
            <w:shd w:val="clear" w:color="000000" w:fill="D2DEEF"/>
            <w:vAlign w:val="center"/>
          </w:tcPr>
          <w:p w14:paraId="1E20B6C2">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改扩建</w:t>
            </w:r>
          </w:p>
        </w:tc>
        <w:tc>
          <w:tcPr>
            <w:tcW w:w="2126" w:type="dxa"/>
            <w:tcBorders>
              <w:top w:val="nil"/>
              <w:left w:val="nil"/>
              <w:bottom w:val="single" w:color="auto" w:sz="4" w:space="0"/>
              <w:right w:val="single" w:color="auto" w:sz="4" w:space="0"/>
            </w:tcBorders>
            <w:shd w:val="clear" w:color="000000" w:fill="D2DEEF"/>
            <w:vAlign w:val="center"/>
          </w:tcPr>
          <w:p w14:paraId="0019B169">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22km</w:t>
            </w:r>
          </w:p>
        </w:tc>
        <w:tc>
          <w:tcPr>
            <w:tcW w:w="1984" w:type="dxa"/>
            <w:tcBorders>
              <w:top w:val="nil"/>
              <w:left w:val="nil"/>
              <w:bottom w:val="single" w:color="auto" w:sz="4" w:space="0"/>
              <w:right w:val="single" w:color="auto" w:sz="4" w:space="0"/>
            </w:tcBorders>
            <w:shd w:val="clear" w:color="000000" w:fill="D2DEEF"/>
            <w:vAlign w:val="center"/>
          </w:tcPr>
          <w:p w14:paraId="14BF2CFB">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“十四五”全面启动研究规划</w:t>
            </w:r>
          </w:p>
        </w:tc>
        <w:tc>
          <w:tcPr>
            <w:tcW w:w="1276" w:type="dxa"/>
            <w:tcBorders>
              <w:top w:val="nil"/>
              <w:left w:val="nil"/>
              <w:bottom w:val="single" w:color="auto" w:sz="4" w:space="0"/>
              <w:right w:val="single" w:color="auto" w:sz="4" w:space="0"/>
            </w:tcBorders>
            <w:shd w:val="clear" w:color="000000" w:fill="D2DEEF"/>
            <w:vAlign w:val="center"/>
          </w:tcPr>
          <w:p w14:paraId="643CE763">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w:t>
            </w:r>
          </w:p>
        </w:tc>
        <w:tc>
          <w:tcPr>
            <w:tcW w:w="1701" w:type="dxa"/>
            <w:tcBorders>
              <w:top w:val="nil"/>
              <w:left w:val="nil"/>
              <w:bottom w:val="single" w:color="auto" w:sz="4" w:space="0"/>
              <w:right w:val="single" w:color="auto" w:sz="4" w:space="0"/>
            </w:tcBorders>
            <w:shd w:val="clear" w:color="000000" w:fill="D2DEEF"/>
            <w:vAlign w:val="center"/>
          </w:tcPr>
          <w:p w14:paraId="1682E16A">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r w14:paraId="24054C36">
        <w:tblPrEx>
          <w:tblCellMar>
            <w:top w:w="0" w:type="dxa"/>
            <w:left w:w="108" w:type="dxa"/>
            <w:bottom w:w="0" w:type="dxa"/>
            <w:right w:w="108" w:type="dxa"/>
          </w:tblCellMar>
        </w:tblPrEx>
        <w:trPr>
          <w:trHeight w:val="855" w:hRule="atLeast"/>
          <w:jc w:val="center"/>
        </w:trPr>
        <w:tc>
          <w:tcPr>
            <w:tcW w:w="980" w:type="dxa"/>
            <w:vMerge w:val="continue"/>
            <w:tcBorders>
              <w:left w:val="single" w:color="auto" w:sz="4" w:space="0"/>
              <w:bottom w:val="single" w:color="auto" w:sz="4" w:space="0"/>
              <w:right w:val="single" w:color="auto" w:sz="4" w:space="0"/>
            </w:tcBorders>
            <w:shd w:val="clear" w:color="000000" w:fill="D2DEEF"/>
            <w:vAlign w:val="center"/>
          </w:tcPr>
          <w:p w14:paraId="0514322B">
            <w:pPr>
              <w:pageBreakBefore w:val="0"/>
              <w:kinsoku/>
              <w:wordWrap/>
              <w:overflowPunct/>
              <w:topLinePunct w:val="0"/>
              <w:autoSpaceDE/>
              <w:autoSpaceDN/>
              <w:bidi w:val="0"/>
              <w:adjustRightInd/>
              <w:snapToGrid/>
              <w:ind w:left="0" w:leftChars="0"/>
              <w:jc w:val="center"/>
              <w:rPr>
                <w:rFonts w:ascii="Arial" w:hAnsi="Arial" w:eastAsia="等线" w:cs="Arial"/>
                <w:b/>
                <w:bCs/>
                <w:color w:val="000000"/>
                <w:sz w:val="18"/>
                <w:szCs w:val="18"/>
              </w:rPr>
            </w:pPr>
          </w:p>
        </w:tc>
        <w:tc>
          <w:tcPr>
            <w:tcW w:w="417" w:type="dxa"/>
            <w:tcBorders>
              <w:top w:val="nil"/>
              <w:left w:val="single" w:color="auto" w:sz="4" w:space="0"/>
              <w:bottom w:val="single" w:color="auto" w:sz="4" w:space="0"/>
              <w:right w:val="single" w:color="auto" w:sz="4" w:space="0"/>
            </w:tcBorders>
            <w:shd w:val="clear" w:color="000000" w:fill="D2DEEF"/>
            <w:vAlign w:val="center"/>
          </w:tcPr>
          <w:p w14:paraId="5E6A1A5A">
            <w:pPr>
              <w:pageBreakBefore w:val="0"/>
              <w:kinsoku/>
              <w:wordWrap/>
              <w:overflowPunct/>
              <w:topLinePunct w:val="0"/>
              <w:autoSpaceDE/>
              <w:autoSpaceDN/>
              <w:bidi w:val="0"/>
              <w:adjustRightInd/>
              <w:snapToGrid/>
              <w:ind w:left="0" w:leftChars="0"/>
              <w:jc w:val="center"/>
              <w:rPr>
                <w:rFonts w:hint="eastAsia" w:ascii="Arial" w:hAnsi="Arial" w:eastAsia="等线" w:cs="Arial"/>
                <w:b/>
                <w:bCs/>
                <w:color w:val="000000"/>
                <w:sz w:val="18"/>
                <w:szCs w:val="18"/>
              </w:rPr>
            </w:pPr>
            <w:r>
              <w:rPr>
                <w:rFonts w:ascii="Arial" w:hAnsi="Arial" w:eastAsia="等线" w:cs="Arial"/>
                <w:b/>
                <w:bCs/>
                <w:color w:val="000000"/>
                <w:sz w:val="18"/>
                <w:szCs w:val="18"/>
              </w:rPr>
              <w:t>13</w:t>
            </w:r>
          </w:p>
        </w:tc>
        <w:tc>
          <w:tcPr>
            <w:tcW w:w="1557" w:type="dxa"/>
            <w:tcBorders>
              <w:top w:val="nil"/>
              <w:left w:val="nil"/>
              <w:bottom w:val="single" w:color="auto" w:sz="4" w:space="0"/>
              <w:right w:val="single" w:color="auto" w:sz="4" w:space="0"/>
            </w:tcBorders>
            <w:shd w:val="clear" w:color="000000" w:fill="D2DEEF"/>
            <w:vAlign w:val="center"/>
          </w:tcPr>
          <w:p w14:paraId="0B0EA642">
            <w:pPr>
              <w:pageBreakBefore w:val="0"/>
              <w:kinsoku/>
              <w:wordWrap/>
              <w:overflowPunct/>
              <w:topLinePunct w:val="0"/>
              <w:autoSpaceDE/>
              <w:autoSpaceDN/>
              <w:bidi w:val="0"/>
              <w:adjustRightInd/>
              <w:snapToGrid/>
              <w:ind w:left="0" w:leftChars="0"/>
              <w:jc w:val="center"/>
              <w:rPr>
                <w:b/>
                <w:bCs/>
                <w:color w:val="000000"/>
                <w:sz w:val="18"/>
                <w:szCs w:val="18"/>
              </w:rPr>
            </w:pPr>
            <w:r>
              <w:rPr>
                <w:rFonts w:hint="eastAsia"/>
                <w:b/>
                <w:bCs/>
                <w:color w:val="000000"/>
                <w:sz w:val="18"/>
                <w:szCs w:val="18"/>
              </w:rPr>
              <w:t>公交场站建设</w:t>
            </w:r>
          </w:p>
        </w:tc>
        <w:tc>
          <w:tcPr>
            <w:tcW w:w="2385" w:type="dxa"/>
            <w:tcBorders>
              <w:top w:val="nil"/>
              <w:left w:val="nil"/>
              <w:bottom w:val="single" w:color="auto" w:sz="4" w:space="0"/>
              <w:right w:val="single" w:color="auto" w:sz="4" w:space="0"/>
            </w:tcBorders>
            <w:shd w:val="clear" w:color="000000" w:fill="D2DEEF"/>
            <w:vAlign w:val="center"/>
          </w:tcPr>
          <w:p w14:paraId="5398659D">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w:t>
            </w:r>
          </w:p>
        </w:tc>
        <w:tc>
          <w:tcPr>
            <w:tcW w:w="1319" w:type="dxa"/>
            <w:tcBorders>
              <w:top w:val="nil"/>
              <w:left w:val="nil"/>
              <w:bottom w:val="single" w:color="auto" w:sz="4" w:space="0"/>
              <w:right w:val="single" w:color="auto" w:sz="4" w:space="0"/>
            </w:tcBorders>
            <w:shd w:val="clear" w:color="000000" w:fill="D2DEEF"/>
            <w:vAlign w:val="center"/>
          </w:tcPr>
          <w:p w14:paraId="4D799D4C">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新建、改扩建</w:t>
            </w:r>
          </w:p>
        </w:tc>
        <w:tc>
          <w:tcPr>
            <w:tcW w:w="2126" w:type="dxa"/>
            <w:tcBorders>
              <w:top w:val="nil"/>
              <w:left w:val="nil"/>
              <w:bottom w:val="single" w:color="auto" w:sz="4" w:space="0"/>
              <w:right w:val="single" w:color="auto" w:sz="4" w:space="0"/>
            </w:tcBorders>
            <w:shd w:val="clear" w:color="000000" w:fill="D2DEEF"/>
            <w:vAlign w:val="center"/>
          </w:tcPr>
          <w:p w14:paraId="3A2C74DE">
            <w:pPr>
              <w:pageBreakBefore w:val="0"/>
              <w:kinsoku/>
              <w:wordWrap/>
              <w:overflowPunct/>
              <w:topLinePunct w:val="0"/>
              <w:autoSpaceDE/>
              <w:autoSpaceDN/>
              <w:bidi w:val="0"/>
              <w:adjustRightInd/>
              <w:snapToGrid/>
              <w:ind w:left="0" w:leftChars="0"/>
              <w:jc w:val="center"/>
              <w:rPr>
                <w:rFonts w:hint="eastAsia" w:eastAsia="宋体"/>
                <w:b/>
                <w:bCs/>
                <w:color w:val="000000"/>
                <w:sz w:val="18"/>
                <w:szCs w:val="18"/>
                <w:lang w:eastAsia="zh-CN"/>
              </w:rPr>
            </w:pPr>
            <w:r>
              <w:rPr>
                <w:rFonts w:hint="eastAsia"/>
                <w:b/>
                <w:bCs/>
                <w:color w:val="000000"/>
                <w:sz w:val="18"/>
                <w:szCs w:val="18"/>
              </w:rPr>
              <w:t>枢纽站3处，首末站9处</w:t>
            </w:r>
          </w:p>
          <w:p w14:paraId="64828991">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停保场3处</w:t>
            </w:r>
          </w:p>
        </w:tc>
        <w:tc>
          <w:tcPr>
            <w:tcW w:w="1984" w:type="dxa"/>
            <w:tcBorders>
              <w:top w:val="nil"/>
              <w:left w:val="nil"/>
              <w:bottom w:val="single" w:color="auto" w:sz="4" w:space="0"/>
              <w:right w:val="single" w:color="auto" w:sz="4" w:space="0"/>
            </w:tcBorders>
            <w:shd w:val="clear" w:color="000000" w:fill="D2DEEF"/>
            <w:vAlign w:val="center"/>
          </w:tcPr>
          <w:p w14:paraId="556B4FFB">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2021－2025年</w:t>
            </w:r>
          </w:p>
        </w:tc>
        <w:tc>
          <w:tcPr>
            <w:tcW w:w="1276" w:type="dxa"/>
            <w:tcBorders>
              <w:top w:val="nil"/>
              <w:left w:val="nil"/>
              <w:bottom w:val="single" w:color="auto" w:sz="4" w:space="0"/>
              <w:right w:val="single" w:color="auto" w:sz="4" w:space="0"/>
            </w:tcBorders>
            <w:shd w:val="clear" w:color="000000" w:fill="D2DEEF"/>
            <w:vAlign w:val="center"/>
          </w:tcPr>
          <w:p w14:paraId="23FFF81B">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w:t>
            </w:r>
          </w:p>
        </w:tc>
        <w:tc>
          <w:tcPr>
            <w:tcW w:w="1701" w:type="dxa"/>
            <w:tcBorders>
              <w:top w:val="nil"/>
              <w:left w:val="nil"/>
              <w:bottom w:val="single" w:color="auto" w:sz="4" w:space="0"/>
              <w:right w:val="single" w:color="auto" w:sz="4" w:space="0"/>
            </w:tcBorders>
            <w:shd w:val="clear" w:color="000000" w:fill="D2DEEF"/>
            <w:vAlign w:val="center"/>
          </w:tcPr>
          <w:p w14:paraId="69247B31">
            <w:pPr>
              <w:pageBreakBefore w:val="0"/>
              <w:kinsoku/>
              <w:wordWrap/>
              <w:overflowPunct/>
              <w:topLinePunct w:val="0"/>
              <w:autoSpaceDE/>
              <w:autoSpaceDN/>
              <w:bidi w:val="0"/>
              <w:adjustRightInd/>
              <w:snapToGrid/>
              <w:ind w:left="0" w:leftChars="0"/>
              <w:jc w:val="center"/>
              <w:rPr>
                <w:rFonts w:hint="eastAsia"/>
                <w:b/>
                <w:bCs/>
                <w:color w:val="000000"/>
                <w:sz w:val="18"/>
                <w:szCs w:val="18"/>
              </w:rPr>
            </w:pPr>
            <w:r>
              <w:rPr>
                <w:rFonts w:hint="eastAsia"/>
                <w:b/>
                <w:bCs/>
                <w:color w:val="000000"/>
                <w:sz w:val="18"/>
                <w:szCs w:val="18"/>
              </w:rPr>
              <w:t>市级层面统筹推进</w:t>
            </w:r>
          </w:p>
        </w:tc>
      </w:tr>
    </w:tbl>
    <w:p w14:paraId="24FD50F7">
      <w:pPr>
        <w:pageBreakBefore w:val="0"/>
        <w:kinsoku/>
        <w:wordWrap/>
        <w:overflowPunct/>
        <w:topLinePunct w:val="0"/>
        <w:autoSpaceDE/>
        <w:autoSpaceDN/>
        <w:bidi w:val="0"/>
        <w:adjustRightInd/>
        <w:snapToGrid/>
        <w:spacing w:line="360" w:lineRule="auto"/>
        <w:ind w:left="0" w:leftChars="0" w:firstLine="600" w:firstLineChars="200"/>
        <w:jc w:val="both"/>
        <w:rPr>
          <w:rFonts w:ascii="Times New Roman" w:hAnsi="Times New Roman" w:eastAsia="仿宋_GB2312" w:cs="Times New Roman"/>
          <w:sz w:val="30"/>
          <w:szCs w:val="30"/>
        </w:rPr>
      </w:pPr>
    </w:p>
    <w:p w14:paraId="53E9C323">
      <w:pPr>
        <w:pageBreakBefore w:val="0"/>
        <w:kinsoku/>
        <w:wordWrap/>
        <w:overflowPunct/>
        <w:topLinePunct w:val="0"/>
        <w:autoSpaceDE/>
        <w:autoSpaceDN/>
        <w:bidi w:val="0"/>
        <w:adjustRightInd/>
        <w:snapToGrid/>
        <w:ind w:left="0" w:leftChars="0"/>
        <w:rPr>
          <w:rFonts w:ascii="Times New Roman" w:hAnsi="Times New Roman" w:eastAsia="仿宋_GB2312" w:cs="Times New Roman"/>
          <w:sz w:val="30"/>
          <w:szCs w:val="30"/>
        </w:rPr>
      </w:pPr>
    </w:p>
    <w:p w14:paraId="65159AEB">
      <w:pPr>
        <w:pageBreakBefore w:val="0"/>
        <w:kinsoku/>
        <w:wordWrap/>
        <w:overflowPunct/>
        <w:topLinePunct w:val="0"/>
        <w:autoSpaceDE/>
        <w:autoSpaceDN/>
        <w:bidi w:val="0"/>
        <w:adjustRightInd/>
        <w:snapToGrid/>
        <w:spacing w:line="360" w:lineRule="auto"/>
        <w:ind w:left="0" w:leftChars="0" w:firstLine="600" w:firstLineChars="200"/>
        <w:jc w:val="both"/>
        <w:rPr>
          <w:rFonts w:ascii="Times New Roman" w:hAnsi="Times New Roman" w:eastAsia="仿宋_GB2312" w:cs="Times New Roman"/>
          <w:sz w:val="30"/>
          <w:szCs w:val="30"/>
        </w:rPr>
      </w:pPr>
    </w:p>
    <w:sectPr>
      <w:headerReference r:id="rId12" w:type="default"/>
      <w:footerReference r:id="rId13" w:type="default"/>
      <w:pgSz w:w="16838" w:h="11906" w:orient="landscape"/>
      <w:pgMar w:top="1531" w:right="1440" w:bottom="1797" w:left="1440" w:header="851" w:footer="992" w:gutter="0"/>
      <w:pgNumType w:fmt="numberInDash"/>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文星标宋">
    <w:altName w:val="宋体"/>
    <w:panose1 w:val="0201060900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方正小标宋简体">
    <w:panose1 w:val="03000509000000000000"/>
    <w:charset w:val="86"/>
    <w:family w:val="roma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449DE">
    <w:pPr>
      <w:pStyle w:val="9"/>
      <w:jc w:val="center"/>
      <w:rPr>
        <w:rFonts w:ascii="Times New Roman" w:hAnsi="Times New Roman" w:cs="Times New Roman"/>
        <w:b/>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7C9AD1"/>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87C9AD1"/>
                </w:txbxContent>
              </v:textbox>
            </v:shape>
          </w:pict>
        </mc:Fallback>
      </mc:AlternateContent>
    </w:r>
  </w:p>
  <w:p w14:paraId="76CB1491">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4A857">
    <w:pPr>
      <w:pStyle w:val="9"/>
      <w:jc w:val="center"/>
      <w:rPr>
        <w:rFonts w:hint="eastAsia" w:ascii="宋体" w:hAnsi="宋体" w:eastAsia="宋体" w:cs="宋体"/>
        <w:b/>
        <w:sz w:val="28"/>
        <w:szCs w:val="28"/>
      </w:rPr>
    </w:pPr>
    <w:r>
      <w:rPr>
        <w:rFonts w:hint="eastAsia" w:ascii="宋体" w:hAnsi="宋体" w:eastAsia="宋体" w:cs="宋体"/>
        <w:sz w:val="28"/>
        <w:szCs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9BDBE4">
                          <w:pPr>
                            <w:pStyle w:val="9"/>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79BDBE4">
                    <w:pPr>
                      <w:pStyle w:val="9"/>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p w14:paraId="103D8E62">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A55F5">
    <w:pPr>
      <w:pStyle w:val="9"/>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330B7">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E330B7">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14:paraId="1DEDFFB0">
    <w:pPr>
      <w:pStyle w:val="9"/>
      <w:rPr>
        <w:rFonts w:hint="eastAsia" w:asciiTheme="minorEastAsia" w:hAnsiTheme="minorEastAsia" w:eastAsiaTheme="minorEastAsia" w:cstheme="minorEastAsia"/>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73696">
    <w:pPr>
      <w:pStyle w:val="9"/>
      <w:ind w:right="90"/>
      <w:jc w:val="right"/>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28E1F2">
                          <w:pPr>
                            <w:pStyle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72</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0F28E1F2">
                    <w:pPr>
                      <w:pStyle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72</w:t>
                    </w:r>
                    <w:r>
                      <w:rPr>
                        <w:rFonts w:hint="eastAsia" w:asciiTheme="minorEastAsia" w:hAnsiTheme="minorEastAsia" w:eastAsiaTheme="minorEastAsia" w:cstheme="minorEastAsia"/>
                        <w:sz w:val="24"/>
                        <w:szCs w:val="24"/>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28D16A">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3028D16A">
                    <w:pPr>
                      <w:pStyle w:val="9"/>
                    </w:pPr>
                  </w:p>
                </w:txbxContent>
              </v:textbox>
            </v:shape>
          </w:pict>
        </mc:Fallback>
      </mc:AlternateContent>
    </w:r>
    <w:sdt>
      <w:sdtPr>
        <w:id w:val="-1745568807"/>
        <w:showingPlcHdr/>
      </w:sdtPr>
      <w:sdtContent>
        <w:r>
          <w:t xml:space="preserve">     </w:t>
        </w:r>
      </w:sdtContent>
    </w:sdt>
  </w:p>
  <w:p w14:paraId="26F89559">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60241">
    <w:pPr>
      <w:pStyle w:val="10"/>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D992E">
    <w:pPr>
      <w:pStyle w:val="10"/>
      <w:pBdr>
        <w:bottom w:val="none" w:color="auto" w:sz="0" w:space="1"/>
      </w:pBdr>
      <w:jc w:val="both"/>
      <w:rPr>
        <w:rFonts w:hint="eastAsia" w:ascii="宋体" w:hAnsi="宋体" w:eastAsia="宋体" w:cs="宋体"/>
        <w:b/>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DCB80">
    <w:pPr>
      <w:pStyle w:val="10"/>
      <w:pBdr>
        <w:bottom w:val="none" w:color="auto" w:sz="0" w:space="1"/>
      </w:pBdr>
      <w:jc w:val="both"/>
      <w:rPr>
        <w:rFonts w:ascii="仿宋_GB2312" w:eastAsia="仿宋_GB2312"/>
        <w:b/>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15DF3">
    <w:pPr>
      <w:pStyle w:val="10"/>
      <w:pBdr>
        <w:bottom w:val="none" w:color="auto" w:sz="0" w:space="1"/>
      </w:pBdr>
      <w:jc w:val="both"/>
      <w:rPr>
        <w:rFonts w:hint="eastAsia" w:ascii="宋体" w:hAnsi="宋体" w:eastAsia="宋体" w:cs="宋体"/>
        <w:b/>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A2596">
    <w:pPr>
      <w:pStyle w:val="10"/>
      <w:pBdr>
        <w:bottom w:val="none" w:color="auto" w:sz="0" w:space="1"/>
      </w:pBdr>
      <w:jc w:val="both"/>
      <w:rPr>
        <w:rFonts w:hint="eastAsia" w:ascii="宋体" w:hAnsi="宋体" w:eastAsia="宋体" w:cs="宋体"/>
        <w:b/>
        <w:sz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B5CF2">
    <w:pPr>
      <w:pStyle w:val="10"/>
      <w:pBdr>
        <w:bottom w:val="none" w:color="auto" w:sz="0" w:space="1"/>
      </w:pBdr>
      <w:jc w:val="both"/>
      <w:rPr>
        <w:rFonts w:hint="eastAsia" w:ascii="宋体" w:hAnsi="宋体" w:eastAsia="宋体" w:cs="宋体"/>
        <w:b/>
        <w:sz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AC42E">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EDE79C"/>
    <w:multiLevelType w:val="singleLevel"/>
    <w:tmpl w:val="26EDE79C"/>
    <w:lvl w:ilvl="0" w:tentative="0">
      <w:start w:val="3"/>
      <w:numFmt w:val="chineseCounting"/>
      <w:suff w:val="nothing"/>
      <w:lvlText w:val="%1、"/>
      <w:lvlJc w:val="left"/>
      <w:rPr>
        <w:rFonts w:hint="eastAsia"/>
      </w:rPr>
    </w:lvl>
  </w:abstractNum>
  <w:abstractNum w:abstractNumId="1">
    <w:nsid w:val="48217037"/>
    <w:multiLevelType w:val="multilevel"/>
    <w:tmpl w:val="48217037"/>
    <w:lvl w:ilvl="0" w:tentative="0">
      <w:start w:val="1"/>
      <w:numFmt w:val="decimalEnclosedCircle"/>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2">
    <w:nsid w:val="5ED30729"/>
    <w:multiLevelType w:val="multilevel"/>
    <w:tmpl w:val="5ED30729"/>
    <w:lvl w:ilvl="0" w:tentative="0">
      <w:start w:val="1"/>
      <w:numFmt w:val="decimalEnclosedCircle"/>
      <w:lvlText w:val="%1"/>
      <w:lvlJc w:val="left"/>
      <w:pPr>
        <w:ind w:left="1440" w:hanging="420"/>
      </w:pPr>
      <w:rPr>
        <w:rFonts w:hint="default"/>
      </w:rPr>
    </w:lvl>
    <w:lvl w:ilvl="1" w:tentative="0">
      <w:start w:val="1"/>
      <w:numFmt w:val="lowerLetter"/>
      <w:lvlText w:val="%2)"/>
      <w:lvlJc w:val="left"/>
      <w:pPr>
        <w:ind w:left="1860" w:hanging="420"/>
      </w:pPr>
    </w:lvl>
    <w:lvl w:ilvl="2" w:tentative="0">
      <w:start w:val="1"/>
      <w:numFmt w:val="lowerRoman"/>
      <w:lvlText w:val="%3."/>
      <w:lvlJc w:val="right"/>
      <w:pPr>
        <w:ind w:left="2280" w:hanging="420"/>
      </w:pPr>
    </w:lvl>
    <w:lvl w:ilvl="3" w:tentative="0">
      <w:start w:val="1"/>
      <w:numFmt w:val="decimal"/>
      <w:lvlText w:val="%4."/>
      <w:lvlJc w:val="left"/>
      <w:pPr>
        <w:ind w:left="2700" w:hanging="420"/>
      </w:pPr>
    </w:lvl>
    <w:lvl w:ilvl="4" w:tentative="0">
      <w:start w:val="1"/>
      <w:numFmt w:val="lowerLetter"/>
      <w:lvlText w:val="%5)"/>
      <w:lvlJc w:val="left"/>
      <w:pPr>
        <w:ind w:left="3120" w:hanging="420"/>
      </w:pPr>
    </w:lvl>
    <w:lvl w:ilvl="5" w:tentative="0">
      <w:start w:val="1"/>
      <w:numFmt w:val="lowerRoman"/>
      <w:lvlText w:val="%6."/>
      <w:lvlJc w:val="right"/>
      <w:pPr>
        <w:ind w:left="3540" w:hanging="420"/>
      </w:pPr>
    </w:lvl>
    <w:lvl w:ilvl="6" w:tentative="0">
      <w:start w:val="1"/>
      <w:numFmt w:val="decimal"/>
      <w:lvlText w:val="%7."/>
      <w:lvlJc w:val="left"/>
      <w:pPr>
        <w:ind w:left="3960" w:hanging="420"/>
      </w:pPr>
    </w:lvl>
    <w:lvl w:ilvl="7" w:tentative="0">
      <w:start w:val="1"/>
      <w:numFmt w:val="lowerLetter"/>
      <w:lvlText w:val="%8)"/>
      <w:lvlJc w:val="left"/>
      <w:pPr>
        <w:ind w:left="4380" w:hanging="420"/>
      </w:pPr>
    </w:lvl>
    <w:lvl w:ilvl="8" w:tentative="0">
      <w:start w:val="1"/>
      <w:numFmt w:val="lowerRoman"/>
      <w:lvlText w:val="%9."/>
      <w:lvlJc w:val="right"/>
      <w:pPr>
        <w:ind w:left="480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NotDisplayPageBoundaries w:val="1"/>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FiMTYxMDM5NDMwZmFlNWFkNmMyYzBjZGZjN2ZmNjkifQ=="/>
  </w:docVars>
  <w:rsids>
    <w:rsidRoot w:val="00172A27"/>
    <w:rsid w:val="0000017F"/>
    <w:rsid w:val="00013A0B"/>
    <w:rsid w:val="00013C75"/>
    <w:rsid w:val="00016964"/>
    <w:rsid w:val="00017275"/>
    <w:rsid w:val="00017D5A"/>
    <w:rsid w:val="0002077E"/>
    <w:rsid w:val="00022E69"/>
    <w:rsid w:val="00022F1A"/>
    <w:rsid w:val="000273CC"/>
    <w:rsid w:val="00027B87"/>
    <w:rsid w:val="00030AC7"/>
    <w:rsid w:val="00032923"/>
    <w:rsid w:val="00036591"/>
    <w:rsid w:val="00041651"/>
    <w:rsid w:val="000434E5"/>
    <w:rsid w:val="00043912"/>
    <w:rsid w:val="00043DEA"/>
    <w:rsid w:val="000456E3"/>
    <w:rsid w:val="000551CB"/>
    <w:rsid w:val="00061AF6"/>
    <w:rsid w:val="00062CE6"/>
    <w:rsid w:val="00065100"/>
    <w:rsid w:val="0007054C"/>
    <w:rsid w:val="00072FA9"/>
    <w:rsid w:val="00083E3E"/>
    <w:rsid w:val="0008559F"/>
    <w:rsid w:val="0008636F"/>
    <w:rsid w:val="00094342"/>
    <w:rsid w:val="00096905"/>
    <w:rsid w:val="000A3F49"/>
    <w:rsid w:val="000A6CB8"/>
    <w:rsid w:val="000B1E71"/>
    <w:rsid w:val="000B22F9"/>
    <w:rsid w:val="000B2ABB"/>
    <w:rsid w:val="000B3D9E"/>
    <w:rsid w:val="000C0B4A"/>
    <w:rsid w:val="000C1228"/>
    <w:rsid w:val="000C654A"/>
    <w:rsid w:val="000C7B62"/>
    <w:rsid w:val="000D010B"/>
    <w:rsid w:val="000D08FF"/>
    <w:rsid w:val="000D3759"/>
    <w:rsid w:val="000D5B8F"/>
    <w:rsid w:val="000E4333"/>
    <w:rsid w:val="000F1841"/>
    <w:rsid w:val="0010520C"/>
    <w:rsid w:val="00110070"/>
    <w:rsid w:val="00116932"/>
    <w:rsid w:val="0012017E"/>
    <w:rsid w:val="00122072"/>
    <w:rsid w:val="0012628B"/>
    <w:rsid w:val="00126780"/>
    <w:rsid w:val="0012694A"/>
    <w:rsid w:val="00126E9F"/>
    <w:rsid w:val="00127460"/>
    <w:rsid w:val="00133792"/>
    <w:rsid w:val="001368E8"/>
    <w:rsid w:val="00143610"/>
    <w:rsid w:val="00150A95"/>
    <w:rsid w:val="001521AB"/>
    <w:rsid w:val="00164684"/>
    <w:rsid w:val="00164AE0"/>
    <w:rsid w:val="00164EB1"/>
    <w:rsid w:val="00167109"/>
    <w:rsid w:val="001726DA"/>
    <w:rsid w:val="00172A27"/>
    <w:rsid w:val="0017443B"/>
    <w:rsid w:val="001809CD"/>
    <w:rsid w:val="0018526D"/>
    <w:rsid w:val="00192562"/>
    <w:rsid w:val="001934B8"/>
    <w:rsid w:val="001935A4"/>
    <w:rsid w:val="001A264F"/>
    <w:rsid w:val="001A338E"/>
    <w:rsid w:val="001A3B90"/>
    <w:rsid w:val="001A42C5"/>
    <w:rsid w:val="001A6941"/>
    <w:rsid w:val="001B12F8"/>
    <w:rsid w:val="001B1991"/>
    <w:rsid w:val="001B2021"/>
    <w:rsid w:val="001B2822"/>
    <w:rsid w:val="001B3365"/>
    <w:rsid w:val="001B3E82"/>
    <w:rsid w:val="001C3384"/>
    <w:rsid w:val="001C38FF"/>
    <w:rsid w:val="001C76D5"/>
    <w:rsid w:val="001D08ED"/>
    <w:rsid w:val="001D0FBC"/>
    <w:rsid w:val="001D6FCF"/>
    <w:rsid w:val="001E2126"/>
    <w:rsid w:val="001E241E"/>
    <w:rsid w:val="001E6269"/>
    <w:rsid w:val="0020296A"/>
    <w:rsid w:val="0020425E"/>
    <w:rsid w:val="00210ABD"/>
    <w:rsid w:val="00212A31"/>
    <w:rsid w:val="00220F15"/>
    <w:rsid w:val="0022240D"/>
    <w:rsid w:val="002231B8"/>
    <w:rsid w:val="00234B27"/>
    <w:rsid w:val="00236778"/>
    <w:rsid w:val="00244EDE"/>
    <w:rsid w:val="00245B0D"/>
    <w:rsid w:val="0024757C"/>
    <w:rsid w:val="00251228"/>
    <w:rsid w:val="0026763E"/>
    <w:rsid w:val="0027235E"/>
    <w:rsid w:val="0027306F"/>
    <w:rsid w:val="00273CEA"/>
    <w:rsid w:val="002759EC"/>
    <w:rsid w:val="0028034E"/>
    <w:rsid w:val="00281BE8"/>
    <w:rsid w:val="00285A29"/>
    <w:rsid w:val="002872CE"/>
    <w:rsid w:val="0029054A"/>
    <w:rsid w:val="002932B4"/>
    <w:rsid w:val="002A3266"/>
    <w:rsid w:val="002A3E96"/>
    <w:rsid w:val="002A6EDD"/>
    <w:rsid w:val="002A7234"/>
    <w:rsid w:val="002B0238"/>
    <w:rsid w:val="002B2F64"/>
    <w:rsid w:val="002C1CFF"/>
    <w:rsid w:val="002C2FDF"/>
    <w:rsid w:val="002C340A"/>
    <w:rsid w:val="002C403F"/>
    <w:rsid w:val="002D36DD"/>
    <w:rsid w:val="002E0BA6"/>
    <w:rsid w:val="002E0E51"/>
    <w:rsid w:val="002E3407"/>
    <w:rsid w:val="002E3A20"/>
    <w:rsid w:val="002F782F"/>
    <w:rsid w:val="002F7D6C"/>
    <w:rsid w:val="00302D0D"/>
    <w:rsid w:val="00303288"/>
    <w:rsid w:val="003039D6"/>
    <w:rsid w:val="003102B7"/>
    <w:rsid w:val="003145D9"/>
    <w:rsid w:val="0031498B"/>
    <w:rsid w:val="00314AA5"/>
    <w:rsid w:val="00314DFA"/>
    <w:rsid w:val="003166B0"/>
    <w:rsid w:val="003175AE"/>
    <w:rsid w:val="00321C16"/>
    <w:rsid w:val="00321D3B"/>
    <w:rsid w:val="00337017"/>
    <w:rsid w:val="00343E59"/>
    <w:rsid w:val="00344019"/>
    <w:rsid w:val="00344B3C"/>
    <w:rsid w:val="00344EF8"/>
    <w:rsid w:val="00347D69"/>
    <w:rsid w:val="00352F4E"/>
    <w:rsid w:val="00356235"/>
    <w:rsid w:val="00357194"/>
    <w:rsid w:val="003635AE"/>
    <w:rsid w:val="00363972"/>
    <w:rsid w:val="003664A0"/>
    <w:rsid w:val="00370794"/>
    <w:rsid w:val="00371152"/>
    <w:rsid w:val="00375CAF"/>
    <w:rsid w:val="00380623"/>
    <w:rsid w:val="0038620E"/>
    <w:rsid w:val="0039340A"/>
    <w:rsid w:val="00394321"/>
    <w:rsid w:val="00395586"/>
    <w:rsid w:val="003957AE"/>
    <w:rsid w:val="00396394"/>
    <w:rsid w:val="003A0CA9"/>
    <w:rsid w:val="003A251E"/>
    <w:rsid w:val="003A25B6"/>
    <w:rsid w:val="003B1033"/>
    <w:rsid w:val="003B1F7F"/>
    <w:rsid w:val="003B4040"/>
    <w:rsid w:val="003B5ED5"/>
    <w:rsid w:val="003B7BA2"/>
    <w:rsid w:val="003C2473"/>
    <w:rsid w:val="003C624E"/>
    <w:rsid w:val="003D1D91"/>
    <w:rsid w:val="003E1B9D"/>
    <w:rsid w:val="003E2285"/>
    <w:rsid w:val="003E23F5"/>
    <w:rsid w:val="003E29DA"/>
    <w:rsid w:val="003E401C"/>
    <w:rsid w:val="003E6E47"/>
    <w:rsid w:val="003E70A6"/>
    <w:rsid w:val="003F20E9"/>
    <w:rsid w:val="00400397"/>
    <w:rsid w:val="0040089F"/>
    <w:rsid w:val="00400A27"/>
    <w:rsid w:val="0040341E"/>
    <w:rsid w:val="00407ED0"/>
    <w:rsid w:val="00410AA4"/>
    <w:rsid w:val="004123D2"/>
    <w:rsid w:val="0042014D"/>
    <w:rsid w:val="004220F2"/>
    <w:rsid w:val="00422FF1"/>
    <w:rsid w:val="00425C19"/>
    <w:rsid w:val="00425C91"/>
    <w:rsid w:val="004261D6"/>
    <w:rsid w:val="00427138"/>
    <w:rsid w:val="00427E2F"/>
    <w:rsid w:val="00430203"/>
    <w:rsid w:val="004318CA"/>
    <w:rsid w:val="00433B1D"/>
    <w:rsid w:val="0043652C"/>
    <w:rsid w:val="00442C84"/>
    <w:rsid w:val="00443BA8"/>
    <w:rsid w:val="00443DF6"/>
    <w:rsid w:val="00450E18"/>
    <w:rsid w:val="00451B83"/>
    <w:rsid w:val="00452C5E"/>
    <w:rsid w:val="0045444D"/>
    <w:rsid w:val="004553C7"/>
    <w:rsid w:val="00456B89"/>
    <w:rsid w:val="00463012"/>
    <w:rsid w:val="00471E94"/>
    <w:rsid w:val="00473393"/>
    <w:rsid w:val="0047493E"/>
    <w:rsid w:val="004808D6"/>
    <w:rsid w:val="00483EE5"/>
    <w:rsid w:val="004907B0"/>
    <w:rsid w:val="00491BF7"/>
    <w:rsid w:val="004B1090"/>
    <w:rsid w:val="004B1BEC"/>
    <w:rsid w:val="004B3D2B"/>
    <w:rsid w:val="004C085D"/>
    <w:rsid w:val="004C1DFE"/>
    <w:rsid w:val="004C2E29"/>
    <w:rsid w:val="004C2FCE"/>
    <w:rsid w:val="004C39F2"/>
    <w:rsid w:val="004C4ADD"/>
    <w:rsid w:val="004C796B"/>
    <w:rsid w:val="004C7AC0"/>
    <w:rsid w:val="004D3168"/>
    <w:rsid w:val="004D4E53"/>
    <w:rsid w:val="004E2C76"/>
    <w:rsid w:val="004E4472"/>
    <w:rsid w:val="004E4EE2"/>
    <w:rsid w:val="004F2B7C"/>
    <w:rsid w:val="004F49FC"/>
    <w:rsid w:val="004F677C"/>
    <w:rsid w:val="005012F9"/>
    <w:rsid w:val="0050668B"/>
    <w:rsid w:val="0050721B"/>
    <w:rsid w:val="005138FF"/>
    <w:rsid w:val="00515606"/>
    <w:rsid w:val="00520314"/>
    <w:rsid w:val="00521D3D"/>
    <w:rsid w:val="00521D9A"/>
    <w:rsid w:val="005311EE"/>
    <w:rsid w:val="005412D8"/>
    <w:rsid w:val="005454F5"/>
    <w:rsid w:val="00546E6F"/>
    <w:rsid w:val="00553E9E"/>
    <w:rsid w:val="0055788A"/>
    <w:rsid w:val="0056207A"/>
    <w:rsid w:val="00566757"/>
    <w:rsid w:val="00572D55"/>
    <w:rsid w:val="00573FA7"/>
    <w:rsid w:val="00574FB4"/>
    <w:rsid w:val="0057576D"/>
    <w:rsid w:val="00576F24"/>
    <w:rsid w:val="00577F53"/>
    <w:rsid w:val="0058027B"/>
    <w:rsid w:val="00580579"/>
    <w:rsid w:val="00584E64"/>
    <w:rsid w:val="00593C88"/>
    <w:rsid w:val="005A1969"/>
    <w:rsid w:val="005A4A2D"/>
    <w:rsid w:val="005A4B55"/>
    <w:rsid w:val="005A66DA"/>
    <w:rsid w:val="005B2244"/>
    <w:rsid w:val="005B2E50"/>
    <w:rsid w:val="005C06AE"/>
    <w:rsid w:val="005C2262"/>
    <w:rsid w:val="005C47A5"/>
    <w:rsid w:val="005C5FCB"/>
    <w:rsid w:val="005C6211"/>
    <w:rsid w:val="005D09D7"/>
    <w:rsid w:val="005E0E41"/>
    <w:rsid w:val="005E1A71"/>
    <w:rsid w:val="005E5084"/>
    <w:rsid w:val="005F1233"/>
    <w:rsid w:val="005F4967"/>
    <w:rsid w:val="005F5749"/>
    <w:rsid w:val="005F6B06"/>
    <w:rsid w:val="00612D90"/>
    <w:rsid w:val="00614A82"/>
    <w:rsid w:val="00614E91"/>
    <w:rsid w:val="00617D81"/>
    <w:rsid w:val="00632025"/>
    <w:rsid w:val="00633095"/>
    <w:rsid w:val="0063561F"/>
    <w:rsid w:val="00635630"/>
    <w:rsid w:val="00637EF2"/>
    <w:rsid w:val="00644AD5"/>
    <w:rsid w:val="0064511B"/>
    <w:rsid w:val="00652230"/>
    <w:rsid w:val="00654E32"/>
    <w:rsid w:val="00655550"/>
    <w:rsid w:val="00661906"/>
    <w:rsid w:val="00663C3B"/>
    <w:rsid w:val="00670AFA"/>
    <w:rsid w:val="006801FA"/>
    <w:rsid w:val="00681397"/>
    <w:rsid w:val="00690F9E"/>
    <w:rsid w:val="0069393F"/>
    <w:rsid w:val="006939B5"/>
    <w:rsid w:val="006A2E93"/>
    <w:rsid w:val="006A73AF"/>
    <w:rsid w:val="006B2263"/>
    <w:rsid w:val="006B4417"/>
    <w:rsid w:val="006C1F7B"/>
    <w:rsid w:val="006C4ABF"/>
    <w:rsid w:val="006C6FE1"/>
    <w:rsid w:val="006D248F"/>
    <w:rsid w:val="006D6A5A"/>
    <w:rsid w:val="006F2425"/>
    <w:rsid w:val="006F5A5E"/>
    <w:rsid w:val="006F6286"/>
    <w:rsid w:val="00701C52"/>
    <w:rsid w:val="0070340A"/>
    <w:rsid w:val="0071344D"/>
    <w:rsid w:val="00714B31"/>
    <w:rsid w:val="00715469"/>
    <w:rsid w:val="007169E1"/>
    <w:rsid w:val="00716BBB"/>
    <w:rsid w:val="00727393"/>
    <w:rsid w:val="00727568"/>
    <w:rsid w:val="00732E2C"/>
    <w:rsid w:val="007363C8"/>
    <w:rsid w:val="00742E2D"/>
    <w:rsid w:val="0074680C"/>
    <w:rsid w:val="00747493"/>
    <w:rsid w:val="00751453"/>
    <w:rsid w:val="00752E05"/>
    <w:rsid w:val="007531C3"/>
    <w:rsid w:val="00753231"/>
    <w:rsid w:val="007539DC"/>
    <w:rsid w:val="00754B99"/>
    <w:rsid w:val="007611C1"/>
    <w:rsid w:val="007611D1"/>
    <w:rsid w:val="00762A58"/>
    <w:rsid w:val="00762A64"/>
    <w:rsid w:val="00763030"/>
    <w:rsid w:val="007671D6"/>
    <w:rsid w:val="00772984"/>
    <w:rsid w:val="00775AEB"/>
    <w:rsid w:val="00792801"/>
    <w:rsid w:val="007945D3"/>
    <w:rsid w:val="00794B79"/>
    <w:rsid w:val="00796DB6"/>
    <w:rsid w:val="007A3210"/>
    <w:rsid w:val="007A7AF7"/>
    <w:rsid w:val="007B3003"/>
    <w:rsid w:val="007B4062"/>
    <w:rsid w:val="007B4A84"/>
    <w:rsid w:val="007C59BF"/>
    <w:rsid w:val="007D0C07"/>
    <w:rsid w:val="007D13A2"/>
    <w:rsid w:val="007D2EC0"/>
    <w:rsid w:val="007D3A56"/>
    <w:rsid w:val="007E2F89"/>
    <w:rsid w:val="007E34DC"/>
    <w:rsid w:val="007E3D20"/>
    <w:rsid w:val="007E734D"/>
    <w:rsid w:val="007E7B9D"/>
    <w:rsid w:val="007F0A5E"/>
    <w:rsid w:val="007F0E29"/>
    <w:rsid w:val="007F5583"/>
    <w:rsid w:val="007F6891"/>
    <w:rsid w:val="0080520F"/>
    <w:rsid w:val="00806781"/>
    <w:rsid w:val="00816095"/>
    <w:rsid w:val="0082410E"/>
    <w:rsid w:val="00824477"/>
    <w:rsid w:val="00832B11"/>
    <w:rsid w:val="00836090"/>
    <w:rsid w:val="00836D77"/>
    <w:rsid w:val="00845DCF"/>
    <w:rsid w:val="00851C75"/>
    <w:rsid w:val="00852289"/>
    <w:rsid w:val="00863133"/>
    <w:rsid w:val="008645C1"/>
    <w:rsid w:val="00866290"/>
    <w:rsid w:val="00867EDC"/>
    <w:rsid w:val="00870379"/>
    <w:rsid w:val="00871F20"/>
    <w:rsid w:val="0087520E"/>
    <w:rsid w:val="00882C63"/>
    <w:rsid w:val="00884E0D"/>
    <w:rsid w:val="00886B95"/>
    <w:rsid w:val="008878BE"/>
    <w:rsid w:val="00887A59"/>
    <w:rsid w:val="00897CDF"/>
    <w:rsid w:val="008A65A9"/>
    <w:rsid w:val="008B3136"/>
    <w:rsid w:val="008C5A04"/>
    <w:rsid w:val="008C5B8A"/>
    <w:rsid w:val="008C61CC"/>
    <w:rsid w:val="008C65E4"/>
    <w:rsid w:val="008D62FD"/>
    <w:rsid w:val="008D7CE2"/>
    <w:rsid w:val="008E04EF"/>
    <w:rsid w:val="008E27D0"/>
    <w:rsid w:val="008F0950"/>
    <w:rsid w:val="008F2AB0"/>
    <w:rsid w:val="008F76C4"/>
    <w:rsid w:val="00901EE5"/>
    <w:rsid w:val="00902E18"/>
    <w:rsid w:val="00911E7D"/>
    <w:rsid w:val="00925006"/>
    <w:rsid w:val="009260D4"/>
    <w:rsid w:val="0093063E"/>
    <w:rsid w:val="009309A3"/>
    <w:rsid w:val="00930F12"/>
    <w:rsid w:val="00932F16"/>
    <w:rsid w:val="00933C5E"/>
    <w:rsid w:val="00933C72"/>
    <w:rsid w:val="009345BF"/>
    <w:rsid w:val="0093625C"/>
    <w:rsid w:val="00937EFA"/>
    <w:rsid w:val="009405BE"/>
    <w:rsid w:val="00955929"/>
    <w:rsid w:val="00960B3E"/>
    <w:rsid w:val="00961370"/>
    <w:rsid w:val="00965590"/>
    <w:rsid w:val="00966671"/>
    <w:rsid w:val="00966FC5"/>
    <w:rsid w:val="00967240"/>
    <w:rsid w:val="00971BFD"/>
    <w:rsid w:val="00974530"/>
    <w:rsid w:val="009756C3"/>
    <w:rsid w:val="0098158C"/>
    <w:rsid w:val="00982C04"/>
    <w:rsid w:val="0098449C"/>
    <w:rsid w:val="00986D8B"/>
    <w:rsid w:val="009958AF"/>
    <w:rsid w:val="009B1171"/>
    <w:rsid w:val="009C0946"/>
    <w:rsid w:val="009C2CF4"/>
    <w:rsid w:val="009C4466"/>
    <w:rsid w:val="009D1547"/>
    <w:rsid w:val="009D70F3"/>
    <w:rsid w:val="009D79D9"/>
    <w:rsid w:val="009E0A51"/>
    <w:rsid w:val="009E21DB"/>
    <w:rsid w:val="009E25A6"/>
    <w:rsid w:val="009E3E95"/>
    <w:rsid w:val="009E67A5"/>
    <w:rsid w:val="009E7CDC"/>
    <w:rsid w:val="009F689A"/>
    <w:rsid w:val="009F6C38"/>
    <w:rsid w:val="00A01E79"/>
    <w:rsid w:val="00A1530D"/>
    <w:rsid w:val="00A21459"/>
    <w:rsid w:val="00A24A50"/>
    <w:rsid w:val="00A2579E"/>
    <w:rsid w:val="00A31FB4"/>
    <w:rsid w:val="00A40BC4"/>
    <w:rsid w:val="00A41563"/>
    <w:rsid w:val="00A41ACC"/>
    <w:rsid w:val="00A5199A"/>
    <w:rsid w:val="00A5556B"/>
    <w:rsid w:val="00A66087"/>
    <w:rsid w:val="00A709D8"/>
    <w:rsid w:val="00A70C7D"/>
    <w:rsid w:val="00A71DBD"/>
    <w:rsid w:val="00A81ABA"/>
    <w:rsid w:val="00A8517F"/>
    <w:rsid w:val="00A85842"/>
    <w:rsid w:val="00AB21E2"/>
    <w:rsid w:val="00AB271E"/>
    <w:rsid w:val="00AB2E63"/>
    <w:rsid w:val="00AB420F"/>
    <w:rsid w:val="00AB5A9C"/>
    <w:rsid w:val="00AB702C"/>
    <w:rsid w:val="00AB7570"/>
    <w:rsid w:val="00AC1324"/>
    <w:rsid w:val="00AD31FE"/>
    <w:rsid w:val="00AD3720"/>
    <w:rsid w:val="00AD7686"/>
    <w:rsid w:val="00AD7AB2"/>
    <w:rsid w:val="00AE0104"/>
    <w:rsid w:val="00AE550E"/>
    <w:rsid w:val="00AF30DD"/>
    <w:rsid w:val="00AF443D"/>
    <w:rsid w:val="00AF7E46"/>
    <w:rsid w:val="00B01E3F"/>
    <w:rsid w:val="00B02C91"/>
    <w:rsid w:val="00B03D8C"/>
    <w:rsid w:val="00B0480E"/>
    <w:rsid w:val="00B04E58"/>
    <w:rsid w:val="00B04F3E"/>
    <w:rsid w:val="00B05605"/>
    <w:rsid w:val="00B061BC"/>
    <w:rsid w:val="00B16E9C"/>
    <w:rsid w:val="00B23B75"/>
    <w:rsid w:val="00B23DC0"/>
    <w:rsid w:val="00B3221E"/>
    <w:rsid w:val="00B33E12"/>
    <w:rsid w:val="00B35B6C"/>
    <w:rsid w:val="00B518A8"/>
    <w:rsid w:val="00B67F1F"/>
    <w:rsid w:val="00B704F8"/>
    <w:rsid w:val="00B7085B"/>
    <w:rsid w:val="00B71FA8"/>
    <w:rsid w:val="00B763D0"/>
    <w:rsid w:val="00B76FCA"/>
    <w:rsid w:val="00B77A23"/>
    <w:rsid w:val="00B8257F"/>
    <w:rsid w:val="00B8290C"/>
    <w:rsid w:val="00B8362F"/>
    <w:rsid w:val="00B87346"/>
    <w:rsid w:val="00B90771"/>
    <w:rsid w:val="00B93AD7"/>
    <w:rsid w:val="00BA03A4"/>
    <w:rsid w:val="00BA099F"/>
    <w:rsid w:val="00BA3AD1"/>
    <w:rsid w:val="00BA4851"/>
    <w:rsid w:val="00BA6DDD"/>
    <w:rsid w:val="00BB29D5"/>
    <w:rsid w:val="00BC11A8"/>
    <w:rsid w:val="00BC3583"/>
    <w:rsid w:val="00BC3D7E"/>
    <w:rsid w:val="00BD19DD"/>
    <w:rsid w:val="00BD325F"/>
    <w:rsid w:val="00BD68C8"/>
    <w:rsid w:val="00BE1555"/>
    <w:rsid w:val="00BE26AD"/>
    <w:rsid w:val="00BE470F"/>
    <w:rsid w:val="00BE798D"/>
    <w:rsid w:val="00BF1324"/>
    <w:rsid w:val="00BF19A5"/>
    <w:rsid w:val="00BF2FDD"/>
    <w:rsid w:val="00BF30FC"/>
    <w:rsid w:val="00BF3671"/>
    <w:rsid w:val="00BF7D09"/>
    <w:rsid w:val="00C02294"/>
    <w:rsid w:val="00C049D5"/>
    <w:rsid w:val="00C113DD"/>
    <w:rsid w:val="00C1187A"/>
    <w:rsid w:val="00C12F79"/>
    <w:rsid w:val="00C166C6"/>
    <w:rsid w:val="00C22D6C"/>
    <w:rsid w:val="00C23066"/>
    <w:rsid w:val="00C25007"/>
    <w:rsid w:val="00C271D8"/>
    <w:rsid w:val="00C31F75"/>
    <w:rsid w:val="00C37E2B"/>
    <w:rsid w:val="00C423D3"/>
    <w:rsid w:val="00C425E7"/>
    <w:rsid w:val="00C5316F"/>
    <w:rsid w:val="00C55B4B"/>
    <w:rsid w:val="00C604EA"/>
    <w:rsid w:val="00C660BB"/>
    <w:rsid w:val="00C711E0"/>
    <w:rsid w:val="00C73CC2"/>
    <w:rsid w:val="00C757AA"/>
    <w:rsid w:val="00C80032"/>
    <w:rsid w:val="00C85882"/>
    <w:rsid w:val="00C861F0"/>
    <w:rsid w:val="00C94F25"/>
    <w:rsid w:val="00CC08D4"/>
    <w:rsid w:val="00CC19E6"/>
    <w:rsid w:val="00CC3D32"/>
    <w:rsid w:val="00CC4ACC"/>
    <w:rsid w:val="00CC5294"/>
    <w:rsid w:val="00CC7B90"/>
    <w:rsid w:val="00CD3823"/>
    <w:rsid w:val="00CD6514"/>
    <w:rsid w:val="00CE6865"/>
    <w:rsid w:val="00CF096B"/>
    <w:rsid w:val="00CF1C3F"/>
    <w:rsid w:val="00CF25A0"/>
    <w:rsid w:val="00CF2CD6"/>
    <w:rsid w:val="00CF361A"/>
    <w:rsid w:val="00CF5BE2"/>
    <w:rsid w:val="00D01CE2"/>
    <w:rsid w:val="00D02197"/>
    <w:rsid w:val="00D03088"/>
    <w:rsid w:val="00D11501"/>
    <w:rsid w:val="00D201A3"/>
    <w:rsid w:val="00D20ACF"/>
    <w:rsid w:val="00D30F38"/>
    <w:rsid w:val="00D3100C"/>
    <w:rsid w:val="00D33D6C"/>
    <w:rsid w:val="00D33F92"/>
    <w:rsid w:val="00D35FB7"/>
    <w:rsid w:val="00D36E93"/>
    <w:rsid w:val="00D372FF"/>
    <w:rsid w:val="00D37A8E"/>
    <w:rsid w:val="00D409A9"/>
    <w:rsid w:val="00D40D77"/>
    <w:rsid w:val="00D42DCE"/>
    <w:rsid w:val="00D43BDB"/>
    <w:rsid w:val="00D4748C"/>
    <w:rsid w:val="00D50DF4"/>
    <w:rsid w:val="00D541BA"/>
    <w:rsid w:val="00D561EC"/>
    <w:rsid w:val="00D60D98"/>
    <w:rsid w:val="00D7160F"/>
    <w:rsid w:val="00D71639"/>
    <w:rsid w:val="00D71DB9"/>
    <w:rsid w:val="00D752AC"/>
    <w:rsid w:val="00D76F63"/>
    <w:rsid w:val="00D7709E"/>
    <w:rsid w:val="00D80AA1"/>
    <w:rsid w:val="00D81165"/>
    <w:rsid w:val="00D903FF"/>
    <w:rsid w:val="00D90AB3"/>
    <w:rsid w:val="00D95734"/>
    <w:rsid w:val="00D95C46"/>
    <w:rsid w:val="00D967AE"/>
    <w:rsid w:val="00DA0863"/>
    <w:rsid w:val="00DA3144"/>
    <w:rsid w:val="00DA46B5"/>
    <w:rsid w:val="00DA5CCD"/>
    <w:rsid w:val="00DB0DFB"/>
    <w:rsid w:val="00DB1E3F"/>
    <w:rsid w:val="00DB2154"/>
    <w:rsid w:val="00DB347B"/>
    <w:rsid w:val="00DC0628"/>
    <w:rsid w:val="00DC72D0"/>
    <w:rsid w:val="00DD1F5B"/>
    <w:rsid w:val="00DD2576"/>
    <w:rsid w:val="00DD79D4"/>
    <w:rsid w:val="00DE0DFC"/>
    <w:rsid w:val="00DE6617"/>
    <w:rsid w:val="00DF23FD"/>
    <w:rsid w:val="00DF3994"/>
    <w:rsid w:val="00DF7351"/>
    <w:rsid w:val="00E0528B"/>
    <w:rsid w:val="00E1310C"/>
    <w:rsid w:val="00E24A6E"/>
    <w:rsid w:val="00E30F3B"/>
    <w:rsid w:val="00E359EC"/>
    <w:rsid w:val="00E375C5"/>
    <w:rsid w:val="00E419B9"/>
    <w:rsid w:val="00E45DF2"/>
    <w:rsid w:val="00E46247"/>
    <w:rsid w:val="00E5025A"/>
    <w:rsid w:val="00E50DCD"/>
    <w:rsid w:val="00E51A40"/>
    <w:rsid w:val="00E54088"/>
    <w:rsid w:val="00E61191"/>
    <w:rsid w:val="00E6190F"/>
    <w:rsid w:val="00E76B7B"/>
    <w:rsid w:val="00E80956"/>
    <w:rsid w:val="00E82A9A"/>
    <w:rsid w:val="00E85DB8"/>
    <w:rsid w:val="00E861E7"/>
    <w:rsid w:val="00E91EF1"/>
    <w:rsid w:val="00E93B3D"/>
    <w:rsid w:val="00E94A95"/>
    <w:rsid w:val="00E95500"/>
    <w:rsid w:val="00EA70D1"/>
    <w:rsid w:val="00EA7687"/>
    <w:rsid w:val="00EB08E0"/>
    <w:rsid w:val="00EB10CA"/>
    <w:rsid w:val="00EB4ECD"/>
    <w:rsid w:val="00EC7407"/>
    <w:rsid w:val="00ED35C2"/>
    <w:rsid w:val="00ED7B56"/>
    <w:rsid w:val="00EE057F"/>
    <w:rsid w:val="00EE1C74"/>
    <w:rsid w:val="00EF15FB"/>
    <w:rsid w:val="00EF5DA0"/>
    <w:rsid w:val="00F00A71"/>
    <w:rsid w:val="00F013CE"/>
    <w:rsid w:val="00F100DF"/>
    <w:rsid w:val="00F1481D"/>
    <w:rsid w:val="00F171A9"/>
    <w:rsid w:val="00F27C2E"/>
    <w:rsid w:val="00F30171"/>
    <w:rsid w:val="00F31E07"/>
    <w:rsid w:val="00F33E31"/>
    <w:rsid w:val="00F3749A"/>
    <w:rsid w:val="00F37DC3"/>
    <w:rsid w:val="00F4234B"/>
    <w:rsid w:val="00F45FEE"/>
    <w:rsid w:val="00F46772"/>
    <w:rsid w:val="00F47485"/>
    <w:rsid w:val="00F51E71"/>
    <w:rsid w:val="00F53216"/>
    <w:rsid w:val="00F53F66"/>
    <w:rsid w:val="00F6234A"/>
    <w:rsid w:val="00F62741"/>
    <w:rsid w:val="00F64FDF"/>
    <w:rsid w:val="00F662F3"/>
    <w:rsid w:val="00F67E33"/>
    <w:rsid w:val="00F76E41"/>
    <w:rsid w:val="00F82B1B"/>
    <w:rsid w:val="00F834AF"/>
    <w:rsid w:val="00F83A62"/>
    <w:rsid w:val="00F85E73"/>
    <w:rsid w:val="00F92051"/>
    <w:rsid w:val="00F940DA"/>
    <w:rsid w:val="00F95E40"/>
    <w:rsid w:val="00F96262"/>
    <w:rsid w:val="00F9772F"/>
    <w:rsid w:val="00FA1DB9"/>
    <w:rsid w:val="00FA6847"/>
    <w:rsid w:val="00FA6ABD"/>
    <w:rsid w:val="00FB0A6B"/>
    <w:rsid w:val="00FB1BAF"/>
    <w:rsid w:val="00FB53F8"/>
    <w:rsid w:val="00FC6DCD"/>
    <w:rsid w:val="00FD3CFA"/>
    <w:rsid w:val="00FD66A6"/>
    <w:rsid w:val="00FD7907"/>
    <w:rsid w:val="00FE4878"/>
    <w:rsid w:val="00FF11E7"/>
    <w:rsid w:val="00FF2891"/>
    <w:rsid w:val="00FF7FBF"/>
    <w:rsid w:val="01BA5544"/>
    <w:rsid w:val="0200793B"/>
    <w:rsid w:val="028D5673"/>
    <w:rsid w:val="02AF2707"/>
    <w:rsid w:val="03203AC7"/>
    <w:rsid w:val="037819BF"/>
    <w:rsid w:val="037D0EA8"/>
    <w:rsid w:val="03BB780E"/>
    <w:rsid w:val="03D43D8C"/>
    <w:rsid w:val="040F426C"/>
    <w:rsid w:val="042A7465"/>
    <w:rsid w:val="05542478"/>
    <w:rsid w:val="057846E7"/>
    <w:rsid w:val="065E03B1"/>
    <w:rsid w:val="06B73E22"/>
    <w:rsid w:val="07891C05"/>
    <w:rsid w:val="09BE531E"/>
    <w:rsid w:val="0A042CDE"/>
    <w:rsid w:val="0AF13159"/>
    <w:rsid w:val="0B4743E2"/>
    <w:rsid w:val="0B896BF3"/>
    <w:rsid w:val="0B9426C0"/>
    <w:rsid w:val="0CDC1BBC"/>
    <w:rsid w:val="0DF4359F"/>
    <w:rsid w:val="0E000124"/>
    <w:rsid w:val="0E464928"/>
    <w:rsid w:val="0F692FC4"/>
    <w:rsid w:val="1045133B"/>
    <w:rsid w:val="106B27C0"/>
    <w:rsid w:val="10CA7A92"/>
    <w:rsid w:val="121A5DE7"/>
    <w:rsid w:val="12EE500F"/>
    <w:rsid w:val="12EF26A3"/>
    <w:rsid w:val="13780A01"/>
    <w:rsid w:val="139D473A"/>
    <w:rsid w:val="13DD3BA4"/>
    <w:rsid w:val="15213881"/>
    <w:rsid w:val="15DD2016"/>
    <w:rsid w:val="173C0FBE"/>
    <w:rsid w:val="17EC4792"/>
    <w:rsid w:val="195358E0"/>
    <w:rsid w:val="19B8429B"/>
    <w:rsid w:val="1A302C2D"/>
    <w:rsid w:val="1AE93D52"/>
    <w:rsid w:val="1B4B2737"/>
    <w:rsid w:val="1B634C1A"/>
    <w:rsid w:val="1D7C3BD9"/>
    <w:rsid w:val="1DDF20DF"/>
    <w:rsid w:val="1DE7118B"/>
    <w:rsid w:val="1F1B2E6B"/>
    <w:rsid w:val="1F8B663F"/>
    <w:rsid w:val="20C242E2"/>
    <w:rsid w:val="214605F1"/>
    <w:rsid w:val="21F030D1"/>
    <w:rsid w:val="22D62722"/>
    <w:rsid w:val="23554F56"/>
    <w:rsid w:val="23621DAC"/>
    <w:rsid w:val="23F25D2B"/>
    <w:rsid w:val="24CC6E3E"/>
    <w:rsid w:val="24EC119D"/>
    <w:rsid w:val="254463A8"/>
    <w:rsid w:val="259F4D42"/>
    <w:rsid w:val="262579ED"/>
    <w:rsid w:val="264740B4"/>
    <w:rsid w:val="26702AC3"/>
    <w:rsid w:val="268A428D"/>
    <w:rsid w:val="26EA4592"/>
    <w:rsid w:val="27095F54"/>
    <w:rsid w:val="272C4BAB"/>
    <w:rsid w:val="288D4096"/>
    <w:rsid w:val="28DE7952"/>
    <w:rsid w:val="29687448"/>
    <w:rsid w:val="2A735176"/>
    <w:rsid w:val="2BF8505C"/>
    <w:rsid w:val="2C7E321E"/>
    <w:rsid w:val="2F6219CF"/>
    <w:rsid w:val="2F6E0099"/>
    <w:rsid w:val="2FC03AC6"/>
    <w:rsid w:val="31551D50"/>
    <w:rsid w:val="31971801"/>
    <w:rsid w:val="31EA6BBA"/>
    <w:rsid w:val="335E0063"/>
    <w:rsid w:val="34346E4D"/>
    <w:rsid w:val="35FC7E3E"/>
    <w:rsid w:val="361E475C"/>
    <w:rsid w:val="385A3F76"/>
    <w:rsid w:val="385C5C4A"/>
    <w:rsid w:val="389C76C1"/>
    <w:rsid w:val="38B2470B"/>
    <w:rsid w:val="38F122CB"/>
    <w:rsid w:val="39754190"/>
    <w:rsid w:val="39C34E02"/>
    <w:rsid w:val="3A9215F3"/>
    <w:rsid w:val="3BFC2946"/>
    <w:rsid w:val="3D197528"/>
    <w:rsid w:val="3DE32759"/>
    <w:rsid w:val="3E100B00"/>
    <w:rsid w:val="3EC139D3"/>
    <w:rsid w:val="3FA3668F"/>
    <w:rsid w:val="3FB617AF"/>
    <w:rsid w:val="4058593B"/>
    <w:rsid w:val="405B6AB9"/>
    <w:rsid w:val="40784565"/>
    <w:rsid w:val="412F56EA"/>
    <w:rsid w:val="41614FF9"/>
    <w:rsid w:val="439E0B23"/>
    <w:rsid w:val="43D46554"/>
    <w:rsid w:val="442E0268"/>
    <w:rsid w:val="448434D9"/>
    <w:rsid w:val="449A3DE1"/>
    <w:rsid w:val="458B68D0"/>
    <w:rsid w:val="45D40490"/>
    <w:rsid w:val="46093D1E"/>
    <w:rsid w:val="466D45C3"/>
    <w:rsid w:val="46F030A7"/>
    <w:rsid w:val="47413903"/>
    <w:rsid w:val="487427FB"/>
    <w:rsid w:val="488B3409"/>
    <w:rsid w:val="48A266E1"/>
    <w:rsid w:val="4AE207ED"/>
    <w:rsid w:val="4B38326F"/>
    <w:rsid w:val="4B9A5CD8"/>
    <w:rsid w:val="4BDE5BC4"/>
    <w:rsid w:val="4C7400B7"/>
    <w:rsid w:val="4E0342B7"/>
    <w:rsid w:val="4E6A1991"/>
    <w:rsid w:val="4E8527CC"/>
    <w:rsid w:val="4FF260AA"/>
    <w:rsid w:val="527248CA"/>
    <w:rsid w:val="52CA6EA2"/>
    <w:rsid w:val="53B43E73"/>
    <w:rsid w:val="53F73D05"/>
    <w:rsid w:val="5436354C"/>
    <w:rsid w:val="546F4AAC"/>
    <w:rsid w:val="54D82768"/>
    <w:rsid w:val="557C6E51"/>
    <w:rsid w:val="558550D1"/>
    <w:rsid w:val="56600739"/>
    <w:rsid w:val="567E247E"/>
    <w:rsid w:val="58313520"/>
    <w:rsid w:val="58E6430A"/>
    <w:rsid w:val="5A317807"/>
    <w:rsid w:val="5A653A20"/>
    <w:rsid w:val="5A9C32F9"/>
    <w:rsid w:val="5AFC294B"/>
    <w:rsid w:val="5B8322E4"/>
    <w:rsid w:val="5E094895"/>
    <w:rsid w:val="5E811C12"/>
    <w:rsid w:val="60F54267"/>
    <w:rsid w:val="61FE0917"/>
    <w:rsid w:val="621D66BF"/>
    <w:rsid w:val="637E67D7"/>
    <w:rsid w:val="639C03D4"/>
    <w:rsid w:val="64056781"/>
    <w:rsid w:val="646627A3"/>
    <w:rsid w:val="652F7039"/>
    <w:rsid w:val="655032FA"/>
    <w:rsid w:val="65FB1417"/>
    <w:rsid w:val="66550856"/>
    <w:rsid w:val="668105E7"/>
    <w:rsid w:val="67155A61"/>
    <w:rsid w:val="67A75EE5"/>
    <w:rsid w:val="689B6EBF"/>
    <w:rsid w:val="69AD4282"/>
    <w:rsid w:val="69F34AD9"/>
    <w:rsid w:val="69F874B9"/>
    <w:rsid w:val="6AA45DD3"/>
    <w:rsid w:val="6BBB33D4"/>
    <w:rsid w:val="6D1301DD"/>
    <w:rsid w:val="6D21370B"/>
    <w:rsid w:val="6D6261FE"/>
    <w:rsid w:val="6D86370E"/>
    <w:rsid w:val="6D9546ED"/>
    <w:rsid w:val="6E3218AE"/>
    <w:rsid w:val="6E494CC8"/>
    <w:rsid w:val="6EC802E2"/>
    <w:rsid w:val="6F743FC6"/>
    <w:rsid w:val="70190FA9"/>
    <w:rsid w:val="70344461"/>
    <w:rsid w:val="70D867D7"/>
    <w:rsid w:val="71B608C6"/>
    <w:rsid w:val="71F633B8"/>
    <w:rsid w:val="723C0E6B"/>
    <w:rsid w:val="72AB732B"/>
    <w:rsid w:val="73964087"/>
    <w:rsid w:val="73BB4394"/>
    <w:rsid w:val="74213FF1"/>
    <w:rsid w:val="74600FBD"/>
    <w:rsid w:val="747F2F2B"/>
    <w:rsid w:val="749B4417"/>
    <w:rsid w:val="74B3492E"/>
    <w:rsid w:val="74D76453"/>
    <w:rsid w:val="74F50927"/>
    <w:rsid w:val="751F4426"/>
    <w:rsid w:val="76E12028"/>
    <w:rsid w:val="77574B22"/>
    <w:rsid w:val="77650421"/>
    <w:rsid w:val="77B12537"/>
    <w:rsid w:val="77BE0DE5"/>
    <w:rsid w:val="77F55E73"/>
    <w:rsid w:val="783C2617"/>
    <w:rsid w:val="7943071A"/>
    <w:rsid w:val="7B2D48B9"/>
    <w:rsid w:val="7B7117B7"/>
    <w:rsid w:val="7BC777ED"/>
    <w:rsid w:val="7CAB67CC"/>
    <w:rsid w:val="7CBB452A"/>
    <w:rsid w:val="7CEE75A6"/>
    <w:rsid w:val="7F533BF8"/>
    <w:rsid w:val="7FD665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3"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link w:val="35"/>
    <w:qFormat/>
    <w:uiPriority w:val="9"/>
    <w:pPr>
      <w:keepNext/>
      <w:keepLines/>
      <w:widowControl w:val="0"/>
      <w:spacing w:before="340" w:after="330" w:line="578" w:lineRule="auto"/>
      <w:jc w:val="both"/>
      <w:outlineLvl w:val="0"/>
    </w:pPr>
    <w:rPr>
      <w:rFonts w:asciiTheme="minorHAnsi" w:hAnsiTheme="minorHAnsi" w:eastAsiaTheme="minorEastAsia" w:cstheme="minorBidi"/>
      <w:b/>
      <w:bCs/>
      <w:kern w:val="44"/>
      <w:sz w:val="44"/>
      <w:szCs w:val="44"/>
    </w:rPr>
  </w:style>
  <w:style w:type="paragraph" w:styleId="4">
    <w:name w:val="heading 3"/>
    <w:basedOn w:val="1"/>
    <w:next w:val="1"/>
    <w:link w:val="31"/>
    <w:unhideWhenUsed/>
    <w:qFormat/>
    <w:uiPriority w:val="9"/>
    <w:pPr>
      <w:keepNext/>
      <w:keepLines/>
      <w:adjustRightInd w:val="0"/>
      <w:snapToGrid w:val="0"/>
      <w:spacing w:before="260" w:after="260" w:line="416" w:lineRule="auto"/>
      <w:outlineLvl w:val="2"/>
    </w:pPr>
    <w:rPr>
      <w:rFonts w:ascii="Tahoma" w:hAnsi="Tahoma" w:eastAsia="微软雅黑" w:cs="Times New Roman"/>
      <w:b/>
      <w:bCs/>
      <w:sz w:val="32"/>
      <w:szCs w:val="32"/>
    </w:rPr>
  </w:style>
  <w:style w:type="paragraph" w:styleId="5">
    <w:name w:val="heading 5"/>
    <w:basedOn w:val="1"/>
    <w:next w:val="1"/>
    <w:link w:val="30"/>
    <w:unhideWhenUsed/>
    <w:qFormat/>
    <w:uiPriority w:val="9"/>
    <w:pPr>
      <w:keepNext/>
      <w:keepLines/>
      <w:adjustRightInd w:val="0"/>
      <w:snapToGrid w:val="0"/>
      <w:spacing w:before="280" w:after="290" w:line="376" w:lineRule="auto"/>
      <w:outlineLvl w:val="4"/>
    </w:pPr>
    <w:rPr>
      <w:rFonts w:ascii="Tahoma" w:hAnsi="Tahoma" w:eastAsia="微软雅黑" w:cs="Times New Roman"/>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eastAsia="仿宋_GB2312"/>
      <w:sz w:val="32"/>
    </w:rPr>
  </w:style>
  <w:style w:type="paragraph" w:styleId="6">
    <w:name w:val="Document Map"/>
    <w:basedOn w:val="1"/>
    <w:link w:val="44"/>
    <w:semiHidden/>
    <w:unhideWhenUsed/>
    <w:qFormat/>
    <w:uiPriority w:val="99"/>
    <w:pPr>
      <w:widowControl w:val="0"/>
      <w:jc w:val="both"/>
    </w:pPr>
    <w:rPr>
      <w:rFonts w:hAnsiTheme="minorHAnsi" w:cstheme="minorBidi"/>
      <w:kern w:val="2"/>
      <w:sz w:val="18"/>
      <w:szCs w:val="18"/>
    </w:rPr>
  </w:style>
  <w:style w:type="paragraph" w:styleId="7">
    <w:name w:val="toc 3"/>
    <w:basedOn w:val="1"/>
    <w:next w:val="1"/>
    <w:unhideWhenUsed/>
    <w:qFormat/>
    <w:uiPriority w:val="39"/>
    <w:pPr>
      <w:spacing w:after="100" w:line="276" w:lineRule="auto"/>
      <w:ind w:left="440"/>
    </w:pPr>
    <w:rPr>
      <w:rFonts w:asciiTheme="minorHAnsi" w:hAnsiTheme="minorHAnsi" w:eastAsiaTheme="minorEastAsia" w:cstheme="minorBidi"/>
      <w:sz w:val="22"/>
      <w:szCs w:val="22"/>
    </w:rPr>
  </w:style>
  <w:style w:type="paragraph" w:styleId="8">
    <w:name w:val="Balloon Text"/>
    <w:basedOn w:val="1"/>
    <w:link w:val="34"/>
    <w:semiHidden/>
    <w:unhideWhenUsed/>
    <w:qFormat/>
    <w:uiPriority w:val="99"/>
    <w:pPr>
      <w:widowControl w:val="0"/>
      <w:jc w:val="both"/>
    </w:pPr>
    <w:rPr>
      <w:rFonts w:asciiTheme="minorHAnsi" w:hAnsiTheme="minorHAnsi" w:eastAsiaTheme="minorEastAsia" w:cstheme="minorBidi"/>
      <w:kern w:val="2"/>
      <w:sz w:val="18"/>
      <w:szCs w:val="18"/>
    </w:rPr>
  </w:style>
  <w:style w:type="paragraph" w:styleId="9">
    <w:name w:val="footer"/>
    <w:basedOn w:val="1"/>
    <w:link w:val="29"/>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0">
    <w:name w:val="header"/>
    <w:basedOn w:val="1"/>
    <w:link w:val="28"/>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1">
    <w:name w:val="toc 1"/>
    <w:basedOn w:val="1"/>
    <w:next w:val="1"/>
    <w:unhideWhenUsed/>
    <w:qFormat/>
    <w:uiPriority w:val="39"/>
    <w:pPr>
      <w:spacing w:after="100" w:line="276" w:lineRule="auto"/>
    </w:pPr>
    <w:rPr>
      <w:rFonts w:asciiTheme="minorHAnsi" w:hAnsiTheme="minorHAnsi" w:eastAsiaTheme="minorEastAsia" w:cstheme="minorBidi"/>
      <w:sz w:val="22"/>
      <w:szCs w:val="22"/>
    </w:rPr>
  </w:style>
  <w:style w:type="paragraph" w:styleId="12">
    <w:name w:val="toc 4"/>
    <w:basedOn w:val="1"/>
    <w:next w:val="1"/>
    <w:unhideWhenUsed/>
    <w:qFormat/>
    <w:uiPriority w:val="39"/>
    <w:pPr>
      <w:widowControl w:val="0"/>
      <w:ind w:left="1260" w:leftChars="600"/>
      <w:jc w:val="both"/>
    </w:pPr>
    <w:rPr>
      <w:rFonts w:asciiTheme="minorHAnsi" w:hAnsiTheme="minorHAnsi" w:eastAsiaTheme="minorEastAsia" w:cstheme="minorBidi"/>
      <w:kern w:val="2"/>
      <w:sz w:val="21"/>
      <w:szCs w:val="22"/>
    </w:rPr>
  </w:style>
  <w:style w:type="paragraph" w:styleId="13">
    <w:name w:val="toc 2"/>
    <w:basedOn w:val="1"/>
    <w:next w:val="1"/>
    <w:unhideWhenUsed/>
    <w:qFormat/>
    <w:uiPriority w:val="39"/>
    <w:pPr>
      <w:spacing w:after="100" w:line="276" w:lineRule="auto"/>
      <w:ind w:left="220"/>
    </w:pPr>
    <w:rPr>
      <w:rFonts w:asciiTheme="minorHAnsi" w:hAnsiTheme="minorHAnsi" w:eastAsiaTheme="minorEastAsia" w:cstheme="minorBidi"/>
      <w:sz w:val="22"/>
      <w:szCs w:val="22"/>
    </w:rPr>
  </w:style>
  <w:style w:type="paragraph" w:styleId="14">
    <w:name w:val="Normal (Web)"/>
    <w:basedOn w:val="1"/>
    <w:semiHidden/>
    <w:unhideWhenUsed/>
    <w:qFormat/>
    <w:uiPriority w:val="99"/>
    <w:pPr>
      <w:spacing w:before="100" w:beforeAutospacing="1" w:after="100" w:afterAutospacing="1"/>
    </w:pPr>
  </w:style>
  <w:style w:type="paragraph" w:styleId="15">
    <w:name w:val="Title"/>
    <w:basedOn w:val="1"/>
    <w:next w:val="1"/>
    <w:qFormat/>
    <w:uiPriority w:val="3"/>
    <w:pPr>
      <w:ind w:firstLine="0" w:firstLineChars="0"/>
      <w:jc w:val="center"/>
    </w:pPr>
    <w:rPr>
      <w:rFonts w:ascii="文星标宋" w:hAnsi="Cambria" w:eastAsia="文星标宋"/>
      <w:bCs/>
      <w:kern w:val="0"/>
      <w:sz w:val="44"/>
      <w:szCs w:val="32"/>
    </w:rPr>
  </w:style>
  <w:style w:type="character" w:styleId="18">
    <w:name w:val="Strong"/>
    <w:basedOn w:val="17"/>
    <w:qFormat/>
    <w:uiPriority w:val="22"/>
    <w:rPr>
      <w:b/>
    </w:rPr>
  </w:style>
  <w:style w:type="character" w:styleId="19">
    <w:name w:val="FollowedHyperlink"/>
    <w:basedOn w:val="17"/>
    <w:semiHidden/>
    <w:unhideWhenUsed/>
    <w:qFormat/>
    <w:uiPriority w:val="99"/>
    <w:rPr>
      <w:color w:val="333333"/>
      <w:u w:val="none"/>
    </w:rPr>
  </w:style>
  <w:style w:type="character" w:styleId="20">
    <w:name w:val="Emphasis"/>
    <w:basedOn w:val="17"/>
    <w:qFormat/>
    <w:uiPriority w:val="20"/>
  </w:style>
  <w:style w:type="character" w:styleId="21">
    <w:name w:val="HTML Definition"/>
    <w:basedOn w:val="17"/>
    <w:semiHidden/>
    <w:unhideWhenUsed/>
    <w:qFormat/>
    <w:uiPriority w:val="99"/>
  </w:style>
  <w:style w:type="character" w:styleId="22">
    <w:name w:val="HTML Variable"/>
    <w:basedOn w:val="17"/>
    <w:semiHidden/>
    <w:unhideWhenUsed/>
    <w:qFormat/>
    <w:uiPriority w:val="99"/>
  </w:style>
  <w:style w:type="character" w:styleId="23">
    <w:name w:val="Hyperlink"/>
    <w:basedOn w:val="17"/>
    <w:unhideWhenUsed/>
    <w:qFormat/>
    <w:uiPriority w:val="99"/>
    <w:rPr>
      <w:color w:val="0000FF" w:themeColor="hyperlink"/>
      <w:u w:val="single"/>
      <w14:textFill>
        <w14:solidFill>
          <w14:schemeClr w14:val="hlink"/>
        </w14:solidFill>
      </w14:textFill>
    </w:rPr>
  </w:style>
  <w:style w:type="character" w:styleId="24">
    <w:name w:val="HTML Code"/>
    <w:basedOn w:val="17"/>
    <w:semiHidden/>
    <w:unhideWhenUsed/>
    <w:qFormat/>
    <w:uiPriority w:val="99"/>
    <w:rPr>
      <w:rFonts w:ascii="Consolas" w:hAnsi="Consolas" w:eastAsia="Consolas" w:cs="Consolas"/>
      <w:color w:val="C7254E"/>
      <w:sz w:val="21"/>
      <w:szCs w:val="21"/>
      <w:shd w:val="clear" w:color="auto" w:fill="F9F2F4"/>
    </w:rPr>
  </w:style>
  <w:style w:type="character" w:styleId="25">
    <w:name w:val="HTML Cite"/>
    <w:basedOn w:val="17"/>
    <w:semiHidden/>
    <w:unhideWhenUsed/>
    <w:qFormat/>
    <w:uiPriority w:val="99"/>
  </w:style>
  <w:style w:type="character" w:styleId="26">
    <w:name w:val="HTML Keyboard"/>
    <w:basedOn w:val="17"/>
    <w:semiHidden/>
    <w:unhideWhenUsed/>
    <w:qFormat/>
    <w:uiPriority w:val="99"/>
    <w:rPr>
      <w:rFonts w:hint="default" w:ascii="Consolas" w:hAnsi="Consolas" w:eastAsia="Consolas" w:cs="Consolas"/>
      <w:color w:val="FFFFFF"/>
      <w:sz w:val="21"/>
      <w:szCs w:val="21"/>
      <w:shd w:val="clear" w:color="auto" w:fill="333333"/>
    </w:rPr>
  </w:style>
  <w:style w:type="character" w:styleId="27">
    <w:name w:val="HTML Sample"/>
    <w:basedOn w:val="17"/>
    <w:semiHidden/>
    <w:unhideWhenUsed/>
    <w:qFormat/>
    <w:uiPriority w:val="99"/>
    <w:rPr>
      <w:rFonts w:hint="default" w:ascii="Consolas" w:hAnsi="Consolas" w:eastAsia="Consolas" w:cs="Consolas"/>
      <w:sz w:val="21"/>
      <w:szCs w:val="21"/>
    </w:rPr>
  </w:style>
  <w:style w:type="character" w:customStyle="1" w:styleId="28">
    <w:name w:val="页眉 字符"/>
    <w:basedOn w:val="17"/>
    <w:link w:val="10"/>
    <w:qFormat/>
    <w:uiPriority w:val="99"/>
    <w:rPr>
      <w:sz w:val="18"/>
      <w:szCs w:val="18"/>
    </w:rPr>
  </w:style>
  <w:style w:type="character" w:customStyle="1" w:styleId="29">
    <w:name w:val="页脚 字符"/>
    <w:basedOn w:val="17"/>
    <w:link w:val="9"/>
    <w:qFormat/>
    <w:uiPriority w:val="99"/>
    <w:rPr>
      <w:sz w:val="18"/>
      <w:szCs w:val="18"/>
    </w:rPr>
  </w:style>
  <w:style w:type="character" w:customStyle="1" w:styleId="30">
    <w:name w:val="标题 5 字符"/>
    <w:basedOn w:val="17"/>
    <w:link w:val="5"/>
    <w:qFormat/>
    <w:uiPriority w:val="9"/>
    <w:rPr>
      <w:rFonts w:ascii="Tahoma" w:hAnsi="Tahoma" w:eastAsia="微软雅黑" w:cs="Times New Roman"/>
      <w:b/>
      <w:bCs/>
      <w:kern w:val="0"/>
      <w:sz w:val="28"/>
      <w:szCs w:val="28"/>
    </w:rPr>
  </w:style>
  <w:style w:type="character" w:customStyle="1" w:styleId="31">
    <w:name w:val="标题 3 字符"/>
    <w:basedOn w:val="17"/>
    <w:link w:val="4"/>
    <w:qFormat/>
    <w:uiPriority w:val="9"/>
    <w:rPr>
      <w:rFonts w:ascii="Tahoma" w:hAnsi="Tahoma" w:eastAsia="微软雅黑" w:cs="Times New Roman"/>
      <w:b/>
      <w:bCs/>
      <w:kern w:val="0"/>
      <w:sz w:val="32"/>
      <w:szCs w:val="32"/>
    </w:rPr>
  </w:style>
  <w:style w:type="paragraph" w:customStyle="1" w:styleId="32">
    <w:name w:val="正文1"/>
    <w:basedOn w:val="1"/>
    <w:link w:val="33"/>
    <w:qFormat/>
    <w:uiPriority w:val="0"/>
    <w:pPr>
      <w:widowControl w:val="0"/>
      <w:spacing w:line="360" w:lineRule="auto"/>
      <w:ind w:firstLine="480" w:firstLineChars="200"/>
      <w:jc w:val="both"/>
    </w:pPr>
    <w:rPr>
      <w:rFonts w:cs="Times New Roman"/>
      <w:kern w:val="24"/>
    </w:rPr>
  </w:style>
  <w:style w:type="character" w:customStyle="1" w:styleId="33">
    <w:name w:val="正文1 Char"/>
    <w:basedOn w:val="17"/>
    <w:link w:val="32"/>
    <w:qFormat/>
    <w:uiPriority w:val="0"/>
    <w:rPr>
      <w:rFonts w:ascii="宋体" w:hAnsi="宋体" w:eastAsia="宋体" w:cs="Times New Roman"/>
      <w:kern w:val="24"/>
      <w:sz w:val="24"/>
      <w:szCs w:val="24"/>
    </w:rPr>
  </w:style>
  <w:style w:type="character" w:customStyle="1" w:styleId="34">
    <w:name w:val="批注框文本 字符"/>
    <w:basedOn w:val="17"/>
    <w:link w:val="8"/>
    <w:semiHidden/>
    <w:qFormat/>
    <w:uiPriority w:val="99"/>
    <w:rPr>
      <w:sz w:val="18"/>
      <w:szCs w:val="18"/>
    </w:rPr>
  </w:style>
  <w:style w:type="character" w:customStyle="1" w:styleId="35">
    <w:name w:val="标题 1 字符"/>
    <w:basedOn w:val="17"/>
    <w:link w:val="3"/>
    <w:qFormat/>
    <w:uiPriority w:val="9"/>
    <w:rPr>
      <w:b/>
      <w:bCs/>
      <w:kern w:val="44"/>
      <w:sz w:val="44"/>
      <w:szCs w:val="44"/>
    </w:rPr>
  </w:style>
  <w:style w:type="paragraph" w:customStyle="1" w:styleId="3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styleId="37">
    <w:name w:val="List Paragraph"/>
    <w:basedOn w:val="1"/>
    <w:qFormat/>
    <w:uiPriority w:val="99"/>
    <w:pPr>
      <w:widowControl w:val="0"/>
      <w:ind w:firstLine="420" w:firstLineChars="200"/>
      <w:jc w:val="both"/>
    </w:pPr>
    <w:rPr>
      <w:rFonts w:asciiTheme="minorHAnsi" w:hAnsiTheme="minorHAnsi" w:eastAsiaTheme="minorEastAsia" w:cstheme="minorBidi"/>
      <w:kern w:val="2"/>
      <w:sz w:val="21"/>
      <w:szCs w:val="22"/>
    </w:rPr>
  </w:style>
  <w:style w:type="character" w:customStyle="1" w:styleId="38">
    <w:name w:val="报告正文 Char"/>
    <w:link w:val="39"/>
    <w:qFormat/>
    <w:locked/>
    <w:uiPriority w:val="0"/>
    <w:rPr>
      <w:rFonts w:ascii="宋体" w:hAnsi="宋体"/>
      <w:color w:val="000000"/>
      <w:sz w:val="24"/>
      <w:szCs w:val="24"/>
    </w:rPr>
  </w:style>
  <w:style w:type="paragraph" w:customStyle="1" w:styleId="39">
    <w:name w:val="报告正文"/>
    <w:basedOn w:val="1"/>
    <w:link w:val="38"/>
    <w:qFormat/>
    <w:uiPriority w:val="0"/>
    <w:pPr>
      <w:widowControl w:val="0"/>
      <w:autoSpaceDE w:val="0"/>
      <w:autoSpaceDN w:val="0"/>
      <w:adjustRightInd w:val="0"/>
      <w:spacing w:line="520" w:lineRule="exact"/>
      <w:ind w:firstLine="480" w:firstLineChars="200"/>
    </w:pPr>
    <w:rPr>
      <w:rFonts w:eastAsiaTheme="minorEastAsia" w:cstheme="minorBidi"/>
      <w:color w:val="000000"/>
      <w:kern w:val="2"/>
    </w:rPr>
  </w:style>
  <w:style w:type="paragraph" w:customStyle="1" w:styleId="40">
    <w:name w:val="模板正文"/>
    <w:basedOn w:val="1"/>
    <w:link w:val="41"/>
    <w:qFormat/>
    <w:uiPriority w:val="0"/>
    <w:pPr>
      <w:widowControl w:val="0"/>
      <w:spacing w:line="360" w:lineRule="auto"/>
      <w:ind w:firstLine="560" w:firstLineChars="200"/>
      <w:jc w:val="both"/>
    </w:pPr>
    <w:rPr>
      <w:rFonts w:cs="Times New Roman"/>
      <w:sz w:val="28"/>
      <w:szCs w:val="28"/>
    </w:rPr>
  </w:style>
  <w:style w:type="character" w:customStyle="1" w:styleId="41">
    <w:name w:val="模板正文 Char"/>
    <w:link w:val="40"/>
    <w:qFormat/>
    <w:uiPriority w:val="0"/>
    <w:rPr>
      <w:rFonts w:ascii="宋体" w:hAnsi="宋体" w:eastAsia="宋体" w:cs="Times New Roman"/>
      <w:kern w:val="0"/>
      <w:sz w:val="28"/>
      <w:szCs w:val="28"/>
    </w:rPr>
  </w:style>
  <w:style w:type="paragraph" w:customStyle="1" w:styleId="42">
    <w:name w:val="正文段落"/>
    <w:basedOn w:val="1"/>
    <w:link w:val="43"/>
    <w:qFormat/>
    <w:uiPriority w:val="0"/>
    <w:pPr>
      <w:widowControl w:val="0"/>
      <w:spacing w:beforeLines="50" w:line="360" w:lineRule="auto"/>
      <w:ind w:firstLine="480" w:firstLineChars="200"/>
      <w:jc w:val="both"/>
    </w:pPr>
    <w:rPr>
      <w:rFonts w:ascii="Times New Roman" w:hAnsi="Times New Roman"/>
      <w:kern w:val="2"/>
      <w:szCs w:val="21"/>
    </w:rPr>
  </w:style>
  <w:style w:type="character" w:customStyle="1" w:styleId="43">
    <w:name w:val="正文段落 Char"/>
    <w:link w:val="42"/>
    <w:qFormat/>
    <w:uiPriority w:val="0"/>
    <w:rPr>
      <w:rFonts w:ascii="Times New Roman" w:hAnsi="Times New Roman" w:eastAsia="宋体" w:cs="宋体"/>
      <w:sz w:val="24"/>
      <w:szCs w:val="21"/>
    </w:rPr>
  </w:style>
  <w:style w:type="character" w:customStyle="1" w:styleId="44">
    <w:name w:val="文档结构图 字符"/>
    <w:basedOn w:val="17"/>
    <w:link w:val="6"/>
    <w:semiHidden/>
    <w:qFormat/>
    <w:uiPriority w:val="99"/>
    <w:rPr>
      <w:rFonts w:ascii="宋体" w:eastAsia="宋体"/>
      <w:sz w:val="18"/>
      <w:szCs w:val="18"/>
    </w:rPr>
  </w:style>
  <w:style w:type="paragraph" w:customStyle="1" w:styleId="45">
    <w:name w:val="Default"/>
    <w:unhideWhenUsed/>
    <w:qFormat/>
    <w:uiPriority w:val="0"/>
    <w:pPr>
      <w:widowControl w:val="0"/>
      <w:autoSpaceDE w:val="0"/>
      <w:autoSpaceDN w:val="0"/>
      <w:adjustRightInd w:val="0"/>
    </w:pPr>
    <w:rPr>
      <w:rFonts w:hint="eastAsia" w:ascii="宋体" w:hAnsi="宋体"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1" Type="http://schemas.openxmlformats.org/officeDocument/2006/relationships/fontTable" Target="fontTable.xml"/><Relationship Id="rId50" Type="http://schemas.openxmlformats.org/officeDocument/2006/relationships/customXml" Target="../customXml/item2.xml"/><Relationship Id="rId5" Type="http://schemas.openxmlformats.org/officeDocument/2006/relationships/footer" Target="footer2.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33.png"/><Relationship Id="rId46" Type="http://schemas.openxmlformats.org/officeDocument/2006/relationships/image" Target="media/image32.png"/><Relationship Id="rId45" Type="http://schemas.openxmlformats.org/officeDocument/2006/relationships/image" Target="media/image31.png"/><Relationship Id="rId44" Type="http://schemas.openxmlformats.org/officeDocument/2006/relationships/image" Target="media/image30.png"/><Relationship Id="rId43" Type="http://schemas.openxmlformats.org/officeDocument/2006/relationships/image" Target="media/image29.png"/><Relationship Id="rId42" Type="http://schemas.openxmlformats.org/officeDocument/2006/relationships/image" Target="media/image28.png"/><Relationship Id="rId41" Type="http://schemas.openxmlformats.org/officeDocument/2006/relationships/image" Target="media/image27.png"/><Relationship Id="rId40" Type="http://schemas.openxmlformats.org/officeDocument/2006/relationships/image" Target="media/image26.png"/><Relationship Id="rId4" Type="http://schemas.openxmlformats.org/officeDocument/2006/relationships/header" Target="header1.xml"/><Relationship Id="rId39" Type="http://schemas.openxmlformats.org/officeDocument/2006/relationships/image" Target="media/image25.png"/><Relationship Id="rId38" Type="http://schemas.openxmlformats.org/officeDocument/2006/relationships/image" Target="media/image24.png"/><Relationship Id="rId37" Type="http://schemas.openxmlformats.org/officeDocument/2006/relationships/image" Target="media/image23.png"/><Relationship Id="rId36" Type="http://schemas.openxmlformats.org/officeDocument/2006/relationships/image" Target="media/image22.png"/><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jpeg"/><Relationship Id="rId32" Type="http://schemas.openxmlformats.org/officeDocument/2006/relationships/image" Target="media/image18.jpe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footer" Target="footer1.xml"/><Relationship Id="rId29" Type="http://schemas.openxmlformats.org/officeDocument/2006/relationships/image" Target="media/image15.png"/><Relationship Id="rId28" Type="http://schemas.microsoft.com/office/2007/relationships/hdphoto" Target="media/image14.wdp"/><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jpe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jpe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121DE-628F-4D01-9BE6-4ACC1DA7E60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71</Pages>
  <Words>16442</Words>
  <Characters>16974</Characters>
  <Lines>230</Lines>
  <Paragraphs>64</Paragraphs>
  <TotalTime>1</TotalTime>
  <ScaleCrop>false</ScaleCrop>
  <LinksUpToDate>false</LinksUpToDate>
  <CharactersWithSpaces>17129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2021-09-02T12:06:00Z</dcterms:created>
  <dc:creator>User</dc:creator>
  <cp:lastModifiedBy>寻找幸福的丫头</cp:lastModifiedBy>
  <cp:lastPrinted>2015-08-08T08:06:00Z</cp:lastPrinted>
  <dcterms:modified xsi:type="dcterms:W3CDTF">2026-01-27T03:25:20Z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897A5B6AE6BC4E9A9768FFAA4E9095D2</vt:lpwstr>
  </property>
  <property fmtid="{D5CDD505-2E9C-101B-9397-08002B2CF9AE}" pid="4" name="KSOTemplateDocerSaveRecord">
    <vt:lpwstr>eyJoZGlkIjoiYmI1M2NmOGI2YWRiNTU5NGQxMjk1Njc1YTZmZjhjOWMiLCJ1c2VySWQiOiIyMTc4ODk1MzkifQ==</vt:lpwstr>
  </property>
</Properties>
</file>